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3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left="33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left="3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07" w:lineRule="exact"/>
        <w:rPr>
          <w:sz w:val="24"/>
          <w:szCs w:val="24"/>
          <w:color w:val="auto"/>
        </w:rPr>
      </w:pPr>
    </w:p>
    <w:p>
      <w:pPr>
        <w:jc w:val="center"/>
        <w:ind w:left="3300"/>
        <w:spacing w:after="0"/>
        <w:rPr>
          <w:sz w:val="20"/>
          <w:szCs w:val="20"/>
          <w:color w:val="auto"/>
        </w:rPr>
      </w:pPr>
      <w:r>
        <w:rPr>
          <w:rFonts w:ascii="Times New Roman" w:cs="Times New Roman" w:eastAsia="Times New Roman" w:hAnsi="Times New Roman"/>
          <w:sz w:val="25"/>
          <w:szCs w:val="25"/>
          <w:b w:val="1"/>
          <w:bCs w:val="1"/>
          <w:color w:val="auto"/>
        </w:rPr>
        <w:t>FORM 12B-25</w:t>
      </w:r>
    </w:p>
    <w:p>
      <w:pPr>
        <w:spacing w:after="0" w:line="20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0" w:lineRule="exact"/>
        <w:rPr>
          <w:sz w:val="24"/>
          <w:szCs w:val="24"/>
          <w:color w:val="auto"/>
        </w:rPr>
      </w:pPr>
      <w:r>
        <w:rPr>
          <w:sz w:val="24"/>
          <w:szCs w:val="24"/>
          <w:color w:val="auto"/>
        </w:rPr>
        <w:br w:type="column"/>
      </w:r>
    </w:p>
    <w:p>
      <w:pPr>
        <w:ind w:left="540"/>
        <w:spacing w:after="0"/>
        <w:rPr>
          <w:sz w:val="20"/>
          <w:szCs w:val="20"/>
          <w:color w:val="auto"/>
        </w:rPr>
      </w:pPr>
      <w:r>
        <w:rPr>
          <w:rFonts w:ascii="Times New Roman" w:cs="Times New Roman" w:eastAsia="Times New Roman" w:hAnsi="Times New Roman"/>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-75565</wp:posOffset>
            </wp:positionH>
            <wp:positionV relativeFrom="paragraph">
              <wp:posOffset>-127635</wp:posOffset>
            </wp:positionV>
            <wp:extent cx="1714500" cy="127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1276985"/>
                    </a:xfrm>
                    <a:prstGeom prst="rect">
                      <a:avLst/>
                    </a:prstGeom>
                    <a:noFill/>
                  </pic:spPr>
                </pic:pic>
              </a:graphicData>
            </a:graphic>
          </wp:anchor>
        </w:drawing>
      </w:r>
    </w:p>
    <w:p>
      <w:pPr>
        <w:spacing w:after="0" w:line="7" w:lineRule="exact"/>
        <w:rPr>
          <w:sz w:val="24"/>
          <w:szCs w:val="24"/>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OMB Number:</w:t>
      </w:r>
      <w:r>
        <w:rPr>
          <w:sz w:val="20"/>
          <w:szCs w:val="20"/>
          <w:color w:val="auto"/>
        </w:rPr>
        <w:tab/>
      </w:r>
      <w:r>
        <w:rPr>
          <w:rFonts w:ascii="Times New Roman" w:cs="Times New Roman" w:eastAsia="Times New Roman" w:hAnsi="Times New Roman"/>
          <w:sz w:val="17"/>
          <w:szCs w:val="17"/>
          <w:color w:val="auto"/>
        </w:rPr>
        <w:t>3235-0058</w:t>
      </w:r>
    </w:p>
    <w:p>
      <w:pPr>
        <w:spacing w:after="0" w:line="23" w:lineRule="exact"/>
        <w:rPr>
          <w:sz w:val="24"/>
          <w:szCs w:val="24"/>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Expires:</w:t>
      </w:r>
      <w:r>
        <w:rPr>
          <w:sz w:val="20"/>
          <w:szCs w:val="20"/>
          <w:color w:val="auto"/>
        </w:rPr>
        <w:tab/>
      </w:r>
      <w:r>
        <w:rPr>
          <w:rFonts w:ascii="Times New Roman" w:cs="Times New Roman" w:eastAsia="Times New Roman" w:hAnsi="Times New Roman"/>
          <w:sz w:val="18"/>
          <w:szCs w:val="18"/>
          <w:color w:val="auto"/>
        </w:rPr>
        <w:t>April 30, 2025</w:t>
      </w:r>
    </w:p>
    <w:p>
      <w:pPr>
        <w:spacing w:after="0" w:line="9"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Estimated average burden hours per response……………2.50</w:t>
      </w:r>
    </w:p>
    <w:p>
      <w:pPr>
        <w:jc w:val="center"/>
        <w:ind w:right="-159"/>
        <w:spacing w:after="0"/>
        <w:rPr>
          <w:sz w:val="20"/>
          <w:szCs w:val="20"/>
          <w:color w:val="auto"/>
        </w:rPr>
      </w:pPr>
      <w:r>
        <w:rPr>
          <w:rFonts w:ascii="Times New Roman" w:cs="Times New Roman" w:eastAsia="Times New Roman" w:hAnsi="Times New Roman"/>
          <w:sz w:val="18"/>
          <w:szCs w:val="18"/>
          <w:color w:val="auto"/>
        </w:rPr>
        <w:t>SEC FILE NUMBER</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000-55450</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CUSIP NUMBER</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58468U106</w:t>
      </w:r>
    </w:p>
    <w:p>
      <w:pPr>
        <w:spacing w:after="0" w:line="200" w:lineRule="exact"/>
        <w:rPr>
          <w:sz w:val="24"/>
          <w:szCs w:val="24"/>
          <w:color w:val="auto"/>
        </w:rPr>
      </w:pPr>
    </w:p>
    <w:p>
      <w:pPr>
        <w:sectPr>
          <w:pgSz w:w="11900" w:h="16838" w:orient="portrait"/>
          <w:cols w:equalWidth="0" w:num="2">
            <w:col w:w="7940" w:space="720"/>
            <w:col w:w="2300"/>
          </w:cols>
          <w:pgMar w:left="320" w:top="779" w:right="619" w:bottom="1440" w:gutter="0" w:footer="0" w:header="0"/>
        </w:sectPr>
      </w:pPr>
    </w:p>
    <w:p>
      <w:pPr>
        <w:spacing w:after="0" w:line="1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 xml:space="preserve">(Check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20-F</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11-K</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10-D</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N-SAR</w:t>
      </w:r>
      <w:r>
        <w:rPr>
          <w:rFonts w:ascii="Times New Roman" w:cs="Times New Roman" w:eastAsia="Times New Roman" w:hAnsi="Times New Roman"/>
          <w:sz w:val="18"/>
          <w:szCs w:val="18"/>
          <w:i w:val="1"/>
          <w:iCs w:val="1"/>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N-CSR</w:t>
      </w:r>
    </w:p>
    <w:p>
      <w:pPr>
        <w:spacing w:after="0" w:line="26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For Period Ended: </w:t>
      </w:r>
      <w:r>
        <w:rPr>
          <w:rFonts w:ascii="Times New Roman" w:cs="Times New Roman" w:eastAsia="Times New Roman" w:hAnsi="Times New Roman"/>
          <w:sz w:val="18"/>
          <w:szCs w:val="18"/>
          <w:u w:val="single" w:color="auto"/>
          <w:color w:val="auto"/>
        </w:rPr>
        <w:t>December 31, 2024</w:t>
      </w:r>
    </w:p>
    <w:p>
      <w:pPr>
        <w:spacing w:after="0" w:line="225" w:lineRule="exact"/>
        <w:rPr>
          <w:sz w:val="24"/>
          <w:szCs w:val="24"/>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25"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5"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5"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225" w:lineRule="exact"/>
        <w:rPr>
          <w:rFonts w:ascii="MS PGothic" w:cs="MS PGothic" w:eastAsia="MS PGothic" w:hAnsi="MS PGothic"/>
          <w:sz w:val="18"/>
          <w:szCs w:val="18"/>
          <w:color w:val="auto"/>
        </w:rPr>
      </w:pPr>
    </w:p>
    <w:p>
      <w:pPr>
        <w:ind w:left="1520" w:hanging="216"/>
        <w:spacing w:after="0"/>
        <w:tabs>
          <w:tab w:leader="none" w:pos="1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225" w:lineRule="exact"/>
        <w:rPr>
          <w:sz w:val="24"/>
          <w:szCs w:val="24"/>
          <w:color w:val="auto"/>
        </w:rPr>
      </w:pPr>
    </w:p>
    <w:p>
      <w:pPr>
        <w:ind w:left="1300"/>
        <w:spacing w:after="0"/>
        <w:tabs>
          <w:tab w:leader="none" w:pos="3920" w:val="left"/>
        </w:tabs>
        <w:rPr>
          <w:sz w:val="20"/>
          <w:szCs w:val="20"/>
          <w:color w:val="auto"/>
        </w:rPr>
      </w:pPr>
      <w:r>
        <w:rPr>
          <w:rFonts w:ascii="Times New Roman" w:cs="Times New Roman" w:eastAsia="Times New Roman" w:hAnsi="Times New Roman"/>
          <w:sz w:val="18"/>
          <w:szCs w:val="18"/>
          <w:color w:val="auto"/>
        </w:rPr>
        <w:t>For the Transition Period Ended:</w:t>
      </w:r>
      <w:r>
        <w:rPr>
          <w:sz w:val="20"/>
          <w:szCs w:val="20"/>
          <w:color w:val="auto"/>
        </w:rPr>
        <w:tab/>
      </w:r>
      <w:r>
        <w:rPr>
          <w:rFonts w:ascii="Times New Roman" w:cs="Times New Roman" w:eastAsia="Times New Roman" w:hAnsi="Times New Roman"/>
          <w:sz w:val="17"/>
          <w:szCs w:val="17"/>
          <w:u w:val="single" w:color="auto"/>
          <w:color w:val="auto"/>
        </w:rPr>
        <w:t>NOT APPLICABLE</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Nothing in this form shall be construed to imply that the Commission has verified any information contained herein.</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Medicine Man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Full Name of Registrant</w:t>
      </w:r>
    </w:p>
    <w:p>
      <w:pPr>
        <w:spacing w:after="0" w:line="220"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Former Name if Applicable</w:t>
      </w:r>
    </w:p>
    <w:p>
      <w:pPr>
        <w:spacing w:after="0" w:line="220"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865 N. Albion St., Suite 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Address of Principle Executive Office </w:t>
      </w:r>
      <w:r>
        <w:rPr>
          <w:rFonts w:ascii="Times New Roman" w:cs="Times New Roman" w:eastAsia="Times New Roman" w:hAnsi="Times New Roman"/>
          <w:sz w:val="18"/>
          <w:szCs w:val="18"/>
          <w:i w:val="1"/>
          <w:iCs w:val="1"/>
          <w:color w:val="auto"/>
        </w:rPr>
        <w:t>(Street and Number)</w:t>
      </w:r>
    </w:p>
    <w:p>
      <w:pPr>
        <w:spacing w:after="0" w:line="220"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Denver, CO 80220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779" w:right="6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2140" w:right="100" w:hanging="1009"/>
        <w:spacing w:after="0" w:line="261" w:lineRule="auto"/>
        <w:tabs>
          <w:tab w:leader="none" w:pos="214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ind w:left="2140" w:hanging="1009"/>
        <w:spacing w:after="0"/>
        <w:tabs>
          <w:tab w:leader="none" w:pos="214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subject annual report, semi-annual report, transition report on Form 10-K, Form 20-F, Form 11-K, Form N-SAR or</w:t>
      </w:r>
    </w:p>
    <w:p>
      <w:pPr>
        <w:spacing w:after="0" w:line="9" w:lineRule="exact"/>
        <w:rPr>
          <w:rFonts w:ascii="Times New Roman" w:cs="Times New Roman" w:eastAsia="Times New Roman" w:hAnsi="Times New Roman"/>
          <w:sz w:val="18"/>
          <w:szCs w:val="18"/>
          <w:b w:val="1"/>
          <w:bCs w:val="1"/>
          <w:color w:val="auto"/>
        </w:rPr>
      </w:pPr>
    </w:p>
    <w:p>
      <w:pPr>
        <w:jc w:val="both"/>
        <w:ind w:left="2140" w:right="100" w:hanging="1707"/>
        <w:spacing w:after="0" w:line="250" w:lineRule="auto"/>
        <w:tabs>
          <w:tab w:leader="none" w:pos="2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Form N-CSR, or portion thereof, will be filed on or before the fifteenth calendar day following the prescribed due date; or the subject quarterly report or transition report of Form 10-Q, or subject distribution report on Form 10-D, or portion thereof, will be filed on or before the fifth calendar day following the prescribed due date; and</w:t>
      </w:r>
    </w:p>
    <w:p>
      <w:pPr>
        <w:spacing w:after="0" w:line="1" w:lineRule="exact"/>
        <w:rPr>
          <w:rFonts w:ascii="MS PGothic" w:cs="MS PGothic" w:eastAsia="MS PGothic" w:hAnsi="MS PGothic"/>
          <w:sz w:val="18"/>
          <w:szCs w:val="18"/>
          <w:color w:val="auto"/>
        </w:rPr>
      </w:pPr>
    </w:p>
    <w:p>
      <w:pPr>
        <w:ind w:left="2140" w:hanging="1009"/>
        <w:spacing w:after="0"/>
        <w:tabs>
          <w:tab w:leader="none" w:pos="2140" w:val="left"/>
        </w:tabs>
        <w:numPr>
          <w:ilvl w:val="1"/>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-953770</wp:posOffset>
            </wp:positionV>
            <wp:extent cx="8255" cy="9601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96012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State below in reasonable detail the reasons why Forms 10-K, 20-F, 11-K, 10-Q, N-SAR, N-CSR, or the transition report or portion thereof, could not be filed within the prescribed time period.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Medicine Man Technologies, Inc. (the “Company”) is unable to file its Annual Report on Form 10-K for the period ended December 31, 2024 (the “2024 Form 10-K”) on or prior to March 31, 2025, without unreasonable effort and expense for the reasons stated below.</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previously disclosed, the ongoing impact of the May 3, 2024, U.S. Securities Exchange Commission (“SEC”) order (the “SEC Order”) against B.F. Borgers CPA PC and Benjamin F. Borgers (individually and together, “Borgers”), pursuant to which the SEC suspended Borgers from appearing or practicing before the SEC as an accountant, has been significantly challenging for the Company. Borgers was the Company’s independent auditor for the fiscal year ending December 31, 2023, during which time Borgers reviewed Company financial statements and performed reviews of interim financial statements. As stated in the SEC Order, Form 10-Q filings on or after the date of the SEC Order may not present financial information that has been reviewed by Borgers. Each quarterly and annual period presented in Form 10-Q and Form 10-K filings on or after the date of the SEC Order must be reviewed by a qualified, independent, PCAOB-registered public accountant that is permitted to appear or practice before the Commission.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2024, the Company engaged Baker Tilly to provide a re-audit of the Company’s year-end December 31, 2023 financial statements as filed on the Annual Report on Form 10-K and the interim quarterly statement for the three-months ending March 31, 2023, as filed in the Quarterly Report on Form 10-Q, the interim quarterly statement for the six-months ending June 30, 2023, as filed in the Quarterly Report on Form 10-Q, and the interim quarterly statement for the nine-months ending September 30, 2023, as filed in the Quarterly Report on Form 10-Q. The extent of the SEC Order’s impact has been significant on the Company’s financial statements as of and for the fiscal quarters ending March 31, 2024, June 30, 2024, September 30, 2024, and the year-end December 31, 2024 to be included in the Quarterly Report filed on Form 10-Q and its Annual Report filed on Form 10-K, and its financial statements as of and for the year ended December 31, 2023 included in its Annual Report on Form 10-K.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29, 2024, following discussions with Baker Tilly and Company management, the Company’s Audit Committee determined that the previously issued audited consolidated financial statements for the fiscal years ended December 31, 2022, and December 31, 2023, as filed in the Annual Report on Form 10-K (the “2023 Form 10-K”) audited by Borgers, along with the unaudited condensed consolidated financial statements and related notes for the periods ended March 31, 2023, June 30, 2023, and September 30, 2023 (collectively, the “Subject Periods”), require restatement (the “Restatement”). This determination was made due to the identification of certain accounting errors that require corrections, primarily in technical accounting areas. The Company has concluded that these corrections are material, and accordingly, the previously issued financial statements for the Subject Periods should no longer be relied upon.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of the impact of the SEC Order and the Restatement, the Company has been unable to file (i) its Quarterly Report on Form 10-Q for the three-months ending March 31, 2024 (the “Q1 2024 Form 10-Q”); (ii) its Quarterly Report on Form 10-Q for the fiscal quarter ended June 30, 2024 (the “Q2 2024 Form 10-Q”); and (iii) its Quarterly Report on Form 10-Q for the fiscal quarter ended September 30, 2024 (the “Q3 2024 Form 10-Q” and together with the Q1 2024 Form 10-Q, Q2 2024 Form 10-Q, and Q3 2024 Form 10-Q, the “Historical Late Filings.”). Accordingly, the Company has also not yet filed its 2024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Form 12b-25 contains forward-looking statements within the meaning of the Private Securities Litigation Reform Act of 1995. Any statements contained herein which do not describe historical facts, including, among others, statements regarding the expected impact of the restatements and change in accounting treatment, including on the Company’s overall business operations, previously reported cash and cash equivalent balances; and statements regarding the Company’s ongoing internal reviews and assessments are forward-looking statements which involve risks and uncertainties that could cause actual results to differ materially from those discussed in such forward-looking statements. Such risks and uncertainties include, among others, that the Company has underestimated the scope and impact of the restatements, risks and uncertainties around the effectiveness of the Company’s disclosure controls and procedures and the effectiveness of the Company’s internal control over financial reporting, the risk that the Company’s restated financial statements may take longer to complete than expected, as well as those risks and uncertainties identified in the Company’s filings with the SEC, including its 2023 Form 10-K and in any subsequent filings with the Commission, which are available at the Commission’s website at www.sec.gov. Any such risks and uncertainties could materially and adversely affect the Company’s results of operations, its profitability and its cash flows, which would, in turn, have a significant and adverse impact on the Company’s stock price.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As noted above, investors are cautioned that the Subject Periods, and related investor communications, should no longer be relied upon; such communications include earnings releases, press releases, shareholder communications, investor presentations and other communications describing relevant portions of the Subject Periods.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29" w:lineRule="exact"/>
        <w:rPr>
          <w:sz w:val="20"/>
          <w:szCs w:val="20"/>
          <w:color w:val="auto"/>
        </w:rPr>
      </w:pPr>
    </w:p>
    <w:p>
      <w:pPr>
        <w:ind w:left="520" w:hanging="415"/>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5"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3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Christine Jones</w:t>
            </w:r>
          </w:p>
        </w:tc>
        <w:tc>
          <w:tcPr>
            <w:tcW w:w="34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(303)</w:t>
            </w:r>
          </w:p>
        </w:tc>
        <w:tc>
          <w:tcPr>
            <w:tcW w:w="240" w:type="dxa"/>
            <w:vAlign w:val="bottom"/>
          </w:tcPr>
          <w:p>
            <w:pPr>
              <w:spacing w:after="0"/>
              <w:rPr>
                <w:sz w:val="20"/>
                <w:szCs w:val="20"/>
                <w:color w:val="auto"/>
              </w:rPr>
            </w:pPr>
          </w:p>
        </w:tc>
        <w:tc>
          <w:tcPr>
            <w:tcW w:w="346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371-0387</w:t>
            </w:r>
          </w:p>
        </w:tc>
      </w:tr>
      <w:tr>
        <w:trPr>
          <w:trHeight w:val="228"/>
        </w:trPr>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(Name)</w:t>
            </w:r>
          </w:p>
        </w:tc>
        <w:tc>
          <w:tcPr>
            <w:tcW w:w="240" w:type="dxa"/>
            <w:vAlign w:val="bottom"/>
          </w:tcPr>
          <w:p>
            <w:pPr>
              <w:spacing w:after="0"/>
              <w:rPr>
                <w:sz w:val="19"/>
                <w:szCs w:val="19"/>
                <w:color w:val="auto"/>
              </w:rPr>
            </w:pPr>
          </w:p>
        </w:tc>
        <w:tc>
          <w:tcPr>
            <w:tcW w:w="3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(Area Code)</w:t>
            </w:r>
          </w:p>
        </w:tc>
        <w:tc>
          <w:tcPr>
            <w:tcW w:w="24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(Telephone Number)</w:t>
            </w:r>
          </w:p>
        </w:tc>
      </w:tr>
    </w:tbl>
    <w:p>
      <w:pPr>
        <w:spacing w:after="0" w:line="179" w:lineRule="exact"/>
        <w:rPr>
          <w:sz w:val="20"/>
          <w:szCs w:val="20"/>
          <w:color w:val="auto"/>
        </w:rPr>
      </w:pPr>
    </w:p>
    <w:p>
      <w:pPr>
        <w:jc w:val="both"/>
        <w:ind w:left="520" w:right="100" w:hanging="415"/>
        <w:spacing w:after="0" w:line="257" w:lineRule="auto"/>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 w:lineRule="exact"/>
        <w:rPr>
          <w:rFonts w:ascii="Times New Roman" w:cs="Times New Roman" w:eastAsia="Times New Roman" w:hAnsi="Times New Roman"/>
          <w:sz w:val="18"/>
          <w:szCs w:val="18"/>
          <w:b w:val="1"/>
          <w:bCs w:val="1"/>
          <w:color w:val="auto"/>
        </w:rPr>
      </w:pPr>
    </w:p>
    <w:p>
      <w:pPr>
        <w:ind w:left="10200" w:hanging="200"/>
        <w:spacing w:after="0" w:line="184" w:lineRule="exact"/>
        <w:tabs>
          <w:tab w:leader="none" w:pos="10200" w:val="left"/>
        </w:tabs>
        <w:numPr>
          <w:ilvl w:val="1"/>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No</w:t>
      </w:r>
    </w:p>
    <w:p>
      <w:pPr>
        <w:spacing w:after="0" w:line="243"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Company has yet to file the Quarterly Report on Form 10-Q for the quarter ended March 31, 2024, for the quarter ended June 30, 2024 and for the quarter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-22225</wp:posOffset>
            </wp:positionV>
            <wp:extent cx="6875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-305435</wp:posOffset>
            </wp:positionV>
            <wp:extent cx="6875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pacing w:after="0" w:line="155" w:lineRule="exact"/>
        <w:rPr>
          <w:sz w:val="20"/>
          <w:szCs w:val="20"/>
          <w:color w:val="auto"/>
        </w:rPr>
      </w:pPr>
    </w:p>
    <w:p>
      <w:pPr>
        <w:ind w:left="520" w:right="100" w:hanging="415"/>
        <w:spacing w:after="0" w:line="261" w:lineRule="auto"/>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ind w:left="10200" w:hanging="200"/>
        <w:spacing w:after="0" w:line="184" w:lineRule="exact"/>
        <w:tabs>
          <w:tab w:leader="none" w:pos="10200" w:val="left"/>
        </w:tabs>
        <w:numPr>
          <w:ilvl w:val="1"/>
          <w:numId w:val="6"/>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30" w:lineRule="exact"/>
        <w:rPr>
          <w:sz w:val="20"/>
          <w:szCs w:val="20"/>
          <w:color w:val="auto"/>
        </w:rPr>
      </w:pPr>
    </w:p>
    <w:p>
      <w:pPr>
        <w:ind w:left="520" w:right="100"/>
        <w:spacing w:after="0" w:line="282" w:lineRule="auto"/>
        <w:rPr>
          <w:sz w:val="20"/>
          <w:szCs w:val="20"/>
          <w:color w:val="auto"/>
        </w:rPr>
      </w:pPr>
      <w:r>
        <w:rPr>
          <w:rFonts w:ascii="Times New Roman" w:cs="Times New Roman" w:eastAsia="Times New Roman" w:hAnsi="Times New Roman"/>
          <w:sz w:val="18"/>
          <w:szCs w:val="18"/>
          <w:color w:val="auto"/>
        </w:rPr>
        <w:t>If so, attached an explanation of the anticipated change, both narratively and quantitively,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5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Medicine Man Technologies, Inc.</w:t>
            </w:r>
          </w:p>
        </w:tc>
        <w:tc>
          <w:tcPr>
            <w:tcW w:w="3360" w:type="dxa"/>
            <w:vAlign w:val="bottom"/>
          </w:tcPr>
          <w:p>
            <w:pPr>
              <w:spacing w:after="0"/>
              <w:rPr>
                <w:sz w:val="20"/>
                <w:szCs w:val="20"/>
                <w:color w:val="auto"/>
              </w:rPr>
            </w:pPr>
          </w:p>
        </w:tc>
      </w:tr>
      <w:tr>
        <w:trPr>
          <w:trHeight w:val="228"/>
        </w:trPr>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Registrant as Specified in Charter)</w:t>
            </w:r>
          </w:p>
        </w:tc>
        <w:tc>
          <w:tcPr>
            <w:tcW w:w="3360" w:type="dxa"/>
            <w:vAlign w:val="bottom"/>
          </w:tcPr>
          <w:p>
            <w:pPr>
              <w:spacing w:after="0"/>
              <w:rPr>
                <w:sz w:val="19"/>
                <w:szCs w:val="19"/>
                <w:color w:val="auto"/>
              </w:rPr>
            </w:pPr>
          </w:p>
        </w:tc>
      </w:tr>
      <w:tr>
        <w:trPr>
          <w:trHeight w:val="414"/>
        </w:trPr>
        <w:tc>
          <w:tcPr>
            <w:tcW w:w="7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tc>
        <w:tc>
          <w:tcPr>
            <w:tcW w:w="3360" w:type="dxa"/>
            <w:vAlign w:val="bottom"/>
          </w:tcPr>
          <w:p>
            <w:pPr>
              <w:spacing w:after="0"/>
              <w:rPr>
                <w:sz w:val="24"/>
                <w:szCs w:val="24"/>
                <w:color w:val="auto"/>
              </w:rPr>
            </w:pPr>
          </w:p>
        </w:tc>
      </w:tr>
      <w:tr>
        <w:trPr>
          <w:trHeight w:val="391"/>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April 1, 2025</w:t>
            </w:r>
          </w:p>
        </w:tc>
        <w:tc>
          <w:tcPr>
            <w:tcW w:w="450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Forrest Hoffmaster</w:t>
            </w:r>
          </w:p>
        </w:tc>
        <w:tc>
          <w:tcPr>
            <w:tcW w:w="33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r>
      <w:tr>
        <w:trPr>
          <w:trHeight w:val="211"/>
        </w:trPr>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Forrest Hoffmaster,</w:t>
            </w:r>
          </w:p>
        </w:tc>
        <w:tc>
          <w:tcPr>
            <w:tcW w:w="3360" w:type="dxa"/>
            <w:vAlign w:val="bottom"/>
          </w:tcPr>
          <w:p>
            <w:pPr>
              <w:spacing w:after="0"/>
              <w:rPr>
                <w:sz w:val="18"/>
                <w:szCs w:val="18"/>
                <w:color w:val="auto"/>
              </w:rPr>
            </w:pPr>
          </w:p>
        </w:tc>
      </w:tr>
    </w:tbl>
    <w:p>
      <w:pPr>
        <w:ind w:left="5960"/>
        <w:spacing w:after="0"/>
        <w:rPr>
          <w:sz w:val="20"/>
          <w:szCs w:val="20"/>
          <w:color w:val="auto"/>
        </w:rPr>
      </w:pPr>
      <w:r>
        <w:rPr>
          <w:rFonts w:ascii="Times New Roman" w:cs="Times New Roman" w:eastAsia="Times New Roman" w:hAnsi="Times New Roman"/>
          <w:sz w:val="18"/>
          <w:szCs w:val="18"/>
          <w:color w:val="auto"/>
        </w:rPr>
        <w:t>Chief Executive Officer / Chief Financial Officer</w:t>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 / (Principal Financial and Accounting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lvl w:ilvl="1">
      <w:lvlJc w:val="left"/>
      <w:lvlText w:val="☐"/>
      <w:numFmt w:val="bullet"/>
      <w:start w:val="1"/>
    </w:lvl>
  </w:abstractNum>
  <w:abstractNum w:abstractNumId="5">
    <w:nsid w:val="507ED7AB"/>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2025-04-01T15:22:55Z</dcterms:created>
  <dcterms:modified xsi:type="dcterms:W3CDTF">2025-04-01T15:22:55Z</dcterms:modified>
</cp:coreProperties>
</file>