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Medicine Man Technologies, Inc.</w:t>
      </w:r>
    </w:p>
    <w:p>
      <w:pPr>
        <w:spacing w:after="0" w:line="40" w:lineRule="exact"/>
        <w:rPr>
          <w:sz w:val="24"/>
          <w:szCs w:val="24"/>
          <w:color w:val="auto"/>
        </w:rPr>
      </w:pPr>
    </w:p>
    <w:tbl>
      <w:tblPr>
        <w:tblLayout w:type="fixed"/>
        <w:tblInd w:w="32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45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960" w:type="dxa"/>
            <w:vAlign w:val="bottom"/>
          </w:tcPr>
          <w:p>
            <w:pPr>
              <w:spacing w:after="0"/>
              <w:rPr>
                <w:sz w:val="20"/>
                <w:szCs w:val="20"/>
                <w:color w:val="auto"/>
              </w:rPr>
            </w:pPr>
          </w:p>
        </w:tc>
      </w:tr>
      <w:tr>
        <w:trPr>
          <w:trHeight w:val="250"/>
        </w:trPr>
        <w:tc>
          <w:tcPr>
            <w:tcW w:w="3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471"/>
        </w:trPr>
        <w:tc>
          <w:tcPr>
            <w:tcW w:w="3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46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000-55450</w:t>
            </w:r>
          </w:p>
        </w:tc>
        <w:tc>
          <w:tcPr>
            <w:tcW w:w="1120" w:type="dxa"/>
            <w:vAlign w:val="bottom"/>
          </w:tcPr>
          <w:p>
            <w:pPr>
              <w:spacing w:after="0"/>
              <w:rPr>
                <w:sz w:val="24"/>
                <w:szCs w:val="24"/>
                <w:color w:val="auto"/>
              </w:rPr>
            </w:pPr>
          </w:p>
        </w:tc>
        <w:tc>
          <w:tcPr>
            <w:tcW w:w="1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46-5289499</w:t>
            </w:r>
          </w:p>
        </w:tc>
      </w:tr>
      <w:tr>
        <w:trPr>
          <w:trHeight w:val="216"/>
        </w:trPr>
        <w:tc>
          <w:tcPr>
            <w:tcW w:w="3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60" w:type="dxa"/>
            <w:vAlign w:val="bottom"/>
          </w:tcPr>
          <w:p>
            <w:pPr>
              <w:spacing w:after="0"/>
              <w:rPr>
                <w:sz w:val="18"/>
                <w:szCs w:val="18"/>
                <w:color w:val="auto"/>
              </w:rPr>
            </w:pPr>
          </w:p>
        </w:tc>
        <w:tc>
          <w:tcPr>
            <w:tcW w:w="392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865 N. Albion St. Suite 300</w:t>
            </w:r>
          </w:p>
        </w:tc>
        <w:tc>
          <w:tcPr>
            <w:tcW w:w="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32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Denver, Colorado</w:t>
            </w:r>
          </w:p>
        </w:tc>
        <w:tc>
          <w:tcPr>
            <w:tcW w:w="6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80220</w:t>
            </w:r>
          </w:p>
        </w:tc>
      </w:tr>
      <w:tr>
        <w:trPr>
          <w:trHeight w:val="238"/>
        </w:trPr>
        <w:tc>
          <w:tcPr>
            <w:tcW w:w="32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6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(303) 371-0387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spacing w:after="0"/>
              <w:rPr>
                <w:sz w:val="18"/>
                <w:szCs w:val="18"/>
                <w:color w:val="auto"/>
              </w:rPr>
            </w:pP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Not applicable</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 w:name="page2"/>
    <w:bookmarkEnd w:id="1"/>
    <w:p>
      <w:pPr>
        <w:ind w:right="1060"/>
        <w:spacing w:after="0" w:line="286" w:lineRule="auto"/>
        <w:rPr>
          <w:sz w:val="20"/>
          <w:szCs w:val="20"/>
          <w:color w:val="auto"/>
        </w:rPr>
      </w:pPr>
      <w:r>
        <w:rPr>
          <w:rFonts w:ascii="Times New Roman" w:cs="Times New Roman" w:eastAsia="Times New Roman" w:hAnsi="Times New Roman"/>
          <w:sz w:val="18"/>
          <w:szCs w:val="18"/>
          <w:b w:val="1"/>
          <w:bCs w:val="1"/>
          <w:color w:val="auto"/>
        </w:rPr>
        <w:t>Item 2.04. Triggering Events That Accelerate or Increase a Direct Financial Obligation or an Obligation under an Off-Balance Sheet Arrangement.</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March 3, 2025, PBS Holdco, LLC (formerly known as Mesa Organics Ltd.) (“PBS”), a subsidiary of Medicine Man Technologies, Inc., a Nevada corporation (the “Company”), did not pay the approximately $0.3 million quarterly principal payment and $0.4 million quarterly interest payments due on such date (the “Interest Payment Date”), in respect of that certain loan agreement (the “Loan Agreement”), dated as of February 26, 2021, among PBS, Mesa Organics II Ltd., Mesa Organics III Ltd., Mesa Organics IV Ltd., and SCG Holding, LLC, as borrowers (collectively, the “Borrowers”), SHWZ Altmore, LLC, as Lender (the “Lender”) and GGG Partners, LLC, as Collateral Agent (the “Collateral Agent”).</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March 7, 2025, PBS received a written notice from the Lender and the Collateral Agent stating that an automatic event of default (the “Event of Default”) occurred and is continuing under Section 8.01 of the Loan Agreement for failure by the Borrowers to timely make the principal payment on the Interest Payment Date for March 2025. The five (5) business day grace period for the missed interest payment due on the Interest Payment Date extended through March 10, 2025. Failure by the Company to make the interest payment during the grace period also constituted an Event of Default under Section 8.01 of the Loan Agreement.</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Upon the occurrence of the Event of Default, pursuant to Section 2.08(b) of the Loan Agreement, interest at a rate of simple interest per annum equal to 15% plus 4% began to accrue no later than March 3, 2025, and such default interest continues to accrue during the continuance of the Event of Default. The current balance due under the Loan Agreement is approximately $11 million.</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or around March 10, 2025, the Collateral Agent exercised control of certain of the Borrowers’ bank accounts pursuant to certain deposit account control agreements with the Lender. The Collateral Agent swept approximately $1.5 million of cash from these accounts pursuant to the remedies set forth in the Loan Agreement and related security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MEDICINE MAN TECHNOLOGIES,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2025</w:t>
            </w: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Forrest Hoffmaster</w:t>
            </w:r>
          </w:p>
        </w:tc>
      </w:tr>
      <w:tr>
        <w:trPr>
          <w:trHeight w:val="191"/>
        </w:trPr>
        <w:tc>
          <w:tcPr>
            <w:tcW w:w="36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Forrest Hoffmaster</w:t>
            </w:r>
          </w:p>
        </w:tc>
      </w:tr>
      <w:tr>
        <w:trPr>
          <w:trHeight w:val="234"/>
        </w:trPr>
        <w:tc>
          <w:tcPr>
            <w:tcW w:w="3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6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2025-03-13T16:36:01Z</dcterms:created>
  <dcterms:modified xsi:type="dcterms:W3CDTF">2025-03-13T16:36:01Z</dcterms:modified>
</cp:coreProperties>
</file>