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hwz-20230930x10q.htm"/>
        <w:bookmarkStart w:id="1" w:name="ksshwz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Tony</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666cc0b_2ac2_4b75_9e76_07753480fd70"/>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bidi w:val="0"/>
        <w:spacing w:before="0" w:after="0"/>
        <w:ind w:left="0" w:right="0" w:hanging="0"/>
        <w:jc w:val="center"/>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 to ________________.</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Commission File Number </w:t>
      </w:r>
      <w:r>
        <w:rPr>
          <w:rFonts w:ascii="Times New Roman;Times;serif" w:hAnsi="Times New Roman;Times;serif"/>
          <w:b/>
          <w:sz w:val="20"/>
        </w:rPr>
        <w:t>000-55450</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MEDICINE MAN TECHNOLOGIES,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UkWiKQzPokG65QTD0Wfujg_2_1"/>
      <w:bookmarkStart w:id="4" w:name="Tc_OvGZLiU4UUWp5pbu3H87Yw_2_0"/>
      <w:bookmarkStart w:id="5" w:name="_c9b45f1e_348f_4b2b_b177_f54668a003d2"/>
      <w:bookmarkStart w:id="6" w:name="Tc_UkWiKQzPokG65QTD0Wfujg_2_1"/>
      <w:bookmarkStart w:id="7" w:name="Tc_OvGZLiU4UUWp5pbu3H87Yw_2_0"/>
      <w:bookmarkStart w:id="8" w:name="_c9b45f1e_348f_4b2b_b177_f54668a003d2"/>
      <w:bookmarkEnd w:id="6"/>
      <w:bookmarkEnd w:id="7"/>
      <w:bookmarkEnd w:id="8"/>
    </w:p>
    <w:tbl>
      <w:tblPr>
        <w:tblW w:w="4967" w:type="dxa"/>
        <w:jc w:val="left"/>
        <w:tblInd w:w="0" w:type="dxa"/>
        <w:tblLayout w:type="fixed"/>
        <w:tblCellMar>
          <w:top w:w="0" w:type="dxa"/>
          <w:left w:w="0" w:type="dxa"/>
          <w:bottom w:w="0" w:type="dxa"/>
          <w:right w:w="0" w:type="dxa"/>
        </w:tblCellMar>
      </w:tblPr>
      <w:tblGrid>
        <w:gridCol w:w="2251"/>
        <w:gridCol w:w="271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46-5289499</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6q_jGf7wq0ekGCqurh0LRQ_2_1"/>
      <w:bookmarkStart w:id="10" w:name="Tc_5jKUvFF0n0muwQNWnIQXyw_2_0"/>
      <w:bookmarkStart w:id="11" w:name="Tc_EiSW65e57UGa_5d-7B17QA_1_0"/>
      <w:bookmarkStart w:id="12" w:name="_45b3e9de_d098_4777_ab6d_345937dd0024"/>
      <w:bookmarkStart w:id="13" w:name="Tc_6q_jGf7wq0ekGCqurh0LRQ_2_1"/>
      <w:bookmarkStart w:id="14" w:name="Tc_5jKUvFF0n0muwQNWnIQXyw_2_0"/>
      <w:bookmarkStart w:id="15" w:name="Tc_EiSW65e57UGa_5d-7B17QA_1_0"/>
      <w:bookmarkStart w:id="16" w:name="_45b3e9de_d098_4777_ab6d_345937dd0024"/>
      <w:bookmarkEnd w:id="13"/>
      <w:bookmarkEnd w:id="14"/>
      <w:bookmarkEnd w:id="15"/>
      <w:bookmarkEnd w:id="16"/>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58010" cy="678180"/>
                      <wp:effectExtent l="0" t="0" r="0" b="0"/>
                      <wp:wrapNone/>
                      <wp:docPr id="1" name="Frame1"/>
                      <a:graphic xmlns:a="http://schemas.openxmlformats.org/drawingml/2006/main">
                        <a:graphicData uri="http://schemas.microsoft.com/office/word/2010/wordprocessingShape">
                          <wps:wsp>
                            <wps:cNvSpPr txBox="1"/>
                            <wps:spPr>
                              <a:xfrm>
                                <a:off x="0" y="0"/>
                                <a:ext cx="1858010" cy="678180"/>
                              </a:xfrm>
                              <a:prstGeom prst="rect"/>
                              <a:solidFill>
                                <a:srgbClr val="FFFFFF"/>
                              </a:solidFill>
                            </wps:spPr>
                            <wps:txbx>
                              <w:txbxContent>
                                <w:p>
                                  <w:pPr>
                                    <w:pStyle w:val="TableContents"/>
                                    <w:bidi w:val="0"/>
                                    <w:spacing w:before="0" w:after="24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5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1185" cy="29210"/>
                      <wp:effectExtent l="0" t="0" r="0" b="0"/>
                      <wp:wrapNone/>
                      <wp:docPr id="2" name="Frame2"/>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865 North Albion Street</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Suite 300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Denver, Colorado</w:t>
            </w:r>
            <w:r>
              <w:rPr>
                <w:rFonts w:ascii="Times New Roman;Times;serif" w:hAnsi="Times New Roman;Times;serif"/>
                <w:sz w:val="20"/>
              </w:rPr>
              <w:t xml:space="preserve">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80220</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(303)</w:t>
      </w:r>
      <w:r>
        <w:rPr>
          <w:rFonts w:ascii="Times New Roman;Times;serif" w:hAnsi="Times New Roman;Times;serif"/>
          <w:sz w:val="20"/>
        </w:rPr>
        <w:t xml:space="preserve"> </w:t>
      </w:r>
      <w:r>
        <w:rPr>
          <w:rFonts w:ascii="Times New Roman;Times;serif" w:hAnsi="Times New Roman;Times;serif"/>
          <w:b/>
          <w:sz w:val="20"/>
        </w:rPr>
        <w:t>371-0387</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90" w:type="dxa"/>
        <w:jc w:val="left"/>
        <w:tblInd w:w="0" w:type="dxa"/>
        <w:tblLayout w:type="fixed"/>
        <w:tblCellMar>
          <w:top w:w="0" w:type="dxa"/>
          <w:left w:w="0" w:type="dxa"/>
          <w:bottom w:w="28" w:type="dxa"/>
          <w:right w:w="0" w:type="dxa"/>
        </w:tblCellMar>
      </w:tblPr>
      <w:tblGrid>
        <w:gridCol w:w="1456"/>
        <w:gridCol w:w="146"/>
        <w:gridCol w:w="1561"/>
        <w:gridCol w:w="146"/>
        <w:gridCol w:w="3481"/>
      </w:tblGrid>
      <w:tr>
        <w:trPr/>
        <w:tc>
          <w:tcPr>
            <w:tcW w:w="145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46" w:type="dxa"/>
            <w:tcBorders>
              <w:bottom w:val="single" w:sz="8" w:space="0" w:color="000000"/>
            </w:tcBorders>
            <w:vAlign w:val="center"/>
          </w:tcPr>
          <w:p>
            <w:pPr>
              <w:pStyle w:val="TableContents"/>
              <w:bidi w:val="0"/>
              <w:spacing w:before="0" w:after="0"/>
              <w:ind w:left="0" w:right="0" w:hanging="0"/>
              <w:jc w:val="center"/>
              <w:rPr/>
            </w:pPr>
            <w:r>
              <w:rPr/>
              <w:t> </w:t>
            </w:r>
          </w:p>
        </w:tc>
        <w:tc>
          <w:tcPr>
            <w:tcW w:w="15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146" w:type="dxa"/>
            <w:tcBorders>
              <w:bottom w:val="single" w:sz="8" w:space="0" w:color="000000"/>
            </w:tcBorders>
            <w:vAlign w:val="center"/>
          </w:tcPr>
          <w:p>
            <w:pPr>
              <w:pStyle w:val="TableContents"/>
              <w:bidi w:val="0"/>
              <w:spacing w:before="0" w:after="0"/>
              <w:ind w:left="0" w:right="0" w:hanging="0"/>
              <w:jc w:val="center"/>
              <w:rPr/>
            </w:pPr>
            <w:r>
              <w:rPr/>
              <w:t> </w:t>
            </w:r>
          </w:p>
        </w:tc>
        <w:tc>
          <w:tcPr>
            <w:tcW w:w="34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46" w:type="dxa"/>
            <w:tcBorders/>
            <w:tcMar>
              <w:bottom w:w="0" w:type="dxa"/>
            </w:tcMar>
            <w:vAlign w:val="center"/>
          </w:tcPr>
          <w:p>
            <w:pPr>
              <w:pStyle w:val="TableContents"/>
              <w:bidi w:val="0"/>
              <w:spacing w:before="0" w:after="0"/>
              <w:ind w:left="0" w:right="0" w:hanging="0"/>
              <w:jc w:val="left"/>
              <w:rPr/>
            </w:pPr>
            <w:r>
              <w:rPr/>
              <w:t> </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5053" w:type="dxa"/>
        <w:jc w:val="left"/>
        <w:tblInd w:w="0" w:type="dxa"/>
        <w:tblLayout w:type="fixed"/>
        <w:tblCellMar>
          <w:top w:w="0" w:type="dxa"/>
          <w:left w:w="0" w:type="dxa"/>
          <w:bottom w:w="0" w:type="dxa"/>
          <w:right w:w="0" w:type="dxa"/>
        </w:tblCellMar>
      </w:tblPr>
      <w:tblGrid>
        <w:gridCol w:w="161"/>
        <w:gridCol w:w="2221"/>
        <w:gridCol w:w="26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26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  ☐</w:t>
            </w:r>
          </w:p>
        </w:tc>
      </w:tr>
      <w:tr>
        <w:trPr/>
        <w:tc>
          <w:tcPr>
            <w:tcW w:w="161" w:type="dxa"/>
            <w:tcBorders/>
            <w:vAlign w:val="center"/>
          </w:tcPr>
          <w:p>
            <w:pPr>
              <w:pStyle w:val="TableContents"/>
              <w:bidi w:val="0"/>
              <w:spacing w:before="0" w:after="0"/>
              <w:ind w:left="0" w:right="0" w:hanging="0"/>
              <w:jc w:val="left"/>
              <w:rPr/>
            </w:pPr>
            <w:r>
              <w:rPr/>
              <w:t> </w:t>
            </w:r>
          </w:p>
        </w:tc>
        <w:tc>
          <w:tcPr>
            <w:tcW w:w="22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161" w:type="dxa"/>
            <w:tcBorders/>
            <w:vAlign w:val="center"/>
          </w:tcPr>
          <w:p>
            <w:pPr>
              <w:pStyle w:val="TableContents"/>
              <w:bidi w:val="0"/>
              <w:spacing w:before="0" w:after="0"/>
              <w:ind w:left="0" w:right="0" w:hanging="0"/>
              <w:jc w:val="left"/>
              <w:rPr/>
            </w:pPr>
            <w:r>
              <w:rPr/>
              <w:t> </w:t>
            </w:r>
          </w:p>
        </w:tc>
        <w:tc>
          <w:tcPr>
            <w:tcW w:w="2221"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November 1st, 2023, the Registrant had 72,591,605 shares of Common Stock outstanding. </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 w:name="TOC"/>
      <w:bookmarkStart w:id="18" w:name="_ea1ffa8c_52be_4d1e_b4ba_e0138b56509b"/>
      <w:bookmarkEnd w:id="17"/>
      <w:bookmarkEnd w:id="18"/>
      <w:r>
        <w:rPr>
          <w:rFonts w:ascii="Times New Roman;Times;serif" w:hAnsi="Times New Roman;Times;serif"/>
          <w:b/>
          <w:sz w:val="20"/>
        </w:rPr>
        <w:t>TABLE OF CONTENTS</w:t>
      </w:r>
    </w:p>
    <w:p>
      <w:pPr>
        <w:pStyle w:val="TextBody"/>
        <w:bidi w:val="0"/>
        <w:spacing w:before="0" w:after="240"/>
        <w:ind w:left="0" w:right="0" w:hanging="0"/>
        <w:jc w:val="both"/>
        <w:rPr/>
      </w:pPr>
      <w:r>
        <w:rPr/>
        <w:t>​</w:t>
      </w:r>
    </w:p>
    <w:tbl>
      <w:tblPr>
        <w:tblW w:w="8748" w:type="dxa"/>
        <w:jc w:val="left"/>
        <w:tblInd w:w="0" w:type="dxa"/>
        <w:tblLayout w:type="fixed"/>
        <w:tblCellMar>
          <w:top w:w="0" w:type="dxa"/>
          <w:left w:w="0" w:type="dxa"/>
          <w:bottom w:w="0" w:type="dxa"/>
          <w:right w:w="0" w:type="dxa"/>
        </w:tblCellMar>
      </w:tblPr>
      <w:tblGrid>
        <w:gridCol w:w="811"/>
        <w:gridCol w:w="7366"/>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177" w:type="dxa"/>
            <w:gridSpan w:val="2"/>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889370">
              <w:r>
                <w:rPr>
                  <w:rStyle w:val="InternetLink"/>
                  <w:rFonts w:ascii="Times New Roman;Times;serif" w:hAnsi="Times New Roman;Times;serif"/>
                  <w:b/>
                  <w:i w:val="false"/>
                  <w:caps w:val="false"/>
                  <w:smallCaps w:val="false"/>
                  <w:sz w:val="20"/>
                </w:rPr>
                <w:t>Part I – FINANCIAL INFORMATION</w:t>
              </w:r>
            </w:hyperlink>
          </w:p>
        </w:tc>
        <w:tc>
          <w:tcPr>
            <w:tcW w:w="571" w:type="dxa"/>
            <w:tcBorders/>
            <w:vAlign w:val="center"/>
          </w:tcPr>
          <w:p>
            <w:pPr>
              <w:pStyle w:val="TableContents"/>
              <w:bidi w:val="0"/>
              <w:spacing w:before="0" w:after="0"/>
              <w:ind w:left="0" w:right="0" w:hanging="0"/>
              <w:jc w:val="right"/>
              <w:rPr/>
            </w:pPr>
            <w:r>
              <w:rPr/>
              <w:t> </w:t>
            </w:r>
          </w:p>
        </w:tc>
      </w:tr>
      <w:tr>
        <w:trPr/>
        <w:tc>
          <w:tcPr>
            <w:tcW w:w="8177" w:type="dxa"/>
            <w:gridSpan w:val="2"/>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CAUTIONARYNOTE_285427">
              <w:r>
                <w:rPr>
                  <w:rStyle w:val="InternetLink"/>
                  <w:rFonts w:ascii="Times New Roman;Times;serif" w:hAnsi="Times New Roman;Times;serif"/>
                  <w:b w:val="false"/>
                  <w:i w:val="false"/>
                  <w:caps w:val="false"/>
                  <w:smallCaps w:val="false"/>
                  <w:sz w:val="20"/>
                </w:rPr>
                <w:t xml:space="preserve">Cautionary Note About Forward Looking Statements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177" w:type="dxa"/>
            <w:gridSpan w:val="2"/>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1ARisk">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2Unregistered">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3Defaults">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4Mine">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5Other">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9" w:name="CAUTIONARYNOTE_285427"/>
      <w:bookmarkStart w:id="20" w:name="_2a036333_fa36_4f02_ad5b_ccd96b0d075b"/>
      <w:bookmarkEnd w:id="19"/>
      <w:bookmarkEnd w:id="20"/>
      <w:r>
        <w:rPr>
          <w:rFonts w:ascii="Times New Roman;Times;serif" w:hAnsi="Times New Roman;Times;serif"/>
          <w:b/>
          <w:i/>
          <w:sz w:val="20"/>
        </w:rPr>
        <w:t>CAUTIONARY NOTE ABOUT FORWARD-LOOKING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and Section 21E of the Securities Exchange Act of 1934, as amended (the “Exchange Act”). All statements contained in this Quarterly Report on Form 10-Q other than statements of historical fact, including statements regarding our future results of operations and financial position, business strategy and plans, and objectives for future operations, are forward-looking statements. In some cases, you can identify forward-looking statements by the following words: “may,” “will,” “could,” “would,” “should,” “expect,” “intend,” “plan,” “anticipate,” “believe,” “approximately,” “estimate,” “predict,” “project,” “potential,” “continue,” “ongoing,” “become,” “develop,” “build,” or the negative of these terms or other words of similar meaning in connection with a discussion of future events or future operating or financial performance, although the absence of these words does not necessarily mean that a statement is not forward-looking. Forward-looking statements are based upon our current assumptions, expectations, and beliefs concerning future developments and their potential effect on our business. Forward-looking statements are subject to known and unknown risks, uncertainties, and other factors which may cause actual events or our actual results, performance, or achievements to be materially different from the future events, results, performance, or achievements expressed or implied by any forward-looking statements. There can be no assurance that future events, results, performance, or achievements will be in accordance with our expectations or that the effect of future events, results, performance, or achievements will be those anticipated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Factors and risks that may cause or contribute to actual events, results, performance, or achievements differing from these forward-looking statements include, but are not limited to, the following:</w:t>
      </w:r>
    </w:p>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limitations on our products and services;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consummate, and integrate anticipated acquisitions;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industry and economic conditions;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adequate capital upon terms and conditions that are acceptable to us;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interest and principal on outstanding debt when due;</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credit and market conditions; 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related to the cannabis market and our business strategy.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in very competitive and rapidly changing markets.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Stockholders and potential investors should not place undue reliance on these forward-looking statements. Although we believe that our plans, intentions, and expectations reflected in or suggested by the forward-looking statements in this Quarterly Report on Form 10-Q are reasonable, we cannot assure stockholders and potential investors that these plans, intentions or expectations will be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You are cautioned not to place undue reliance on these forward-looking statements. All subsequent written and oral forward-looking statements concerning other matters addressed in this Quarterly Report on Form 10-Q and attributable to us or any person acting on our behalf are expressly qualified in their entirety by the cautionary statements contained or referred to in this Quarterly Report on Form 10-Q.</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forward-looking statements speak only as of the date of this Quarterly Report on Form 10-Q. Except to the extent required by law, we undertake no obligation to update or revise any forward-looking statements, whether because of new information, future events, a change in events, conditions, circumstances, or assumptions underlying such statements, or otherwise.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1" w:name="PartIFINANCIALINFORMATION_889370"/>
      <w:bookmarkStart w:id="22" w:name="_07393a6b_8321_4a03_996a_cb1ce698a1cf"/>
      <w:bookmarkEnd w:id="21"/>
      <w:bookmarkEnd w:id="22"/>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23" w:name="Item1"/>
      <w:bookmarkEnd w:id="23"/>
      <w:r>
        <w:rPr>
          <w:rFonts w:ascii="Times New Roman;Times;serif" w:hAnsi="Times New Roman;Times;serif"/>
          <w:b/>
          <w:sz w:val="20"/>
        </w:rPr>
        <w:t xml:space="preserve">Item 1. </w:t>
      </w:r>
      <w:r>
        <w:rPr>
          <w:rFonts w:ascii="Times New Roman;Times;serif" w:hAnsi="Times New Roman;Times;serif"/>
          <w:b/>
          <w:i/>
          <w:sz w:val="20"/>
        </w:rPr>
        <w:t>Condensed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Normal"/>
        <w:bidi w:val="0"/>
        <w:spacing w:before="0" w:after="0"/>
        <w:jc w:val="left"/>
        <w:rPr>
          <w:sz w:val="4"/>
          <w:szCs w:val="4"/>
        </w:rPr>
      </w:pPr>
      <w:r>
        <w:rPr>
          <w:sz w:val="4"/>
          <w:szCs w:val="4"/>
        </w:rPr>
      </w:r>
      <w:bookmarkStart w:id="24" w:name="Tc_zbNviBScFUugUvQ_5MMliw_48_5"/>
      <w:bookmarkStart w:id="25" w:name="Tc_-YEgdIfPykuqrX2Ghi94Iw_48_2"/>
      <w:bookmarkStart w:id="26" w:name="Tc_iRwrrPlsuEaKvl3EwZjuHw_48_0"/>
      <w:bookmarkStart w:id="27" w:name="Tc_bm6jBV7HuEOkPtwuZVZhUw_47_0"/>
      <w:bookmarkStart w:id="28" w:name="Tc_E04El-o16kqa4e-DHmSP3A_46_0"/>
      <w:bookmarkStart w:id="29" w:name="Tc_BWb8kXszm06iHzTx56XEJg_45_0"/>
      <w:bookmarkStart w:id="30" w:name="Tc_LmJysXOk80eeM_zigfkGeQ_44_0"/>
      <w:bookmarkStart w:id="31" w:name="Tc_kzTVBxs56kGvv8e103wd-w_43_0"/>
      <w:bookmarkStart w:id="32" w:name="Tc_zZqMyH20e0-H42weYrzWLA_42_0"/>
      <w:bookmarkStart w:id="33" w:name="Tc_ClSVrH_PqEW_zksEaJFKUA_41_0"/>
      <w:bookmarkStart w:id="34" w:name="Tc_uOiU-P3CokmqxzJTlyGMbg_39_5"/>
      <w:bookmarkStart w:id="35" w:name="Tc_WqF5w4g-YEGzRZ9ES6ioTA_39_2"/>
      <w:bookmarkStart w:id="36" w:name="Tc_Q_cd3bCQaUeX0C8VY1icAA_39_0"/>
      <w:bookmarkStart w:id="37" w:name="Tc_LqL1AzNGtEWe4UpqRJqvHA_38_0"/>
      <w:bookmarkStart w:id="38" w:name="Tc_BDA6U4E36UqEQ74ikoofGw_37_3"/>
      <w:bookmarkStart w:id="39" w:name="Tc_PQBPRhJEGU6dxB1EALU3cA_37_0"/>
      <w:bookmarkStart w:id="40" w:name="Tc_Mb-sOdY_eUqcQPNgJWfqvQ_36_0"/>
      <w:bookmarkStart w:id="41" w:name="Tc_VMyx8bGQE0K9ykE7JOE0PA_35_0"/>
      <w:bookmarkStart w:id="42" w:name="Tc_nFvsV8oE7EmOhJGtGaZeCw_34_0"/>
      <w:bookmarkStart w:id="43" w:name="Tc_Oi0fzy9LBUG6jEERP1ZYqA_33_0"/>
      <w:bookmarkStart w:id="44" w:name="Tc_faa7cELLQUug_Q5vLibuDQ_32_0"/>
      <w:bookmarkStart w:id="45" w:name="Tc_ZZbBVM5ydUSEu1mroHvTzg_31_0"/>
      <w:bookmarkStart w:id="46" w:name="Tc_h32J5WTf40yDHSD_AdInrQ_30_0"/>
      <w:bookmarkStart w:id="47" w:name="Tc_31JZnXv6IUayjtc-yqL0-A_29_0"/>
      <w:bookmarkStart w:id="48" w:name="Tc_iKCuNohzbEy1j-k_9iR01A_28_0"/>
      <w:bookmarkStart w:id="49" w:name="Tc_qSRbFqakC06KSSUZXqPDlA_27_5"/>
      <w:bookmarkStart w:id="50" w:name="Tc_q0QWqNAw9kSUn4Iws8gFRQ_27_2"/>
      <w:bookmarkStart w:id="51" w:name="Tc_BqtcN7bdK0Cs5uL6bnaSPQ_27_0"/>
      <w:bookmarkStart w:id="52" w:name="Tc_7blxkpBs_UuBr-Xk0JLzGQ_26_0"/>
      <w:bookmarkStart w:id="53" w:name="Tc_6TAww6LcNkStvTZaGZTffQ_25_0"/>
      <w:bookmarkStart w:id="54" w:name="Tc_qfzHAQGrlUmdpdRRl8CQZw_23_5"/>
      <w:bookmarkStart w:id="55" w:name="Tc_vnltQjpCb0e-oAv5Ewq21w_23_2"/>
      <w:bookmarkStart w:id="56" w:name="Tc_3dxCyxlR1UGUmVtUiMan1A_23_0"/>
      <w:bookmarkStart w:id="57" w:name="Tc_6K8nn4AzY02JSq3X3aSj4A_22_0"/>
      <w:bookmarkStart w:id="58" w:name="Tc_KwtXIIlzjEKJc2Yfl7zXMg_21_0"/>
      <w:bookmarkStart w:id="59" w:name="Tc_u-IDXo1dBE-AvszvnEjdtA_20_0"/>
      <w:bookmarkStart w:id="60" w:name="Tc_NSobCvud-USlrxfjjnyCvA_19_6"/>
      <w:bookmarkStart w:id="61" w:name="Tc_jjbzEUm0s0iXbR4xYwauIA_19_0"/>
      <w:bookmarkStart w:id="62" w:name="Tc_b3h6uKDCTkWoXy54UmoH6A_18_6"/>
      <w:bookmarkStart w:id="63" w:name="Tc_sI9r9bQcIEW-agIgon-j6A_18_0"/>
      <w:bookmarkStart w:id="64" w:name="Tc_oFLrpKp1sEWBiZyL_JR7JA_17_0"/>
      <w:bookmarkStart w:id="65" w:name="Tc_Un2lT3n77EyT-eFD-_zaNw_16_0"/>
      <w:bookmarkStart w:id="66" w:name="Tc_ExoBYaq3fkeBNtLNhBR3Nw_15_0"/>
      <w:bookmarkStart w:id="67" w:name="Tc_6LLZVzd1f0auktQ7yAjB_w_14_0"/>
      <w:bookmarkStart w:id="68" w:name="Tc_WZdsjg_GNk6PONa0nS8RnA_13_0"/>
      <w:bookmarkStart w:id="69" w:name="Tc_De5b0O6oakWViK3fNVssVg_12_0"/>
      <w:bookmarkStart w:id="70" w:name="Tc_YiJtsNMye0-vqxZXcBDhZQ_11_0"/>
      <w:bookmarkStart w:id="71" w:name="Tc_eCLWL3fb-k6RSAt_lWLR7g_10_0"/>
      <w:bookmarkStart w:id="72" w:name="Tc_pxJ9pw_HxEaNxw-cs_6toQ_9_3"/>
      <w:bookmarkStart w:id="73" w:name="Tc_1T9H1yAqekKlKGijwZ9kOA_9_0"/>
      <w:bookmarkStart w:id="74" w:name="Tc_TJsTaXZsi0Ssxn8jItvR6Q_8_0"/>
      <w:bookmarkStart w:id="75" w:name="Tc_TnoR9NVOGkC881jQy7zdMA_7_0"/>
      <w:bookmarkStart w:id="76" w:name="Tc_ZSkCVVp3cU60s-JNgFrjkQ_6_5"/>
      <w:bookmarkStart w:id="77" w:name="Tc_KkwbhnwOk0a4FcLfq_DRgg_6_2"/>
      <w:bookmarkStart w:id="78" w:name="Tc_zwGgzHjppEWtPMrhBALKtw_6_0"/>
      <w:bookmarkStart w:id="79" w:name="Tc_FKzcznAgDkid9E2g7CiYvg_5_0"/>
      <w:bookmarkStart w:id="80" w:name="Tc_O7VST86Vn0WYTC-inWWhLw_4_0"/>
      <w:bookmarkStart w:id="81" w:name="Tc_q2LyYVVZRUS0_mQUvI7SRQ_3_5"/>
      <w:bookmarkStart w:id="82" w:name="Tc_0EwsWRP0k02twV-qM2PJUQ_3_2"/>
      <w:bookmarkStart w:id="83" w:name="Tc_xa16OmyzkUya17SoIsIIxA_2_5"/>
      <w:bookmarkStart w:id="84" w:name="Tc_8pk975mEt0OkCDDoIJHodg_2_2"/>
      <w:bookmarkStart w:id="85" w:name="Tc_jm8NcJkY3kq9OgBe-gpErA_1_5"/>
      <w:bookmarkStart w:id="86" w:name="Tc_DcRxsvmx7E22qg5BFU8poA_1_2"/>
      <w:bookmarkStart w:id="87" w:name="_51f89c28_4f3d_485c_86f8_7de8a4cfa749"/>
      <w:bookmarkStart w:id="88" w:name="Tc_zbNviBScFUugUvQ_5MMliw_48_5"/>
      <w:bookmarkStart w:id="89" w:name="Tc_-YEgdIfPykuqrX2Ghi94Iw_48_2"/>
      <w:bookmarkStart w:id="90" w:name="Tc_iRwrrPlsuEaKvl3EwZjuHw_48_0"/>
      <w:bookmarkStart w:id="91" w:name="Tc_bm6jBV7HuEOkPtwuZVZhUw_47_0"/>
      <w:bookmarkStart w:id="92" w:name="Tc_E04El-o16kqa4e-DHmSP3A_46_0"/>
      <w:bookmarkStart w:id="93" w:name="Tc_BWb8kXszm06iHzTx56XEJg_45_0"/>
      <w:bookmarkStart w:id="94" w:name="Tc_LmJysXOk80eeM_zigfkGeQ_44_0"/>
      <w:bookmarkStart w:id="95" w:name="Tc_kzTVBxs56kGvv8e103wd-w_43_0"/>
      <w:bookmarkStart w:id="96" w:name="Tc_zZqMyH20e0-H42weYrzWLA_42_0"/>
      <w:bookmarkStart w:id="97" w:name="Tc_ClSVrH_PqEW_zksEaJFKUA_41_0"/>
      <w:bookmarkStart w:id="98" w:name="Tc_uOiU-P3CokmqxzJTlyGMbg_39_5"/>
      <w:bookmarkStart w:id="99" w:name="Tc_WqF5w4g-YEGzRZ9ES6ioTA_39_2"/>
      <w:bookmarkStart w:id="100" w:name="Tc_Q_cd3bCQaUeX0C8VY1icAA_39_0"/>
      <w:bookmarkStart w:id="101" w:name="Tc_LqL1AzNGtEWe4UpqRJqvHA_38_0"/>
      <w:bookmarkStart w:id="102" w:name="Tc_BDA6U4E36UqEQ74ikoofGw_37_3"/>
      <w:bookmarkStart w:id="103" w:name="Tc_PQBPRhJEGU6dxB1EALU3cA_37_0"/>
      <w:bookmarkStart w:id="104" w:name="Tc_Mb-sOdY_eUqcQPNgJWfqvQ_36_0"/>
      <w:bookmarkStart w:id="105" w:name="Tc_VMyx8bGQE0K9ykE7JOE0PA_35_0"/>
      <w:bookmarkStart w:id="106" w:name="Tc_nFvsV8oE7EmOhJGtGaZeCw_34_0"/>
      <w:bookmarkStart w:id="107" w:name="Tc_Oi0fzy9LBUG6jEERP1ZYqA_33_0"/>
      <w:bookmarkStart w:id="108" w:name="Tc_faa7cELLQUug_Q5vLibuDQ_32_0"/>
      <w:bookmarkStart w:id="109" w:name="Tc_ZZbBVM5ydUSEu1mroHvTzg_31_0"/>
      <w:bookmarkStart w:id="110" w:name="Tc_h32J5WTf40yDHSD_AdInrQ_30_0"/>
      <w:bookmarkStart w:id="111" w:name="Tc_31JZnXv6IUayjtc-yqL0-A_29_0"/>
      <w:bookmarkStart w:id="112" w:name="Tc_iKCuNohzbEy1j-k_9iR01A_28_0"/>
      <w:bookmarkStart w:id="113" w:name="Tc_qSRbFqakC06KSSUZXqPDlA_27_5"/>
      <w:bookmarkStart w:id="114" w:name="Tc_q0QWqNAw9kSUn4Iws8gFRQ_27_2"/>
      <w:bookmarkStart w:id="115" w:name="Tc_BqtcN7bdK0Cs5uL6bnaSPQ_27_0"/>
      <w:bookmarkStart w:id="116" w:name="Tc_7blxkpBs_UuBr-Xk0JLzGQ_26_0"/>
      <w:bookmarkStart w:id="117" w:name="Tc_6TAww6LcNkStvTZaGZTffQ_25_0"/>
      <w:bookmarkStart w:id="118" w:name="Tc_qfzHAQGrlUmdpdRRl8CQZw_23_5"/>
      <w:bookmarkStart w:id="119" w:name="Tc_vnltQjpCb0e-oAv5Ewq21w_23_2"/>
      <w:bookmarkStart w:id="120" w:name="Tc_3dxCyxlR1UGUmVtUiMan1A_23_0"/>
      <w:bookmarkStart w:id="121" w:name="Tc_6K8nn4AzY02JSq3X3aSj4A_22_0"/>
      <w:bookmarkStart w:id="122" w:name="Tc_KwtXIIlzjEKJc2Yfl7zXMg_21_0"/>
      <w:bookmarkStart w:id="123" w:name="Tc_u-IDXo1dBE-AvszvnEjdtA_20_0"/>
      <w:bookmarkStart w:id="124" w:name="Tc_NSobCvud-USlrxfjjnyCvA_19_6"/>
      <w:bookmarkStart w:id="125" w:name="Tc_jjbzEUm0s0iXbR4xYwauIA_19_0"/>
      <w:bookmarkStart w:id="126" w:name="Tc_b3h6uKDCTkWoXy54UmoH6A_18_6"/>
      <w:bookmarkStart w:id="127" w:name="Tc_sI9r9bQcIEW-agIgon-j6A_18_0"/>
      <w:bookmarkStart w:id="128" w:name="Tc_oFLrpKp1sEWBiZyL_JR7JA_17_0"/>
      <w:bookmarkStart w:id="129" w:name="Tc_Un2lT3n77EyT-eFD-_zaNw_16_0"/>
      <w:bookmarkStart w:id="130" w:name="Tc_ExoBYaq3fkeBNtLNhBR3Nw_15_0"/>
      <w:bookmarkStart w:id="131" w:name="Tc_6LLZVzd1f0auktQ7yAjB_w_14_0"/>
      <w:bookmarkStart w:id="132" w:name="Tc_WZdsjg_GNk6PONa0nS8RnA_13_0"/>
      <w:bookmarkStart w:id="133" w:name="Tc_De5b0O6oakWViK3fNVssVg_12_0"/>
      <w:bookmarkStart w:id="134" w:name="Tc_YiJtsNMye0-vqxZXcBDhZQ_11_0"/>
      <w:bookmarkStart w:id="135" w:name="Tc_eCLWL3fb-k6RSAt_lWLR7g_10_0"/>
      <w:bookmarkStart w:id="136" w:name="Tc_pxJ9pw_HxEaNxw-cs_6toQ_9_3"/>
      <w:bookmarkStart w:id="137" w:name="Tc_1T9H1yAqekKlKGijwZ9kOA_9_0"/>
      <w:bookmarkStart w:id="138" w:name="Tc_TJsTaXZsi0Ssxn8jItvR6Q_8_0"/>
      <w:bookmarkStart w:id="139" w:name="Tc_TnoR9NVOGkC881jQy7zdMA_7_0"/>
      <w:bookmarkStart w:id="140" w:name="Tc_ZSkCVVp3cU60s-JNgFrjkQ_6_5"/>
      <w:bookmarkStart w:id="141" w:name="Tc_KkwbhnwOk0a4FcLfq_DRgg_6_2"/>
      <w:bookmarkStart w:id="142" w:name="Tc_zwGgzHjppEWtPMrhBALKtw_6_0"/>
      <w:bookmarkStart w:id="143" w:name="Tc_FKzcznAgDkid9E2g7CiYvg_5_0"/>
      <w:bookmarkStart w:id="144" w:name="Tc_O7VST86Vn0WYTC-inWWhLw_4_0"/>
      <w:bookmarkStart w:id="145" w:name="Tc_q2LyYVVZRUS0_mQUvI7SRQ_3_5"/>
      <w:bookmarkStart w:id="146" w:name="Tc_0EwsWRP0k02twV-qM2PJUQ_3_2"/>
      <w:bookmarkStart w:id="147" w:name="Tc_xa16OmyzkUya17SoIsIIxA_2_5"/>
      <w:bookmarkStart w:id="148" w:name="Tc_8pk975mEt0OkCDDoIJHodg_2_2"/>
      <w:bookmarkStart w:id="149" w:name="Tc_jm8NcJkY3kq9OgBe-gpErA_1_5"/>
      <w:bookmarkStart w:id="150" w:name="Tc_DcRxsvmx7E22qg5BFU8poA_1_2"/>
      <w:bookmarkStart w:id="151" w:name="_51f89c28_4f3d_485c_86f8_7de8a4cfa749"/>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7033"/>
        <w:gridCol w:w="326"/>
        <w:gridCol w:w="196"/>
        <w:gridCol w:w="1016"/>
        <w:gridCol w:w="326"/>
        <w:gridCol w:w="196"/>
        <w:gridCol w:w="1112"/>
      </w:tblGrid>
      <w:tr>
        <w:trPr/>
        <w:tc>
          <w:tcPr>
            <w:tcW w:w="7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465955" cy="175260"/>
                      <wp:effectExtent l="0" t="0" r="0" b="0"/>
                      <wp:wrapNone/>
                      <wp:docPr id="3" name="Frame3"/>
                      <a:graphic xmlns:a="http://schemas.openxmlformats.org/drawingml/2006/main">
                        <a:graphicData uri="http://schemas.microsoft.com/office/word/2010/wordprocessingShape">
                          <wps:wsp>
                            <wps:cNvSpPr txBox="1"/>
                            <wps:spPr>
                              <a:xfrm>
                                <a:off x="0" y="0"/>
                                <a:ext cx="446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5160" cy="175260"/>
                      <wp:effectExtent l="0" t="0" r="0" b="0"/>
                      <wp:wrapNone/>
                      <wp:docPr id="6" name="Frame6"/>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06120" cy="175260"/>
                      <wp:effectExtent l="0" t="0" r="0" b="0"/>
                      <wp:wrapNone/>
                      <wp:docPr id="9" name="Frame9"/>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vAlign w:val="center"/>
          </w:tcPr>
          <w:p>
            <w:pPr>
              <w:pStyle w:val="TableContents"/>
              <w:bidi w:val="0"/>
              <w:spacing w:before="0" w:after="0"/>
              <w:ind w:left="0" w:right="0" w:hanging="0"/>
              <w:jc w:val="left"/>
              <w:rPr/>
            </w:pPr>
            <w:r>
              <w:rPr/>
              <w:t>    </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19,624,615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38,949,253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doubtful accounts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5,049,869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4,471,978</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32,767,841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22,554,182</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receivable - current,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11,944</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Marketable securities, net of unrealized loss of $1,816 and loss of $39,270,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456,099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454,283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6,485,896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5,293,393</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64,384,320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71,735,033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 net accumulated depreciation $8,065,794 and $4,899,977,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32,139,192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27,089,026</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76,578,654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94,605,301</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 accumulated amortization of $28,828,713 and $16,290,862, respectively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168,822,669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107,726,718</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receivable – noncurrent,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1,298,950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1,527,256</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25,315,122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18,199,399</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306,206,367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251,147,700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370,590,687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322,882,733</w:t>
            </w:r>
          </w:p>
        </w:tc>
      </w:tr>
      <w:tr>
        <w:trPr/>
        <w:tc>
          <w:tcPr>
            <w:tcW w:w="70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11,665,499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10,701,281</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22,380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9,430,875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7,462,290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2,022,248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16,508,253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current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4,721,713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3,139,289</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 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2,250,000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18,283,784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7,297,815</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50,396,192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47,381,308</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 term debt, net of debt discount and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150,878,200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125,521,520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23,525,633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17,314,464</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502,070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174,403,833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143,338,054</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224,800,025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190,719,362</w:t>
            </w:r>
          </w:p>
        </w:tc>
      </w:tr>
      <w:tr>
        <w:trPr/>
        <w:tc>
          <w:tcPr>
            <w:tcW w:w="70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$0.001 par value. 10,000,000 shares authorized; 86,494 shares issued and 86,494 shares outstanding as of September 30, 2023, and 86,994 shares issued and 86,994 shares outstanding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$0.001 par value. 250,000,000 shares authorized; 72,607,621 shares issued and 72,591,605 shares outstanding as of September 30, 2023, and 56,352,545 shares issued and 55,212,547 shares outstanding as of December 31, 2022.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56,353</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199,177,342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180,381,641</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(51,426,247)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(46,241,583)</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held in treasury, at cost, 920,150 shares held as of September 30, 2023, and 920,150 shares held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(2,033,127)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(2,033,127)</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145,790,662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132,163,371</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370,590,687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322,882,733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552ac459_fdde_4079_a726_7e949260ff25"/>
      <w:bookmarkEnd w:id="152"/>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COMPREHENSIVE (LOSS) AND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Periods Ended September 30, 2023 and 2022</w:t>
      </w:r>
    </w:p>
    <w:p>
      <w:pPr>
        <w:pStyle w:val="TextBody"/>
        <w:bidi w:val="0"/>
        <w:spacing w:before="0" w:after="240"/>
        <w:ind w:left="0" w:right="0" w:hanging="0"/>
        <w:jc w:val="center"/>
        <w:rPr>
          <w:color w:val="FF0000"/>
        </w:rPr>
      </w:pPr>
      <w:r>
        <w:rPr>
          <w:color w:val="FF0000"/>
        </w:rPr>
        <w:t>​</w:t>
      </w:r>
    </w:p>
    <w:p>
      <w:pPr>
        <w:pStyle w:val="Normal"/>
        <w:bidi w:val="0"/>
        <w:spacing w:before="0" w:after="0"/>
        <w:jc w:val="left"/>
        <w:rPr>
          <w:sz w:val="4"/>
          <w:szCs w:val="4"/>
        </w:rPr>
      </w:pPr>
      <w:r>
        <w:rPr>
          <w:sz w:val="4"/>
          <w:szCs w:val="4"/>
        </w:rPr>
      </w:r>
      <w:bookmarkStart w:id="153" w:name="Tc_UZaj66Ozg0WjIR3v2gtDiA_38_11"/>
      <w:bookmarkStart w:id="154" w:name="Tc_0CcGH-ZnEEahi49JoBzEfQ_38_8"/>
      <w:bookmarkStart w:id="155" w:name="Tc_gan2MmQ15EqwpKvkiBpFnQ_38_5"/>
      <w:bookmarkStart w:id="156" w:name="Tc_c57qK-_qL02XZ8TLs793-g_38_2"/>
      <w:bookmarkStart w:id="157" w:name="Tc_-zxu0EG9YEaJknfrKod6nw_38_0"/>
      <w:bookmarkStart w:id="158" w:name="Tc_9uBmSw_hM0Ks16ciF6CGyQ_37_0"/>
      <w:bookmarkStart w:id="159" w:name="Tc_beICRCWEN0OsTMNJt3dFnw_36_0"/>
      <w:bookmarkStart w:id="160" w:name="Tc_U0xNwpa8RUatjyJ0miKXag_34_11"/>
      <w:bookmarkStart w:id="161" w:name="Tc_j8Kv7SlcyE2NE2xwcugZGg_34_8"/>
      <w:bookmarkStart w:id="162" w:name="Tc_s4LB0uVl5keWkZ7S4LINJw_34_6"/>
      <w:bookmarkStart w:id="163" w:name="Tc_NRjsi8WVOECPau_ohhQSmQ_34_5"/>
      <w:bookmarkStart w:id="164" w:name="Tc_0qQtp-jz-Ual4NCUDGfVrQ_34_2"/>
      <w:bookmarkStart w:id="165" w:name="Tc_0kbh5YIac0-wzvhMaAI1Yg_34_0"/>
      <w:bookmarkStart w:id="166" w:name="Tc_Gef-e6GtckmlnOCIzykgGw_33_11"/>
      <w:bookmarkStart w:id="167" w:name="Tc_4d1izpFBf0eM9HdVGisblg_33_8"/>
      <w:bookmarkStart w:id="168" w:name="Tc__DoyW0xnuEarOmBo1fxgIA_33_6"/>
      <w:bookmarkStart w:id="169" w:name="Tc_fWo054Srj0G9mpOp25MSrA_33_5"/>
      <w:bookmarkStart w:id="170" w:name="Tc_DHRFMp0r6kKQg9SnJkpaCA_33_2"/>
      <w:bookmarkStart w:id="171" w:name="Tc_u7RFn5JMiUCKGEslh89hNA_33_0"/>
      <w:bookmarkStart w:id="172" w:name="Tc_qEBcdoZuhUO9NKiQaLW8VA_32_0"/>
      <w:bookmarkStart w:id="173" w:name="Tc_9HyL2qjickeR-PTNgNsLpw_30_11"/>
      <w:bookmarkStart w:id="174" w:name="Tc_adgy6A7KFU2cs0ZglIibAw_30_8"/>
      <w:bookmarkStart w:id="175" w:name="Tc_Vhro1ZX-b0-Ht90mELm0RQ_30_5"/>
      <w:bookmarkStart w:id="176" w:name="Tc_ASwh4wjSe0uSja1rUvK0eg_30_2"/>
      <w:bookmarkStart w:id="177" w:name="Tc_L3CrOTlX_k-aNDlnSBTbtg_30_0"/>
      <w:bookmarkStart w:id="178" w:name="Tc_gJkNnfYkbUWUPoVEBjqUZw_29_0"/>
      <w:bookmarkStart w:id="179" w:name="Tc_IaLIZC28VEWrh_AATnqYgQ_27_11"/>
      <w:bookmarkStart w:id="180" w:name="Tc_A2k2kU9Ep0u5wXXgP76Lvw_27_8"/>
      <w:bookmarkStart w:id="181" w:name="Tc_Ondkm7nrbk6sGLoAgJ8eVA_27_5"/>
      <w:bookmarkStart w:id="182" w:name="Tc_UbX5Jz-s7UiTvZCmfq5FUA_27_2"/>
      <w:bookmarkStart w:id="183" w:name="Tc_qwLqZaOSoEWOKNuMS6VyfQ_27_0"/>
      <w:bookmarkStart w:id="184" w:name="Tc_S23jon23rEiACjVVD7YfYA_26_0"/>
      <w:bookmarkStart w:id="185" w:name="Tc_Pk996GFvGEularQpF5jMMQ_25_0"/>
      <w:bookmarkStart w:id="186" w:name="Tc_1dJF3egEPkih8JwA8bxxuQ_24_0"/>
      <w:bookmarkStart w:id="187" w:name="Tc_XUwHgOWZsU-7rubSI6gjnQ_23_3"/>
      <w:bookmarkStart w:id="188" w:name="Tc_AMU5duVrfE2qh-4kyZCWLg_23_0"/>
      <w:bookmarkStart w:id="189" w:name="Tc__Y98q-jwXEOFUHx9p2dSNg_22_9"/>
      <w:bookmarkStart w:id="190" w:name="Tc_7LtBImOzcUGtO5YZvxvQcw_22_6"/>
      <w:bookmarkStart w:id="191" w:name="Tc_RZDiepr2ZkaPbLeo1ueSzg_22_3"/>
      <w:bookmarkStart w:id="192" w:name="Tc_jZdi4JnJM0GLdY39bDHrGw_22_0"/>
      <w:bookmarkStart w:id="193" w:name="Tc_ouReZtjsS0uqb9AjR04NVw_21_0"/>
      <w:bookmarkStart w:id="194" w:name="Tc_e_OxPgmWT0aQ2gS6ZszdiA_20_0"/>
      <w:bookmarkStart w:id="195" w:name="Tc_WURd1HphX0G3BP5e59JgvQ_19_0"/>
      <w:bookmarkStart w:id="196" w:name="Tc_1evzOychi0WClvUGTj6LVg_18_0"/>
      <w:bookmarkStart w:id="197" w:name="Tc_NzWkTDbBo0aBqCVilWdv9Q_17_0"/>
      <w:bookmarkStart w:id="198" w:name="Tc_PfxOXSXpfU6FoMLAzBQxAw_16_0"/>
      <w:bookmarkStart w:id="199" w:name="Tc_Mibh6gpuEEi_A-GT8U63kg_15_0"/>
      <w:bookmarkStart w:id="200" w:name="Tc_CwqhwU0qN0GL1Apttb8B6g_14_0"/>
      <w:bookmarkStart w:id="201" w:name="Tc_rumz12Y79EqbdaCMzHaGiQ_13_0"/>
      <w:bookmarkStart w:id="202" w:name="Tc_iY9GuNe1EUK-497okX5mtg_12_0"/>
      <w:bookmarkStart w:id="203" w:name="Tc_fLF8cDewpESnWtSvUui5tA_11_0"/>
      <w:bookmarkStart w:id="204" w:name="Tc_vLdZ7cG5pki2OmklooG6TA_10_0"/>
      <w:bookmarkStart w:id="205" w:name="Tc_Ve6SnTI3bkerKPH5JDMVLg_9_0"/>
      <w:bookmarkStart w:id="206" w:name="Tc_1-9jV0j0dkCtYp9wVGJAkQ_8_0"/>
      <w:bookmarkStart w:id="207" w:name="Tc_kpriOuiQekiUqiHAmQI6KQ_7_0"/>
      <w:bookmarkStart w:id="208" w:name="Tc_JuRuH6jqxk6vy2DmY9wN_w_6_11"/>
      <w:bookmarkStart w:id="209" w:name="Tc_ZZ_SqDC9ZkmhiynGv48UyA_6_8"/>
      <w:bookmarkStart w:id="210" w:name="Tc_cAVtuJ68zUyc8uLlKyFFwg_6_5"/>
      <w:bookmarkStart w:id="211" w:name="Tc_MLcc1iHWZ02iw4uc1odh-g_6_2"/>
      <w:bookmarkStart w:id="212" w:name="Tc_T-Lx1thoR0SgXvxrsVjvLg_6_0"/>
      <w:bookmarkStart w:id="213" w:name="Tc_GQXgtUBjV0CZXYRmI14uXQ_5_0"/>
      <w:bookmarkStart w:id="214" w:name="Tc_krqOiU42KUa0oTHTkduhng_4_11"/>
      <w:bookmarkStart w:id="215" w:name="Tc_foYqr2Ols02hf-G_CzN_3g_4_8"/>
      <w:bookmarkStart w:id="216" w:name="Tc_zvT1CDy_k0K_8UbAQpEK3w_4_5"/>
      <w:bookmarkStart w:id="217" w:name="Tc_WXTAmDAWeECsbpvfCEX8nA_4_2"/>
      <w:bookmarkStart w:id="218" w:name="Tc_a01lmRxlgEu94eR9BI4WEA_3_11"/>
      <w:bookmarkStart w:id="219" w:name="Tc_peVg40ihqUes1mwxYjqGRg_3_8"/>
      <w:bookmarkStart w:id="220" w:name="Tc_zvBM9MRfd0yr1m575OCqMw_3_5"/>
      <w:bookmarkStart w:id="221" w:name="Tc_K7V3n-sYa0GUMu9ENhL3Sw_3_2"/>
      <w:bookmarkStart w:id="222" w:name="Tc_CYpU60aSi0iOLov6i4RdgA_2_8"/>
      <w:bookmarkStart w:id="223" w:name="Tc_sO8Hfgzqv0SVkqet_4QsCg_2_2"/>
      <w:bookmarkStart w:id="224" w:name="Tc_jlPfWUqShkKkghrHKOFh2g_1_8"/>
      <w:bookmarkStart w:id="225" w:name="Tc_hKEdtg7yQECevxo9y0BS5g_1_2"/>
      <w:bookmarkStart w:id="226" w:name="_e61263eb_a81e_43c4_b15c_4d217ef185d1"/>
      <w:bookmarkStart w:id="227" w:name="Tc_UZaj66Ozg0WjIR3v2gtDiA_38_11"/>
      <w:bookmarkStart w:id="228" w:name="Tc_0CcGH-ZnEEahi49JoBzEfQ_38_8"/>
      <w:bookmarkStart w:id="229" w:name="Tc_gan2MmQ15EqwpKvkiBpFnQ_38_5"/>
      <w:bookmarkStart w:id="230" w:name="Tc_c57qK-_qL02XZ8TLs793-g_38_2"/>
      <w:bookmarkStart w:id="231" w:name="Tc_-zxu0EG9YEaJknfrKod6nw_38_0"/>
      <w:bookmarkStart w:id="232" w:name="Tc_9uBmSw_hM0Ks16ciF6CGyQ_37_0"/>
      <w:bookmarkStart w:id="233" w:name="Tc_beICRCWEN0OsTMNJt3dFnw_36_0"/>
      <w:bookmarkStart w:id="234" w:name="Tc_U0xNwpa8RUatjyJ0miKXag_34_11"/>
      <w:bookmarkStart w:id="235" w:name="Tc_j8Kv7SlcyE2NE2xwcugZGg_34_8"/>
      <w:bookmarkStart w:id="236" w:name="Tc_s4LB0uVl5keWkZ7S4LINJw_34_6"/>
      <w:bookmarkStart w:id="237" w:name="Tc_NRjsi8WVOECPau_ohhQSmQ_34_5"/>
      <w:bookmarkStart w:id="238" w:name="Tc_0qQtp-jz-Ual4NCUDGfVrQ_34_2"/>
      <w:bookmarkStart w:id="239" w:name="Tc_0kbh5YIac0-wzvhMaAI1Yg_34_0"/>
      <w:bookmarkStart w:id="240" w:name="Tc_Gef-e6GtckmlnOCIzykgGw_33_11"/>
      <w:bookmarkStart w:id="241" w:name="Tc_4d1izpFBf0eM9HdVGisblg_33_8"/>
      <w:bookmarkStart w:id="242" w:name="Tc__DoyW0xnuEarOmBo1fxgIA_33_6"/>
      <w:bookmarkStart w:id="243" w:name="Tc_fWo054Srj0G9mpOp25MSrA_33_5"/>
      <w:bookmarkStart w:id="244" w:name="Tc_DHRFMp0r6kKQg9SnJkpaCA_33_2"/>
      <w:bookmarkStart w:id="245" w:name="Tc_u7RFn5JMiUCKGEslh89hNA_33_0"/>
      <w:bookmarkStart w:id="246" w:name="Tc_qEBcdoZuhUO9NKiQaLW8VA_32_0"/>
      <w:bookmarkStart w:id="247" w:name="Tc_9HyL2qjickeR-PTNgNsLpw_30_11"/>
      <w:bookmarkStart w:id="248" w:name="Tc_adgy6A7KFU2cs0ZglIibAw_30_8"/>
      <w:bookmarkStart w:id="249" w:name="Tc_Vhro1ZX-b0-Ht90mELm0RQ_30_5"/>
      <w:bookmarkStart w:id="250" w:name="Tc_ASwh4wjSe0uSja1rUvK0eg_30_2"/>
      <w:bookmarkStart w:id="251" w:name="Tc_L3CrOTlX_k-aNDlnSBTbtg_30_0"/>
      <w:bookmarkStart w:id="252" w:name="Tc_gJkNnfYkbUWUPoVEBjqUZw_29_0"/>
      <w:bookmarkStart w:id="253" w:name="Tc_IaLIZC28VEWrh_AATnqYgQ_27_11"/>
      <w:bookmarkStart w:id="254" w:name="Tc_A2k2kU9Ep0u5wXXgP76Lvw_27_8"/>
      <w:bookmarkStart w:id="255" w:name="Tc_Ondkm7nrbk6sGLoAgJ8eVA_27_5"/>
      <w:bookmarkStart w:id="256" w:name="Tc_UbX5Jz-s7UiTvZCmfq5FUA_27_2"/>
      <w:bookmarkStart w:id="257" w:name="Tc_qwLqZaOSoEWOKNuMS6VyfQ_27_0"/>
      <w:bookmarkStart w:id="258" w:name="Tc_S23jon23rEiACjVVD7YfYA_26_0"/>
      <w:bookmarkStart w:id="259" w:name="Tc_Pk996GFvGEularQpF5jMMQ_25_0"/>
      <w:bookmarkStart w:id="260" w:name="Tc_1dJF3egEPkih8JwA8bxxuQ_24_0"/>
      <w:bookmarkStart w:id="261" w:name="Tc_XUwHgOWZsU-7rubSI6gjnQ_23_3"/>
      <w:bookmarkStart w:id="262" w:name="Tc_AMU5duVrfE2qh-4kyZCWLg_23_0"/>
      <w:bookmarkStart w:id="263" w:name="Tc__Y98q-jwXEOFUHx9p2dSNg_22_9"/>
      <w:bookmarkStart w:id="264" w:name="Tc_7LtBImOzcUGtO5YZvxvQcw_22_6"/>
      <w:bookmarkStart w:id="265" w:name="Tc_RZDiepr2ZkaPbLeo1ueSzg_22_3"/>
      <w:bookmarkStart w:id="266" w:name="Tc_jZdi4JnJM0GLdY39bDHrGw_22_0"/>
      <w:bookmarkStart w:id="267" w:name="Tc_ouReZtjsS0uqb9AjR04NVw_21_0"/>
      <w:bookmarkStart w:id="268" w:name="Tc_e_OxPgmWT0aQ2gS6ZszdiA_20_0"/>
      <w:bookmarkStart w:id="269" w:name="Tc_WURd1HphX0G3BP5e59JgvQ_19_0"/>
      <w:bookmarkStart w:id="270" w:name="Tc_1evzOychi0WClvUGTj6LVg_18_0"/>
      <w:bookmarkStart w:id="271" w:name="Tc_NzWkTDbBo0aBqCVilWdv9Q_17_0"/>
      <w:bookmarkStart w:id="272" w:name="Tc_PfxOXSXpfU6FoMLAzBQxAw_16_0"/>
      <w:bookmarkStart w:id="273" w:name="Tc_Mibh6gpuEEi_A-GT8U63kg_15_0"/>
      <w:bookmarkStart w:id="274" w:name="Tc_CwqhwU0qN0GL1Apttb8B6g_14_0"/>
      <w:bookmarkStart w:id="275" w:name="Tc_rumz12Y79EqbdaCMzHaGiQ_13_0"/>
      <w:bookmarkStart w:id="276" w:name="Tc_iY9GuNe1EUK-497okX5mtg_12_0"/>
      <w:bookmarkStart w:id="277" w:name="Tc_fLF8cDewpESnWtSvUui5tA_11_0"/>
      <w:bookmarkStart w:id="278" w:name="Tc_vLdZ7cG5pki2OmklooG6TA_10_0"/>
      <w:bookmarkStart w:id="279" w:name="Tc_Ve6SnTI3bkerKPH5JDMVLg_9_0"/>
      <w:bookmarkStart w:id="280" w:name="Tc_1-9jV0j0dkCtYp9wVGJAkQ_8_0"/>
      <w:bookmarkStart w:id="281" w:name="Tc_kpriOuiQekiUqiHAmQI6KQ_7_0"/>
      <w:bookmarkStart w:id="282" w:name="Tc_JuRuH6jqxk6vy2DmY9wN_w_6_11"/>
      <w:bookmarkStart w:id="283" w:name="Tc_ZZ_SqDC9ZkmhiynGv48UyA_6_8"/>
      <w:bookmarkStart w:id="284" w:name="Tc_cAVtuJ68zUyc8uLlKyFFwg_6_5"/>
      <w:bookmarkStart w:id="285" w:name="Tc_MLcc1iHWZ02iw4uc1odh-g_6_2"/>
      <w:bookmarkStart w:id="286" w:name="Tc_T-Lx1thoR0SgXvxrsVjvLg_6_0"/>
      <w:bookmarkStart w:id="287" w:name="Tc_GQXgtUBjV0CZXYRmI14uXQ_5_0"/>
      <w:bookmarkStart w:id="288" w:name="Tc_krqOiU42KUa0oTHTkduhng_4_11"/>
      <w:bookmarkStart w:id="289" w:name="Tc_foYqr2Ols02hf-G_CzN_3g_4_8"/>
      <w:bookmarkStart w:id="290" w:name="Tc_zvT1CDy_k0K_8UbAQpEK3w_4_5"/>
      <w:bookmarkStart w:id="291" w:name="Tc_WXTAmDAWeECsbpvfCEX8nA_4_2"/>
      <w:bookmarkStart w:id="292" w:name="Tc_a01lmRxlgEu94eR9BI4WEA_3_11"/>
      <w:bookmarkStart w:id="293" w:name="Tc_peVg40ihqUes1mwxYjqGRg_3_8"/>
      <w:bookmarkStart w:id="294" w:name="Tc_zvBM9MRfd0yr1m575OCqMw_3_5"/>
      <w:bookmarkStart w:id="295" w:name="Tc_K7V3n-sYa0GUMu9ENhL3Sw_3_2"/>
      <w:bookmarkStart w:id="296" w:name="Tc_CYpU60aSi0iOLov6i4RdgA_2_8"/>
      <w:bookmarkStart w:id="297" w:name="Tc_sO8Hfgzqv0SVkqet_4QsCg_2_2"/>
      <w:bookmarkStart w:id="298" w:name="Tc_jlPfWUqShkKkghrHKOFh2g_1_8"/>
      <w:bookmarkStart w:id="299" w:name="Tc_hKEdtg7yQECevxo9y0BS5g_1_2"/>
      <w:bookmarkStart w:id="300" w:name="_e61263eb_a81e_43c4_b15c_4d217ef185d1"/>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W w:w="10205" w:type="dxa"/>
        <w:jc w:val="left"/>
        <w:tblInd w:w="0" w:type="dxa"/>
        <w:tblLayout w:type="fixed"/>
        <w:tblCellMar>
          <w:top w:w="0" w:type="dxa"/>
          <w:left w:w="0" w:type="dxa"/>
          <w:bottom w:w="0" w:type="dxa"/>
          <w:right w:w="0" w:type="dxa"/>
        </w:tblCellMar>
      </w:tblPr>
      <w:tblGrid>
        <w:gridCol w:w="3740"/>
        <w:gridCol w:w="326"/>
        <w:gridCol w:w="196"/>
        <w:gridCol w:w="939"/>
        <w:gridCol w:w="326"/>
        <w:gridCol w:w="196"/>
        <w:gridCol w:w="1006"/>
        <w:gridCol w:w="326"/>
        <w:gridCol w:w="196"/>
        <w:gridCol w:w="1029"/>
        <w:gridCol w:w="326"/>
        <w:gridCol w:w="196"/>
        <w:gridCol w:w="1029"/>
        <w:gridCol w:w="374"/>
      </w:tblGrid>
      <w:tr>
        <w:trPr/>
        <w:tc>
          <w:tcPr>
            <w:tcW w:w="3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74900" cy="175260"/>
                      <wp:effectExtent l="0" t="0" r="0" b="0"/>
                      <wp:wrapNone/>
                      <wp:docPr id="10" name="Frame10"/>
                      <a:graphic xmlns:a="http://schemas.openxmlformats.org/drawingml/2006/main">
                        <a:graphicData uri="http://schemas.microsoft.com/office/word/2010/wordprocessingShape">
                          <wps:wsp>
                            <wps:cNvSpPr txBox="1"/>
                            <wps:spPr>
                              <a:xfrm>
                                <a:off x="0" y="0"/>
                                <a:ext cx="2374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96265" cy="175260"/>
                      <wp:effectExtent l="0" t="0" r="0" b="0"/>
                      <wp:wrapNone/>
                      <wp:docPr id="13" name="Frame13"/>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38810" cy="175260"/>
                      <wp:effectExtent l="0" t="0" r="0" b="0"/>
                      <wp:wrapNone/>
                      <wp:docPr id="16" name="Frame1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3415" cy="175260"/>
                      <wp:effectExtent l="0" t="0" r="0" b="0"/>
                      <wp:wrapNone/>
                      <wp:docPr id="19" name="Frame19"/>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3415" cy="175260"/>
                      <wp:effectExtent l="0" t="0" r="0" b="0"/>
                      <wp:wrapNone/>
                      <wp:docPr id="22" name="Frame22"/>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37490" cy="175260"/>
                      <wp:effectExtent l="0" t="0" r="0" b="0"/>
                      <wp:wrapNone/>
                      <wp:docPr id="23" name="Frame23"/>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center"/>
              <w:rPr/>
            </w:pPr>
            <w:r>
              <w:rPr/>
              <w:t>​</w:t>
            </w:r>
          </w:p>
        </w:tc>
        <w:tc>
          <w:tcPr>
            <w:tcW w:w="27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7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3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vAlign w:val="center"/>
          </w:tcPr>
          <w:p>
            <w:pPr>
              <w:pStyle w:val="TableContents"/>
              <w:bidi w:val="0"/>
              <w:spacing w:before="0" w:after="0"/>
              <w:ind w:left="0" w:right="0" w:hanging="0"/>
              <w:jc w:val="center"/>
              <w:rPr/>
            </w:pPr>
            <w:r>
              <w:rPr/>
              <w:t>    </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vAlign w:val="center"/>
          </w:tcPr>
          <w:p>
            <w:pPr>
              <w:pStyle w:val="TableContents"/>
              <w:bidi w:val="0"/>
              <w:spacing w:before="0" w:after="0"/>
              <w:ind w:left="0" w:right="0" w:hanging="0"/>
              <w:jc w:val="center"/>
              <w:rPr/>
            </w:pPr>
            <w:r>
              <w:rPr/>
              <w:t>    </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74" w:type="dxa"/>
            <w:tcBorders/>
            <w:vAlign w:val="center"/>
          </w:tcPr>
          <w:p>
            <w:pPr>
              <w:pStyle w:val="TableContents"/>
              <w:bidi w:val="0"/>
              <w:spacing w:before="0" w:after="0"/>
              <w:ind w:left="0" w:right="0" w:hanging="0"/>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41,951,969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39,759,734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115,871,037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104,386,464</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Wholesale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4,701,268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3,335,252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13,034,676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14,661,268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217,258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184,200</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46,746,935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43,190,986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129,122,971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119,231,932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goods and services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25,308,972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20,715,192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60,133,091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60,661,933</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21,437,963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22,475,794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68,989,880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58,569,999</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9,639,268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6,594,311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28,693,517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20,114,335</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Professional services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767,822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1,507,149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2,443,046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5,609,579</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4,545,439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3,159,578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17,700,403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15,697,294</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(2,438,073)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99,898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622,162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1,788,823</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12,514,456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11,360,936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49,459,128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43,210,031</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8,923,507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11,114,858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19,530,752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15,359,968</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(8,320,397)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(8,500,235)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(23,956,691)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(23,312,088)</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derivative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4,516,237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4,816,668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14,486,005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28,104,960</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20,400</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(42,353)</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other income (expense)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(3,804,160)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(3,712,108)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(9,468,870)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4,770,919</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Pre-tax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5,119,347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7,402,750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10,061,882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20,130,887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5,441,809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5,593,513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15,246,546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11,259,369</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(322,462)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1,809,237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(5,184,664)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8,871,518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Accumulated preferred stock dividends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(1,547,369)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(1,784,113)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(5,930,646)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(5,294,132)</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(1,869,831)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(11,115,310)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3,577,386</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(loss) per share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(loss)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(loss) earnings per share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outstanding – 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87,202,537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51,232,943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78,635,841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50,615,437</w:t>
            </w:r>
          </w:p>
        </w:tc>
        <w:tc>
          <w:tcPr>
            <w:tcW w:w="374" w:type="dxa"/>
            <w:tcBorders/>
            <w:vAlign w:val="center"/>
          </w:tcPr>
          <w:p>
            <w:pPr>
              <w:pStyle w:val="TableContents"/>
              <w:bidi w:val="0"/>
              <w:spacing w:before="0" w:after="0"/>
              <w:ind w:left="0" w:right="0" w:hanging="0"/>
              <w:jc w:val="left"/>
              <w:rPr/>
            </w:pPr>
            <w:r>
              <w:rPr/>
              <w:t>​</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outstanding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87,202,537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137,954,532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78,635,841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137,337,027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374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(loss)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(322,462)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1,809,237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(5,184,664)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8,871,518</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1" w:name="_a3a1e6b4_208f_4e36_9094_8626a7a081c3"/>
      <w:bookmarkEnd w:id="301"/>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Nine Months Ended September 30, 2023 and 2022</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2" w:name="Tc_FElY6-j4F06wdcJlJS9N6A_12_23"/>
      <w:bookmarkStart w:id="303" w:name="Tc_5kZdr-Azv0GAPltjtCdw8w_12_20"/>
      <w:bookmarkStart w:id="304" w:name="Tc_I6XRuWP-4EqL65dwd2vAWA_12_15"/>
      <w:bookmarkStart w:id="305" w:name="Tc_Bf0A8lKreke8sYd4N_qFbA_12_12"/>
      <w:bookmarkStart w:id="306" w:name="Tc_FCFAS9IUGU-ZaauzkTKwng_12_9"/>
      <w:bookmarkStart w:id="307" w:name="Tc_u8IptZ37-0ix5zCyYsN8eA_12_4"/>
      <w:bookmarkStart w:id="308" w:name="Tc_xg6FDDaY40mysewsRYGbcA_12_0"/>
      <w:bookmarkStart w:id="309" w:name="Tc_Bo0srqc2s0CmqqNtcroHTw_10_21"/>
      <w:bookmarkStart w:id="310" w:name="Tc_V3ZC-zSj00aFfWC56k6z5A_10_18"/>
      <w:bookmarkStart w:id="311" w:name="Tc_RG-TZA9vV0SdBDrMtQhtDQ_10_16"/>
      <w:bookmarkStart w:id="312" w:name="Tc_AmZrGhiLXkOlKxDdTWsQ1w_10_5"/>
      <w:bookmarkStart w:id="313" w:name="Tc_i9ePRJIZFEGkkNb2Xx0f2w_10_2"/>
      <w:bookmarkStart w:id="314" w:name="Tc_Z9dXYqkl8ESQsbyX7P-CXw_10_0"/>
      <w:bookmarkStart w:id="315" w:name="Tc__FqohHcUk0eWEOGGQCZFOQ_9_16"/>
      <w:bookmarkStart w:id="316" w:name="Tc_8Uev39E08Ums8CS5wvmVlg_9_13"/>
      <w:bookmarkStart w:id="317" w:name="Tc_3ETtdC0j00KP_I2eYAtSFA_9_10"/>
      <w:bookmarkStart w:id="318" w:name="Tc_r7W838OrLEuchZXIzvYlqA_9_7"/>
      <w:bookmarkStart w:id="319" w:name="Tc_OYMspnuUnk-SgW4SdZLISA_9_5"/>
      <w:bookmarkStart w:id="320" w:name="Tc_VBtbiANItEm7pDPKLK-Frg_9_2"/>
      <w:bookmarkStart w:id="321" w:name="Tc__tNtzSjS2UmC9VZL_iT6Yw_9_0"/>
      <w:bookmarkStart w:id="322" w:name="Tc_swAQbUwObESdhDpyahAeYw_8_21"/>
      <w:bookmarkStart w:id="323" w:name="Tc_gisiFNB3C0OPG5K7zC6heA_8_18"/>
      <w:bookmarkStart w:id="324" w:name="Tc_aelOpPgcmUC4t642MeMc8g_8_16"/>
      <w:bookmarkStart w:id="325" w:name="Tc_LVl4Ys9lrE-mjbqAWZ1K-A_8_5"/>
      <w:bookmarkStart w:id="326" w:name="Tc_CjD2rXb93kuMw8AqOiK3eA_8_2"/>
      <w:bookmarkStart w:id="327" w:name="Tc_dNDdeR7lEU6wJhzIm6Cuew_8_0"/>
      <w:bookmarkStart w:id="328" w:name="Tc_9QbLEIWAOE2qooZpNHSUSA_7_21"/>
      <w:bookmarkStart w:id="329" w:name="Tc_1MYRUhJ0zUKwEvLmydW30Q_7_18"/>
      <w:bookmarkStart w:id="330" w:name="Tc_jkq7PD77tk2IngprLCAUgQ_7_16"/>
      <w:bookmarkStart w:id="331" w:name="Tc_Od7vXpXigkW2npcIJDRUdA_7_5"/>
      <w:bookmarkStart w:id="332" w:name="Tc_PlQNVc8PxEyeleqtYP20KA_7_2"/>
      <w:bookmarkStart w:id="333" w:name="Tc_1hH9oe7ZX0qpFKdHiAlDHg_7_0"/>
      <w:bookmarkStart w:id="334" w:name="Tc_pxkwA2oUNUWbwEwhjGBz8Q_6_21"/>
      <w:bookmarkStart w:id="335" w:name="Tc_oXZnntGLP0y27nrF0KtrhA_6_18"/>
      <w:bookmarkStart w:id="336" w:name="Tc_adG99nH4BUKQS11mtc-0Kg_6_13"/>
      <w:bookmarkStart w:id="337" w:name="Tc_FV5OBnAglUKR7Or_HoThZg_6_10"/>
      <w:bookmarkStart w:id="338" w:name="Tc_0LJy-LXvZ0u0N_Ygu88XKw_6_7"/>
      <w:bookmarkStart w:id="339" w:name="Tc_p5-ap0-qZke5qVUclKZMPQ_6_5"/>
      <w:bookmarkStart w:id="340" w:name="Tc_4Sl0ZE6EzUGNwLsJbGlROA_6_2"/>
      <w:bookmarkStart w:id="341" w:name="Tc_3uL6R2JkhkCcphg_9EqglQ_6_0"/>
      <w:bookmarkStart w:id="342" w:name="Tc_8ruznnTdAkWxNu_E_ph9Aw_4_23"/>
      <w:bookmarkStart w:id="343" w:name="Tc_UUZ8vxFha0SwAN7_O1SfFg_4_20"/>
      <w:bookmarkStart w:id="344" w:name="Tc_WycB_d-4-Eu9K5KekPgZ8A_4_15"/>
      <w:bookmarkStart w:id="345" w:name="Tc_SnimxNLuxkaYiVfWVNiDaA_4_12"/>
      <w:bookmarkStart w:id="346" w:name="Tc_yjC_8fggsEyIr1Jg5eYvGA_4_9"/>
      <w:bookmarkStart w:id="347" w:name="Tc_5IKPVdkJNUyztotF6Z1ufg_4_4"/>
      <w:bookmarkStart w:id="348" w:name="Tc_LdhalLXgf0SVQhGsu3F6zg_4_0"/>
      <w:bookmarkStart w:id="349" w:name="Tc_wD7Q5GtWt0ekrUDfIqAm0Q_3_23"/>
      <w:bookmarkStart w:id="350" w:name="Tc_2nIcyP8tz0agQ0cDRgOdIQ_3_20"/>
      <w:bookmarkStart w:id="351" w:name="Tc_wfdnZTGitUWJVr13kOjgmQ_3_18"/>
      <w:bookmarkStart w:id="352" w:name="Tc_4cCZc_ODokWutMJhCKpkaA_3_15"/>
      <w:bookmarkStart w:id="353" w:name="Tc_nOf3kDMkVUCQk35CxBLgMg_3_12"/>
      <w:bookmarkStart w:id="354" w:name="Tc_bHRDRcdUxUOzgxqY6alLYA_3_9"/>
      <w:bookmarkStart w:id="355" w:name="Tc_Yu9w0KUyX0mONoUABz-vOA_3_7"/>
      <w:bookmarkStart w:id="356" w:name="Tc_NajTlTVdMkOC0ndKUpv7zQ_3_4"/>
      <w:bookmarkStart w:id="357" w:name="Tc_aY-GI2Tv-0G3DAMUDWB51g_3_2"/>
      <w:bookmarkStart w:id="358" w:name="Tc_oVXT3uqqw0i80JqhmCaoFQ_2_23"/>
      <w:bookmarkStart w:id="359" w:name="Tc_QcpTpgk1JEuMu0dq-SwzzA_2_18"/>
      <w:bookmarkStart w:id="360" w:name="Tc_FbsFi3-0S0Gba1YQh4hwzg_2_15"/>
      <w:bookmarkStart w:id="361" w:name="Tc_mUWwKaqLdUu-CN5Or7pmlw_2_12"/>
      <w:bookmarkStart w:id="362" w:name="Tc_J26eJssILEaIRx0iLmEn_A_2_7"/>
      <w:bookmarkStart w:id="363" w:name="Tc_HK40jhC-WUqXCI21w8N_Hw_2_2"/>
      <w:bookmarkStart w:id="364" w:name="Tc_4Mpf_cl8a0uqSBVNI9HwFg_1_23"/>
      <w:bookmarkStart w:id="365" w:name="Tc_k8TTyynWMkClNxLbcI0PBQ_1_12"/>
      <w:bookmarkStart w:id="366" w:name="_8959d944_c591_4f48_a623_a6e3854d49df"/>
      <w:bookmarkStart w:id="367" w:name="Tc_FElY6-j4F06wdcJlJS9N6A_12_23"/>
      <w:bookmarkStart w:id="368" w:name="Tc_5kZdr-Azv0GAPltjtCdw8w_12_20"/>
      <w:bookmarkStart w:id="369" w:name="Tc_I6XRuWP-4EqL65dwd2vAWA_12_15"/>
      <w:bookmarkStart w:id="370" w:name="Tc_Bf0A8lKreke8sYd4N_qFbA_12_12"/>
      <w:bookmarkStart w:id="371" w:name="Tc_FCFAS9IUGU-ZaauzkTKwng_12_9"/>
      <w:bookmarkStart w:id="372" w:name="Tc_u8IptZ37-0ix5zCyYsN8eA_12_4"/>
      <w:bookmarkStart w:id="373" w:name="Tc_xg6FDDaY40mysewsRYGbcA_12_0"/>
      <w:bookmarkStart w:id="374" w:name="Tc_Bo0srqc2s0CmqqNtcroHTw_10_21"/>
      <w:bookmarkStart w:id="375" w:name="Tc_V3ZC-zSj00aFfWC56k6z5A_10_18"/>
      <w:bookmarkStart w:id="376" w:name="Tc_RG-TZA9vV0SdBDrMtQhtDQ_10_16"/>
      <w:bookmarkStart w:id="377" w:name="Tc_AmZrGhiLXkOlKxDdTWsQ1w_10_5"/>
      <w:bookmarkStart w:id="378" w:name="Tc_i9ePRJIZFEGkkNb2Xx0f2w_10_2"/>
      <w:bookmarkStart w:id="379" w:name="Tc_Z9dXYqkl8ESQsbyX7P-CXw_10_0"/>
      <w:bookmarkStart w:id="380" w:name="Tc__FqohHcUk0eWEOGGQCZFOQ_9_16"/>
      <w:bookmarkStart w:id="381" w:name="Tc_8Uev39E08Ums8CS5wvmVlg_9_13"/>
      <w:bookmarkStart w:id="382" w:name="Tc_3ETtdC0j00KP_I2eYAtSFA_9_10"/>
      <w:bookmarkStart w:id="383" w:name="Tc_r7W838OrLEuchZXIzvYlqA_9_7"/>
      <w:bookmarkStart w:id="384" w:name="Tc_OYMspnuUnk-SgW4SdZLISA_9_5"/>
      <w:bookmarkStart w:id="385" w:name="Tc_VBtbiANItEm7pDPKLK-Frg_9_2"/>
      <w:bookmarkStart w:id="386" w:name="Tc__tNtzSjS2UmC9VZL_iT6Yw_9_0"/>
      <w:bookmarkStart w:id="387" w:name="Tc_swAQbUwObESdhDpyahAeYw_8_21"/>
      <w:bookmarkStart w:id="388" w:name="Tc_gisiFNB3C0OPG5K7zC6heA_8_18"/>
      <w:bookmarkStart w:id="389" w:name="Tc_aelOpPgcmUC4t642MeMc8g_8_16"/>
      <w:bookmarkStart w:id="390" w:name="Tc_LVl4Ys9lrE-mjbqAWZ1K-A_8_5"/>
      <w:bookmarkStart w:id="391" w:name="Tc_CjD2rXb93kuMw8AqOiK3eA_8_2"/>
      <w:bookmarkStart w:id="392" w:name="Tc_dNDdeR7lEU6wJhzIm6Cuew_8_0"/>
      <w:bookmarkStart w:id="393" w:name="Tc_9QbLEIWAOE2qooZpNHSUSA_7_21"/>
      <w:bookmarkStart w:id="394" w:name="Tc_1MYRUhJ0zUKwEvLmydW30Q_7_18"/>
      <w:bookmarkStart w:id="395" w:name="Tc_jkq7PD77tk2IngprLCAUgQ_7_16"/>
      <w:bookmarkStart w:id="396" w:name="Tc_Od7vXpXigkW2npcIJDRUdA_7_5"/>
      <w:bookmarkStart w:id="397" w:name="Tc_PlQNVc8PxEyeleqtYP20KA_7_2"/>
      <w:bookmarkStart w:id="398" w:name="Tc_1hH9oe7ZX0qpFKdHiAlDHg_7_0"/>
      <w:bookmarkStart w:id="399" w:name="Tc_pxkwA2oUNUWbwEwhjGBz8Q_6_21"/>
      <w:bookmarkStart w:id="400" w:name="Tc_oXZnntGLP0y27nrF0KtrhA_6_18"/>
      <w:bookmarkStart w:id="401" w:name="Tc_adG99nH4BUKQS11mtc-0Kg_6_13"/>
      <w:bookmarkStart w:id="402" w:name="Tc_FV5OBnAglUKR7Or_HoThZg_6_10"/>
      <w:bookmarkStart w:id="403" w:name="Tc_0LJy-LXvZ0u0N_Ygu88XKw_6_7"/>
      <w:bookmarkStart w:id="404" w:name="Tc_p5-ap0-qZke5qVUclKZMPQ_6_5"/>
      <w:bookmarkStart w:id="405" w:name="Tc_4Sl0ZE6EzUGNwLsJbGlROA_6_2"/>
      <w:bookmarkStart w:id="406" w:name="Tc_3uL6R2JkhkCcphg_9EqglQ_6_0"/>
      <w:bookmarkStart w:id="407" w:name="Tc_8ruznnTdAkWxNu_E_ph9Aw_4_23"/>
      <w:bookmarkStart w:id="408" w:name="Tc_UUZ8vxFha0SwAN7_O1SfFg_4_20"/>
      <w:bookmarkStart w:id="409" w:name="Tc_WycB_d-4-Eu9K5KekPgZ8A_4_15"/>
      <w:bookmarkStart w:id="410" w:name="Tc_SnimxNLuxkaYiVfWVNiDaA_4_12"/>
      <w:bookmarkStart w:id="411" w:name="Tc_yjC_8fggsEyIr1Jg5eYvGA_4_9"/>
      <w:bookmarkStart w:id="412" w:name="Tc_5IKPVdkJNUyztotF6Z1ufg_4_4"/>
      <w:bookmarkStart w:id="413" w:name="Tc_LdhalLXgf0SVQhGsu3F6zg_4_0"/>
      <w:bookmarkStart w:id="414" w:name="Tc_wD7Q5GtWt0ekrUDfIqAm0Q_3_23"/>
      <w:bookmarkStart w:id="415" w:name="Tc_2nIcyP8tz0agQ0cDRgOdIQ_3_20"/>
      <w:bookmarkStart w:id="416" w:name="Tc_wfdnZTGitUWJVr13kOjgmQ_3_18"/>
      <w:bookmarkStart w:id="417" w:name="Tc_4cCZc_ODokWutMJhCKpkaA_3_15"/>
      <w:bookmarkStart w:id="418" w:name="Tc_nOf3kDMkVUCQk35CxBLgMg_3_12"/>
      <w:bookmarkStart w:id="419" w:name="Tc_bHRDRcdUxUOzgxqY6alLYA_3_9"/>
      <w:bookmarkStart w:id="420" w:name="Tc_Yu9w0KUyX0mONoUABz-vOA_3_7"/>
      <w:bookmarkStart w:id="421" w:name="Tc_NajTlTVdMkOC0ndKUpv7zQ_3_4"/>
      <w:bookmarkStart w:id="422" w:name="Tc_aY-GI2Tv-0G3DAMUDWB51g_3_2"/>
      <w:bookmarkStart w:id="423" w:name="Tc_oVXT3uqqw0i80JqhmCaoFQ_2_23"/>
      <w:bookmarkStart w:id="424" w:name="Tc_QcpTpgk1JEuMu0dq-SwzzA_2_18"/>
      <w:bookmarkStart w:id="425" w:name="Tc_FbsFi3-0S0Gba1YQh4hwzg_2_15"/>
      <w:bookmarkStart w:id="426" w:name="Tc_mUWwKaqLdUu-CN5Or7pmlw_2_12"/>
      <w:bookmarkStart w:id="427" w:name="Tc_J26eJssILEaIRx0iLmEn_A_2_7"/>
      <w:bookmarkStart w:id="428" w:name="Tc_HK40jhC-WUqXCI21w8N_Hw_2_2"/>
      <w:bookmarkStart w:id="429" w:name="Tc_4Mpf_cl8a0uqSBVNI9HwFg_1_23"/>
      <w:bookmarkStart w:id="430" w:name="Tc_k8TTyynWMkClNxLbcI0PBQ_1_12"/>
      <w:bookmarkStart w:id="431" w:name="_8959d944_c591_4f48_a623_a6e3854d49df"/>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tbl>
      <w:tblPr>
        <w:tblW w:w="11034" w:type="dxa"/>
        <w:jc w:val="left"/>
        <w:tblInd w:w="0" w:type="dxa"/>
        <w:tblLayout w:type="fixed"/>
        <w:tblCellMar>
          <w:top w:w="0" w:type="dxa"/>
          <w:left w:w="0" w:type="dxa"/>
          <w:bottom w:w="0" w:type="dxa"/>
          <w:right w:w="0" w:type="dxa"/>
        </w:tblCellMar>
      </w:tblPr>
      <w:tblGrid>
        <w:gridCol w:w="931"/>
        <w:gridCol w:w="326"/>
        <w:gridCol w:w="511"/>
        <w:gridCol w:w="326"/>
        <w:gridCol w:w="196"/>
        <w:gridCol w:w="375"/>
        <w:gridCol w:w="326"/>
        <w:gridCol w:w="766"/>
        <w:gridCol w:w="326"/>
        <w:gridCol w:w="181"/>
        <w:gridCol w:w="511"/>
        <w:gridCol w:w="326"/>
        <w:gridCol w:w="181"/>
        <w:gridCol w:w="841"/>
        <w:gridCol w:w="326"/>
        <w:gridCol w:w="181"/>
        <w:gridCol w:w="811"/>
        <w:gridCol w:w="326"/>
        <w:gridCol w:w="586"/>
        <w:gridCol w:w="326"/>
        <w:gridCol w:w="181"/>
        <w:gridCol w:w="736"/>
        <w:gridCol w:w="326"/>
        <w:gridCol w:w="181"/>
        <w:gridCol w:w="931"/>
      </w:tblGrid>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45,484,314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162,815,097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(27,773,968)</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517,044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(1,517,036)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133,569,665</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8,871,518</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8,871,518</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9,742,204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15,090,258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15,100,000</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510,525</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615,057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615,431</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Return of common stock as compensation to employees, officers and/or directors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369,415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(473,642)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(473,642)</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196,085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1,834,208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1,834,404</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55,933,128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55,797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180,354,620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(18,902,450)</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886,459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(1,990,678)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159,517,376</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32" w:name="Tc_6mq1UQFqjk2ilU0vyhcaWQ_12_23"/>
      <w:bookmarkStart w:id="433" w:name="Tc_DXEUL1_Q7kCZR4O0G26OTg_12_20"/>
      <w:bookmarkStart w:id="434" w:name="Tc_acPk8KwH9EG-s89mRpwyEQ_12_15"/>
      <w:bookmarkStart w:id="435" w:name="Tc_lhmKtYco0k--bjaCE1mEsg_12_12"/>
      <w:bookmarkStart w:id="436" w:name="Tc_s-VO_48L60ij4Kz1Y2H1FQ_12_9"/>
      <w:bookmarkStart w:id="437" w:name="Tc__xeIY4DKTkO7tWUVFLducA_12_4"/>
      <w:bookmarkStart w:id="438" w:name="Tc_plRjr1siskqRncsnvjUy4g_12_0"/>
      <w:bookmarkStart w:id="439" w:name="Tc_G8_Fo12kYkKxil8n5hjEGg_10_21"/>
      <w:bookmarkStart w:id="440" w:name="Tc_OAN2LxnDo0a2mmV-0WAxAQ_10_18"/>
      <w:bookmarkStart w:id="441" w:name="Tc_5sidelykfkmgbRiX7-vGJA_10_7"/>
      <w:bookmarkStart w:id="442" w:name="Tc_PM8KDOnyq0yB2U_qlqwZBA_10_5"/>
      <w:bookmarkStart w:id="443" w:name="Tc_IW2yRcA_NE2XA3goytZKdA_10_2"/>
      <w:bookmarkStart w:id="444" w:name="Tc_0U0sOFbObkmvlT9iLvH36A_10_0"/>
      <w:bookmarkStart w:id="445" w:name="Tc_A9fAVuUk7kaKkRueFiPgVw_9_24"/>
      <w:bookmarkStart w:id="446" w:name="Tc_CCkQLoPfr0asKeMKa9a9Eg_9_21"/>
      <w:bookmarkStart w:id="447" w:name="Tc_vQ7yVYcijU-6PInPNGe8FQ_9_18"/>
      <w:bookmarkStart w:id="448" w:name="Tc_eGd4ypYGS0uRpFywb_tWfA_9_16"/>
      <w:bookmarkStart w:id="449" w:name="Tc_TMm3lKrRX0qUrRlnTk3aEg_9_0"/>
      <w:bookmarkStart w:id="450" w:name="Tc_kXoIQfGy5kSiisR43ZeLcw_8_21"/>
      <w:bookmarkStart w:id="451" w:name="Tc_A6D5eClcAEO2iDq-ZJoahg_8_18"/>
      <w:bookmarkStart w:id="452" w:name="Tc_m_mLRmVHwk2EC1VTFZ_ABQ_8_16"/>
      <w:bookmarkStart w:id="453" w:name="Tc_8YeAyef1vE2Mzub6YEGN6w_8_5"/>
      <w:bookmarkStart w:id="454" w:name="Tc_jg9hD2MbEUGnuKeM6JM5Xg_8_2"/>
      <w:bookmarkStart w:id="455" w:name="Tc_ikx0sxBC5ki2mQL4ijSs1A_8_0"/>
      <w:bookmarkStart w:id="456" w:name="Tc_UFoaDW5FHEio9fJhRQPgLQ_7_21"/>
      <w:bookmarkStart w:id="457" w:name="Tc_zsOyABhm2E2TChtchmKyZQ_7_18"/>
      <w:bookmarkStart w:id="458" w:name="Tc_WjXwj-NvMESe2hBQ_V-spw_7_16"/>
      <w:bookmarkStart w:id="459" w:name="Tc_snBBSQZh7E-THhqx5ZAv_Q_7_5"/>
      <w:bookmarkStart w:id="460" w:name="Tc_z_J_408zCka1ISwsEikYkA_7_2"/>
      <w:bookmarkStart w:id="461" w:name="Tc_rrRHnIniTEqGt89lxZdIOg_7_0"/>
      <w:bookmarkStart w:id="462" w:name="Tc_jTn8_fhEPES-R_H9iiClwQ_6_21"/>
      <w:bookmarkStart w:id="463" w:name="Tc_JcHtKay63E6Hl6yIXmHGLA_6_18"/>
      <w:bookmarkStart w:id="464" w:name="Tc_FPtTCoNqjUigPT9JI7X2pA_6_10"/>
      <w:bookmarkStart w:id="465" w:name="Tc_saoJKObBEkiC-85sfpnK-Q_6_7"/>
      <w:bookmarkStart w:id="466" w:name="Tc_NXA6BApGu0-WkaVfd_dxjw_6_5"/>
      <w:bookmarkStart w:id="467" w:name="Tc_RNKBa7zrokuZYJq9qvYIWA_6_2"/>
      <w:bookmarkStart w:id="468" w:name="Tc_i9Wfb-Kk7USGQ49rZWyFKg_6_0"/>
      <w:bookmarkStart w:id="469" w:name="Tc_UYCdHvJ3K0iBnLFw9EXAJA_4_23"/>
      <w:bookmarkStart w:id="470" w:name="Tc_nrtNmNPlu0OuYY5f2cl7pA_4_20"/>
      <w:bookmarkStart w:id="471" w:name="Tc_RGfG31Ekt0iIji8OT2wXJw_4_15"/>
      <w:bookmarkStart w:id="472" w:name="Tc_QlCw-oSKxkqpTcnkIa_c2A_4_12"/>
      <w:bookmarkStart w:id="473" w:name="Tc_Cg7oIM2XwkikRGB6z0AZlg_4_9"/>
      <w:bookmarkStart w:id="474" w:name="Tc_p4beJZyZ5EOxITARDsg0QA_4_4"/>
      <w:bookmarkStart w:id="475" w:name="Tc_4hPuYOXau0CUFfVGrgyWCw_4_0"/>
      <w:bookmarkStart w:id="476" w:name="Tc_zo3AAhlfSEOw0TJkmoinlw_3_23"/>
      <w:bookmarkStart w:id="477" w:name="Tc_IP8c9syDMU62_gBbGOWQ7w_3_20"/>
      <w:bookmarkStart w:id="478" w:name="Tc_w90TTGxSVUmuP9SwcZ2kYw_3_18"/>
      <w:bookmarkStart w:id="479" w:name="Tc_LsgQH6Tz0kmd9yVhsNeOuw_3_15"/>
      <w:bookmarkStart w:id="480" w:name="Tc_FLcyiNkNakClenRBVH2hYw_3_12"/>
      <w:bookmarkStart w:id="481" w:name="Tc_tDdSOgM-DUGdVC8GuHzxxQ_3_9"/>
      <w:bookmarkStart w:id="482" w:name="Tc_rblnVjX1XEOZZ9vf90F0ug_3_7"/>
      <w:bookmarkStart w:id="483" w:name="Tc_hwZB0Y1hvUGvPTZLlaZ_4Q_3_4"/>
      <w:bookmarkStart w:id="484" w:name="Tc_2tz9331MaEK6jd3vi7MQLQ_3_2"/>
      <w:bookmarkStart w:id="485" w:name="Tc_Fza12r6DhE2IC2_w0NKD4A_2_23"/>
      <w:bookmarkStart w:id="486" w:name="Tc_QzFEIzAm5k-T8_EVzuPHBw_2_18"/>
      <w:bookmarkStart w:id="487" w:name="Tc_tPJU9H0N9UG7v9p_hpTlzQ_2_15"/>
      <w:bookmarkStart w:id="488" w:name="Tc_cmse8998GkemReEtxqkkYw_2_12"/>
      <w:bookmarkStart w:id="489" w:name="Tc_QmNyimmp60eEtxkW_LYzRQ_2_7"/>
      <w:bookmarkStart w:id="490" w:name="Tc_sWUSM5gE40inPyh9yhQEQw_2_2"/>
      <w:bookmarkStart w:id="491" w:name="Tc_ZCrW9Zr6OUa4Vxv4DrTSdg_1_23"/>
      <w:bookmarkStart w:id="492" w:name="Tc_De3jved3TUqZ1sA25tLBzA_1_12"/>
      <w:bookmarkStart w:id="493" w:name="_bf483088_78f5_4ce6_8f29_9b4f84c5dbcc"/>
      <w:bookmarkStart w:id="494" w:name="Tc_6mq1UQFqjk2ilU0vyhcaWQ_12_23"/>
      <w:bookmarkStart w:id="495" w:name="Tc_DXEUL1_Q7kCZR4O0G26OTg_12_20"/>
      <w:bookmarkStart w:id="496" w:name="Tc_acPk8KwH9EG-s89mRpwyEQ_12_15"/>
      <w:bookmarkStart w:id="497" w:name="Tc_lhmKtYco0k--bjaCE1mEsg_12_12"/>
      <w:bookmarkStart w:id="498" w:name="Tc_s-VO_48L60ij4Kz1Y2H1FQ_12_9"/>
      <w:bookmarkStart w:id="499" w:name="Tc__xeIY4DKTkO7tWUVFLducA_12_4"/>
      <w:bookmarkStart w:id="500" w:name="Tc_plRjr1siskqRncsnvjUy4g_12_0"/>
      <w:bookmarkStart w:id="501" w:name="Tc_G8_Fo12kYkKxil8n5hjEGg_10_21"/>
      <w:bookmarkStart w:id="502" w:name="Tc_OAN2LxnDo0a2mmV-0WAxAQ_10_18"/>
      <w:bookmarkStart w:id="503" w:name="Tc_5sidelykfkmgbRiX7-vGJA_10_7"/>
      <w:bookmarkStart w:id="504" w:name="Tc_PM8KDOnyq0yB2U_qlqwZBA_10_5"/>
      <w:bookmarkStart w:id="505" w:name="Tc_IW2yRcA_NE2XA3goytZKdA_10_2"/>
      <w:bookmarkStart w:id="506" w:name="Tc_0U0sOFbObkmvlT9iLvH36A_10_0"/>
      <w:bookmarkStart w:id="507" w:name="Tc_A9fAVuUk7kaKkRueFiPgVw_9_24"/>
      <w:bookmarkStart w:id="508" w:name="Tc_CCkQLoPfr0asKeMKa9a9Eg_9_21"/>
      <w:bookmarkStart w:id="509" w:name="Tc_vQ7yVYcijU-6PInPNGe8FQ_9_18"/>
      <w:bookmarkStart w:id="510" w:name="Tc_eGd4ypYGS0uRpFywb_tWfA_9_16"/>
      <w:bookmarkStart w:id="511" w:name="Tc_TMm3lKrRX0qUrRlnTk3aEg_9_0"/>
      <w:bookmarkStart w:id="512" w:name="Tc_kXoIQfGy5kSiisR43ZeLcw_8_21"/>
      <w:bookmarkStart w:id="513" w:name="Tc_A6D5eClcAEO2iDq-ZJoahg_8_18"/>
      <w:bookmarkStart w:id="514" w:name="Tc_m_mLRmVHwk2EC1VTFZ_ABQ_8_16"/>
      <w:bookmarkStart w:id="515" w:name="Tc_8YeAyef1vE2Mzub6YEGN6w_8_5"/>
      <w:bookmarkStart w:id="516" w:name="Tc_jg9hD2MbEUGnuKeM6JM5Xg_8_2"/>
      <w:bookmarkStart w:id="517" w:name="Tc_ikx0sxBC5ki2mQL4ijSs1A_8_0"/>
      <w:bookmarkStart w:id="518" w:name="Tc_UFoaDW5FHEio9fJhRQPgLQ_7_21"/>
      <w:bookmarkStart w:id="519" w:name="Tc_zsOyABhm2E2TChtchmKyZQ_7_18"/>
      <w:bookmarkStart w:id="520" w:name="Tc_WjXwj-NvMESe2hBQ_V-spw_7_16"/>
      <w:bookmarkStart w:id="521" w:name="Tc_snBBSQZh7E-THhqx5ZAv_Q_7_5"/>
      <w:bookmarkStart w:id="522" w:name="Tc_z_J_408zCka1ISwsEikYkA_7_2"/>
      <w:bookmarkStart w:id="523" w:name="Tc_rrRHnIniTEqGt89lxZdIOg_7_0"/>
      <w:bookmarkStart w:id="524" w:name="Tc_jTn8_fhEPES-R_H9iiClwQ_6_21"/>
      <w:bookmarkStart w:id="525" w:name="Tc_JcHtKay63E6Hl6yIXmHGLA_6_18"/>
      <w:bookmarkStart w:id="526" w:name="Tc_FPtTCoNqjUigPT9JI7X2pA_6_10"/>
      <w:bookmarkStart w:id="527" w:name="Tc_saoJKObBEkiC-85sfpnK-Q_6_7"/>
      <w:bookmarkStart w:id="528" w:name="Tc_NXA6BApGu0-WkaVfd_dxjw_6_5"/>
      <w:bookmarkStart w:id="529" w:name="Tc_RNKBa7zrokuZYJq9qvYIWA_6_2"/>
      <w:bookmarkStart w:id="530" w:name="Tc_i9Wfb-Kk7USGQ49rZWyFKg_6_0"/>
      <w:bookmarkStart w:id="531" w:name="Tc_UYCdHvJ3K0iBnLFw9EXAJA_4_23"/>
      <w:bookmarkStart w:id="532" w:name="Tc_nrtNmNPlu0OuYY5f2cl7pA_4_20"/>
      <w:bookmarkStart w:id="533" w:name="Tc_RGfG31Ekt0iIji8OT2wXJw_4_15"/>
      <w:bookmarkStart w:id="534" w:name="Tc_QlCw-oSKxkqpTcnkIa_c2A_4_12"/>
      <w:bookmarkStart w:id="535" w:name="Tc_Cg7oIM2XwkikRGB6z0AZlg_4_9"/>
      <w:bookmarkStart w:id="536" w:name="Tc_p4beJZyZ5EOxITARDsg0QA_4_4"/>
      <w:bookmarkStart w:id="537" w:name="Tc_4hPuYOXau0CUFfVGrgyWCw_4_0"/>
      <w:bookmarkStart w:id="538" w:name="Tc_zo3AAhlfSEOw0TJkmoinlw_3_23"/>
      <w:bookmarkStart w:id="539" w:name="Tc_IP8c9syDMU62_gBbGOWQ7w_3_20"/>
      <w:bookmarkStart w:id="540" w:name="Tc_w90TTGxSVUmuP9SwcZ2kYw_3_18"/>
      <w:bookmarkStart w:id="541" w:name="Tc_LsgQH6Tz0kmd9yVhsNeOuw_3_15"/>
      <w:bookmarkStart w:id="542" w:name="Tc_FLcyiNkNakClenRBVH2hYw_3_12"/>
      <w:bookmarkStart w:id="543" w:name="Tc_tDdSOgM-DUGdVC8GuHzxxQ_3_9"/>
      <w:bookmarkStart w:id="544" w:name="Tc_rblnVjX1XEOZZ9vf90F0ug_3_7"/>
      <w:bookmarkStart w:id="545" w:name="Tc_hwZB0Y1hvUGvPTZLlaZ_4Q_3_4"/>
      <w:bookmarkStart w:id="546" w:name="Tc_2tz9331MaEK6jd3vi7MQLQ_3_2"/>
      <w:bookmarkStart w:id="547" w:name="Tc_Fza12r6DhE2IC2_w0NKD4A_2_23"/>
      <w:bookmarkStart w:id="548" w:name="Tc_QzFEIzAm5k-T8_EVzuPHBw_2_18"/>
      <w:bookmarkStart w:id="549" w:name="Tc_tPJU9H0N9UG7v9p_hpTlzQ_2_15"/>
      <w:bookmarkStart w:id="550" w:name="Tc_cmse8998GkemReEtxqkkYw_2_12"/>
      <w:bookmarkStart w:id="551" w:name="Tc_QmNyimmp60eEtxkW_LYzRQ_2_7"/>
      <w:bookmarkStart w:id="552" w:name="Tc_sWUSM5gE40inPyh9yhQEQw_2_2"/>
      <w:bookmarkStart w:id="553" w:name="Tc_ZCrW9Zr6OUa4Vxv4DrTSdg_1_23"/>
      <w:bookmarkStart w:id="554" w:name="Tc_De3jved3TUqZ1sA25tLBzA_1_12"/>
      <w:bookmarkStart w:id="555" w:name="_bf483088_78f5_4ce6_8f29_9b4f84c5dbcc"/>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tbl>
      <w:tblPr>
        <w:tblW w:w="10773" w:type="dxa"/>
        <w:jc w:val="left"/>
        <w:tblInd w:w="0" w:type="dxa"/>
        <w:tblLayout w:type="fixed"/>
        <w:tblCellMar>
          <w:top w:w="0" w:type="dxa"/>
          <w:left w:w="0" w:type="dxa"/>
          <w:bottom w:w="0" w:type="dxa"/>
          <w:right w:w="0" w:type="dxa"/>
        </w:tblCellMar>
      </w:tblPr>
      <w:tblGrid>
        <w:gridCol w:w="931"/>
        <w:gridCol w:w="326"/>
        <w:gridCol w:w="511"/>
        <w:gridCol w:w="326"/>
        <w:gridCol w:w="181"/>
        <w:gridCol w:w="346"/>
        <w:gridCol w:w="326"/>
        <w:gridCol w:w="766"/>
        <w:gridCol w:w="326"/>
        <w:gridCol w:w="181"/>
        <w:gridCol w:w="511"/>
        <w:gridCol w:w="109"/>
        <w:gridCol w:w="181"/>
        <w:gridCol w:w="841"/>
        <w:gridCol w:w="326"/>
        <w:gridCol w:w="181"/>
        <w:gridCol w:w="811"/>
        <w:gridCol w:w="326"/>
        <w:gridCol w:w="586"/>
        <w:gridCol w:w="326"/>
        <w:gridCol w:w="181"/>
        <w:gridCol w:w="736"/>
        <w:gridCol w:w="326"/>
        <w:gridCol w:w="181"/>
        <w:gridCol w:w="931"/>
      </w:tblGrid>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left"/>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56,352,545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56,353</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180,381,641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(46,241,583)</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132,163,371</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(5,184,664)</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(5,184,664)</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14,992,354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14,992</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17,277,998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17,292,990</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748,210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748</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682,870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683,618</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preferred stock to common stock</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514,512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835,347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835,347</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86,494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72,607,621</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72,607</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199,177,342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(51,426,247)</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145,790,662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See accompanying notes to the condensed consolidated financial statements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Three Months Ended September 30, 2023 and 2022</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bidi w:val="0"/>
        <w:spacing w:before="0" w:after="240"/>
        <w:ind w:left="0" w:right="0" w:hanging="0"/>
        <w:jc w:val="center"/>
        <w:rPr>
          <w:color w:val="FF0000"/>
        </w:rPr>
      </w:pPr>
      <w:r>
        <w:rPr>
          <w:color w:val="FF0000"/>
        </w:rPr>
        <w:t>​</w:t>
      </w:r>
    </w:p>
    <w:p>
      <w:pPr>
        <w:pStyle w:val="Normal"/>
        <w:bidi w:val="0"/>
        <w:spacing w:before="0" w:after="0"/>
        <w:jc w:val="left"/>
        <w:rPr>
          <w:sz w:val="4"/>
          <w:szCs w:val="4"/>
        </w:rPr>
      </w:pPr>
      <w:r>
        <w:rPr>
          <w:sz w:val="4"/>
          <w:szCs w:val="4"/>
        </w:rPr>
      </w:r>
      <w:bookmarkStart w:id="556" w:name="Tc_5rvxGaUJ50eZz0AbEAtzwA_11_23"/>
      <w:bookmarkStart w:id="557" w:name="Tc_On8z-3Di90KMTAmqeqE-qw_11_20"/>
      <w:bookmarkStart w:id="558" w:name="Tc_4KK39ud9y0W6tXqZL802qg_11_15"/>
      <w:bookmarkStart w:id="559" w:name="Tc_OKm8mVy-P0Wgs2MloA9kFw_11_12"/>
      <w:bookmarkStart w:id="560" w:name="Tc_asZ581jvGEGcQgEPVSZTDQ_11_9"/>
      <w:bookmarkStart w:id="561" w:name="Tc_tgLk900HAUydz20lbnHXLQ_11_4"/>
      <w:bookmarkStart w:id="562" w:name="Tc_Hc-zx0CVCUqtU5rEk3fAjg_11_0"/>
      <w:bookmarkStart w:id="563" w:name="Tc_sutRry4wx0WducBAKAkeFw_9_16"/>
      <w:bookmarkStart w:id="564" w:name="Tc_BfDGC6TnEUiG8HtHLjyXzA_9_5"/>
      <w:bookmarkStart w:id="565" w:name="Tc_ICPNiUlWf0CfMLe1vfIo6A_9_2"/>
      <w:bookmarkStart w:id="566" w:name="Tc_YNzCtwETeUi8AZi3RAAgMg_9_0"/>
      <w:bookmarkStart w:id="567" w:name="Tc_7X1XkQQjI0C1rgSXJkxpEQ_8_21"/>
      <w:bookmarkStart w:id="568" w:name="Tc_CXQb9rxls0ySquX2CDbfCw_8_18"/>
      <w:bookmarkStart w:id="569" w:name="Tc_Uu2jXc_eE0eqjMxGtVZmng_8_16"/>
      <w:bookmarkStart w:id="570" w:name="Tc_zsCqItfMKU-JlGH0vG_udQ_8_5"/>
      <w:bookmarkStart w:id="571" w:name="Tc_bpsluM_JMUSFbkiw-W4-rg_8_2"/>
      <w:bookmarkStart w:id="572" w:name="Tc_rSxxWqjm50WnxyQQVqSzhw_8_0"/>
      <w:bookmarkStart w:id="573" w:name="Tc_bIxjJtbLz0qHML2hYz7mlQ_7_24"/>
      <w:bookmarkStart w:id="574" w:name="Tc_7Hls_2CXSUeaGa_Lp0PbAg_7_21"/>
      <w:bookmarkStart w:id="575" w:name="Tc_R4SJcthv7EKo7a5Cqp0FTw_7_18"/>
      <w:bookmarkStart w:id="576" w:name="Tc_GczOcDldj0y5zzqMNaGt-A_7_16"/>
      <w:bookmarkStart w:id="577" w:name="Tc_4yEM7PmsakSCPteVeXSNHw_7_13"/>
      <w:bookmarkStart w:id="578" w:name="Tc_dP2zV1aJIke9cKgQwjAMcw_7_10"/>
      <w:bookmarkStart w:id="579" w:name="Tc_K2w0cHrPnkeIQZeYwuSWOg_7_7"/>
      <w:bookmarkStart w:id="580" w:name="Tc_vkbKJjSe60iow6o6XXF2dg_7_5"/>
      <w:bookmarkStart w:id="581" w:name="Tc_9Iw0cR5ZDEyfxmC4600CaA_7_2"/>
      <w:bookmarkStart w:id="582" w:name="Tc_31xmE574nEemC4g6cb2vjg_7_0"/>
      <w:bookmarkStart w:id="583" w:name="Tc_kBu9A4xvwE-FoqK5MCpgNQ_6_21"/>
      <w:bookmarkStart w:id="584" w:name="Tc_5Lic_gvWvkmDEKkqbtvtUg_6_18"/>
      <w:bookmarkStart w:id="585" w:name="Tc_S8KlFh9ZkkuLqd6ni1mc7w_6_13"/>
      <w:bookmarkStart w:id="586" w:name="Tc_Ttlq-XmA1kmhHCwkufgnuA_6_10"/>
      <w:bookmarkStart w:id="587" w:name="Tc_jYRKeW8f-Um1UVwzc48sQw_6_7"/>
      <w:bookmarkStart w:id="588" w:name="Tc_zx1zudCTpUeTUfs-Na9ELw_6_5"/>
      <w:bookmarkStart w:id="589" w:name="Tc__0t2p08pgUybEdBFEsRVrA_6_2"/>
      <w:bookmarkStart w:id="590" w:name="Tc_daAGpUs62UGAszQrXk8opg_6_0"/>
      <w:bookmarkStart w:id="591" w:name="Tc_0YV8EyzQhEScZtT4L8p2Fw_4_23"/>
      <w:bookmarkStart w:id="592" w:name="Tc_2MRdB7nOnUW9p6e4maZzyA_4_20"/>
      <w:bookmarkStart w:id="593" w:name="Tc_QZI97EqccUelkuEAr7v8Sw_4_15"/>
      <w:bookmarkStart w:id="594" w:name="Tc_XAGWiJ5TqE6oSU6GMuFuIQ_4_12"/>
      <w:bookmarkStart w:id="595" w:name="Tc_Xar_Sq3OAk2x0ysbzJ8rIg_4_9"/>
      <w:bookmarkStart w:id="596" w:name="Tc_ugbb-rWvokuWOXKeb1fVSg_4_4"/>
      <w:bookmarkStart w:id="597" w:name="Tc_c4hmrUqbjUaHuMzBga0fkg_4_0"/>
      <w:bookmarkStart w:id="598" w:name="Tc_SYUw8SEG7EeGcNFzSRNfkg_3_23"/>
      <w:bookmarkStart w:id="599" w:name="Tc_e2AqtMupZUi2x0qEEba91w_3_20"/>
      <w:bookmarkStart w:id="600" w:name="Tc_G8A-Sn7-i0aqMq3_s6h1mg_3_18"/>
      <w:bookmarkStart w:id="601" w:name="Tc_Tf56qnzwgkqu58EbDaPZQQ_3_15"/>
      <w:bookmarkStart w:id="602" w:name="Tc_hPgBUHb-L0aTCYUleqt_ZQ_3_12"/>
      <w:bookmarkStart w:id="603" w:name="Tc_pYnyP3QnlEe4C9MGr8n4jQ_3_9"/>
      <w:bookmarkStart w:id="604" w:name="Tc_MlzHHTZi1E2O03seCEdXNg_3_7"/>
      <w:bookmarkStart w:id="605" w:name="Tc_UgrxloE4l0iKAk10f9C56Q_3_4"/>
      <w:bookmarkStart w:id="606" w:name="Tc_VBpknX44Rkawle_DU2Iilw_3_2"/>
      <w:bookmarkStart w:id="607" w:name="Tc_o3iaVbhl30ypn8TOV7gs3g_2_23"/>
      <w:bookmarkStart w:id="608" w:name="Tc_6A8ZieSYw0aPWME8v9rmYQ_2_18"/>
      <w:bookmarkStart w:id="609" w:name="Tc_ppRZL1jiSUKagJFcuUXFVQ_2_15"/>
      <w:bookmarkStart w:id="610" w:name="Tc_lh7r6qj9IUe2QJyKPLEjUg_2_12"/>
      <w:bookmarkStart w:id="611" w:name="Tc_K9K6PmLpcUeSZv9jw9S2Zg_2_7"/>
      <w:bookmarkStart w:id="612" w:name="Tc_cdO-7UCUB0aD0k7HM4f4lA_2_2"/>
      <w:bookmarkStart w:id="613" w:name="Tc_hjBry308zki2LMrbJuglWA_1_23"/>
      <w:bookmarkStart w:id="614" w:name="Tc_jRZ-zXaD90WofDIPWO9Mlw_1_12"/>
      <w:bookmarkStart w:id="615" w:name="_60a8b0ed_ed59_4b4e_80e0_4901f6ada293"/>
      <w:bookmarkStart w:id="616" w:name="Tc_5rvxGaUJ50eZz0AbEAtzwA_11_23"/>
      <w:bookmarkStart w:id="617" w:name="Tc_On8z-3Di90KMTAmqeqE-qw_11_20"/>
      <w:bookmarkStart w:id="618" w:name="Tc_4KK39ud9y0W6tXqZL802qg_11_15"/>
      <w:bookmarkStart w:id="619" w:name="Tc_OKm8mVy-P0Wgs2MloA9kFw_11_12"/>
      <w:bookmarkStart w:id="620" w:name="Tc_asZ581jvGEGcQgEPVSZTDQ_11_9"/>
      <w:bookmarkStart w:id="621" w:name="Tc_tgLk900HAUydz20lbnHXLQ_11_4"/>
      <w:bookmarkStart w:id="622" w:name="Tc_Hc-zx0CVCUqtU5rEk3fAjg_11_0"/>
      <w:bookmarkStart w:id="623" w:name="Tc_sutRry4wx0WducBAKAkeFw_9_16"/>
      <w:bookmarkStart w:id="624" w:name="Tc_BfDGC6TnEUiG8HtHLjyXzA_9_5"/>
      <w:bookmarkStart w:id="625" w:name="Tc_ICPNiUlWf0CfMLe1vfIo6A_9_2"/>
      <w:bookmarkStart w:id="626" w:name="Tc_YNzCtwETeUi8AZi3RAAgMg_9_0"/>
      <w:bookmarkStart w:id="627" w:name="Tc_7X1XkQQjI0C1rgSXJkxpEQ_8_21"/>
      <w:bookmarkStart w:id="628" w:name="Tc_CXQb9rxls0ySquX2CDbfCw_8_18"/>
      <w:bookmarkStart w:id="629" w:name="Tc_Uu2jXc_eE0eqjMxGtVZmng_8_16"/>
      <w:bookmarkStart w:id="630" w:name="Tc_zsCqItfMKU-JlGH0vG_udQ_8_5"/>
      <w:bookmarkStart w:id="631" w:name="Tc_bpsluM_JMUSFbkiw-W4-rg_8_2"/>
      <w:bookmarkStart w:id="632" w:name="Tc_rSxxWqjm50WnxyQQVqSzhw_8_0"/>
      <w:bookmarkStart w:id="633" w:name="Tc_bIxjJtbLz0qHML2hYz7mlQ_7_24"/>
      <w:bookmarkStart w:id="634" w:name="Tc_7Hls_2CXSUeaGa_Lp0PbAg_7_21"/>
      <w:bookmarkStart w:id="635" w:name="Tc_R4SJcthv7EKo7a5Cqp0FTw_7_18"/>
      <w:bookmarkStart w:id="636" w:name="Tc_GczOcDldj0y5zzqMNaGt-A_7_16"/>
      <w:bookmarkStart w:id="637" w:name="Tc_4yEM7PmsakSCPteVeXSNHw_7_13"/>
      <w:bookmarkStart w:id="638" w:name="Tc_dP2zV1aJIke9cKgQwjAMcw_7_10"/>
      <w:bookmarkStart w:id="639" w:name="Tc_K2w0cHrPnkeIQZeYwuSWOg_7_7"/>
      <w:bookmarkStart w:id="640" w:name="Tc_vkbKJjSe60iow6o6XXF2dg_7_5"/>
      <w:bookmarkStart w:id="641" w:name="Tc_9Iw0cR5ZDEyfxmC4600CaA_7_2"/>
      <w:bookmarkStart w:id="642" w:name="Tc_31xmE574nEemC4g6cb2vjg_7_0"/>
      <w:bookmarkStart w:id="643" w:name="Tc_kBu9A4xvwE-FoqK5MCpgNQ_6_21"/>
      <w:bookmarkStart w:id="644" w:name="Tc_5Lic_gvWvkmDEKkqbtvtUg_6_18"/>
      <w:bookmarkStart w:id="645" w:name="Tc_S8KlFh9ZkkuLqd6ni1mc7w_6_13"/>
      <w:bookmarkStart w:id="646" w:name="Tc_Ttlq-XmA1kmhHCwkufgnuA_6_10"/>
      <w:bookmarkStart w:id="647" w:name="Tc_jYRKeW8f-Um1UVwzc48sQw_6_7"/>
      <w:bookmarkStart w:id="648" w:name="Tc_zx1zudCTpUeTUfs-Na9ELw_6_5"/>
      <w:bookmarkStart w:id="649" w:name="Tc__0t2p08pgUybEdBFEsRVrA_6_2"/>
      <w:bookmarkStart w:id="650" w:name="Tc_daAGpUs62UGAszQrXk8opg_6_0"/>
      <w:bookmarkStart w:id="651" w:name="Tc_0YV8EyzQhEScZtT4L8p2Fw_4_23"/>
      <w:bookmarkStart w:id="652" w:name="Tc_2MRdB7nOnUW9p6e4maZzyA_4_20"/>
      <w:bookmarkStart w:id="653" w:name="Tc_QZI97EqccUelkuEAr7v8Sw_4_15"/>
      <w:bookmarkStart w:id="654" w:name="Tc_XAGWiJ5TqE6oSU6GMuFuIQ_4_12"/>
      <w:bookmarkStart w:id="655" w:name="Tc_Xar_Sq3OAk2x0ysbzJ8rIg_4_9"/>
      <w:bookmarkStart w:id="656" w:name="Tc_ugbb-rWvokuWOXKeb1fVSg_4_4"/>
      <w:bookmarkStart w:id="657" w:name="Tc_c4hmrUqbjUaHuMzBga0fkg_4_0"/>
      <w:bookmarkStart w:id="658" w:name="Tc_SYUw8SEG7EeGcNFzSRNfkg_3_23"/>
      <w:bookmarkStart w:id="659" w:name="Tc_e2AqtMupZUi2x0qEEba91w_3_20"/>
      <w:bookmarkStart w:id="660" w:name="Tc_G8A-Sn7-i0aqMq3_s6h1mg_3_18"/>
      <w:bookmarkStart w:id="661" w:name="Tc_Tf56qnzwgkqu58EbDaPZQQ_3_15"/>
      <w:bookmarkStart w:id="662" w:name="Tc_hPgBUHb-L0aTCYUleqt_ZQ_3_12"/>
      <w:bookmarkStart w:id="663" w:name="Tc_pYnyP3QnlEe4C9MGr8n4jQ_3_9"/>
      <w:bookmarkStart w:id="664" w:name="Tc_MlzHHTZi1E2O03seCEdXNg_3_7"/>
      <w:bookmarkStart w:id="665" w:name="Tc_UgrxloE4l0iKAk10f9C56Q_3_4"/>
      <w:bookmarkStart w:id="666" w:name="Tc_VBpknX44Rkawle_DU2Iilw_3_2"/>
      <w:bookmarkStart w:id="667" w:name="Tc_o3iaVbhl30ypn8TOV7gs3g_2_23"/>
      <w:bookmarkStart w:id="668" w:name="Tc_6A8ZieSYw0aPWME8v9rmYQ_2_18"/>
      <w:bookmarkStart w:id="669" w:name="Tc_ppRZL1jiSUKagJFcuUXFVQ_2_15"/>
      <w:bookmarkStart w:id="670" w:name="Tc_lh7r6qj9IUe2QJyKPLEjUg_2_12"/>
      <w:bookmarkStart w:id="671" w:name="Tc_K9K6PmLpcUeSZv9jw9S2Zg_2_7"/>
      <w:bookmarkStart w:id="672" w:name="Tc_cdO-7UCUB0aD0k7HM4f4lA_2_2"/>
      <w:bookmarkStart w:id="673" w:name="Tc_hjBry308zki2LMrbJuglWA_1_23"/>
      <w:bookmarkStart w:id="674" w:name="Tc_jRZ-zXaD90WofDIPWO9Mlw_1_12"/>
      <w:bookmarkStart w:id="675" w:name="_60a8b0ed_ed59_4b4e_80e0_4901f6ada293"/>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tbl>
      <w:tblPr>
        <w:tblW w:w="10990" w:type="dxa"/>
        <w:jc w:val="left"/>
        <w:tblInd w:w="0" w:type="dxa"/>
        <w:tblLayout w:type="fixed"/>
        <w:tblCellMar>
          <w:top w:w="0" w:type="dxa"/>
          <w:left w:w="0" w:type="dxa"/>
          <w:bottom w:w="0" w:type="dxa"/>
          <w:right w:w="0" w:type="dxa"/>
        </w:tblCellMar>
      </w:tblPr>
      <w:tblGrid>
        <w:gridCol w:w="931"/>
        <w:gridCol w:w="326"/>
        <w:gridCol w:w="511"/>
        <w:gridCol w:w="326"/>
        <w:gridCol w:w="181"/>
        <w:gridCol w:w="346"/>
        <w:gridCol w:w="326"/>
        <w:gridCol w:w="766"/>
        <w:gridCol w:w="326"/>
        <w:gridCol w:w="181"/>
        <w:gridCol w:w="511"/>
        <w:gridCol w:w="326"/>
        <w:gridCol w:w="181"/>
        <w:gridCol w:w="841"/>
        <w:gridCol w:w="326"/>
        <w:gridCol w:w="181"/>
        <w:gridCol w:w="811"/>
        <w:gridCol w:w="326"/>
        <w:gridCol w:w="586"/>
        <w:gridCol w:w="326"/>
        <w:gridCol w:w="181"/>
        <w:gridCol w:w="736"/>
        <w:gridCol w:w="326"/>
        <w:gridCol w:w="181"/>
        <w:gridCol w:w="931"/>
      </w:tblGrid>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55,449,065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55,450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179,979,063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(20,711,687)</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886,459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(1,990,678)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157,332,235</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1,809,237</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1,809,237</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287,978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230,273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230,424</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196,085</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145,284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145,480</w:t>
            </w:r>
          </w:p>
        </w:tc>
      </w:tr>
      <w:tr>
        <w:trPr/>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September 30, 2022</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1"/>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55,933,128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55,797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180,354,620</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(18,902,450)</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886,459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(1,990,678)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159,517,376</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76" w:name="Tc_u2hkCfQI90KFn_C0dx6Lkg_12_23"/>
      <w:bookmarkStart w:id="677" w:name="Tc_ZXQrXfQDYUq2iNCU8hHDQQ_12_20"/>
      <w:bookmarkStart w:id="678" w:name="Tc_Hh2CJuW9QEWK7lQh1KOXVQ_12_15"/>
      <w:bookmarkStart w:id="679" w:name="Tc_V_DEAz2LwEqm8w27fsJpoQ_12_12"/>
      <w:bookmarkStart w:id="680" w:name="Tc_V4IcGLrnYkCSoPAirkiD4Q_12_9"/>
      <w:bookmarkStart w:id="681" w:name="Tc_qhY2pBRsoU2Us-DvyAu4kw_12_4"/>
      <w:bookmarkStart w:id="682" w:name="Tc_I18jUBc1iUyk9VbXTuoKCA_12_0"/>
      <w:bookmarkStart w:id="683" w:name="Tc_W7KdLGFW90y3mSa2YOJy7w_10_21"/>
      <w:bookmarkStart w:id="684" w:name="Tc_hekoh3a3y0GxQjZiFZ_5IA_10_18"/>
      <w:bookmarkStart w:id="685" w:name="Tc__V8rAvIywUCQdARwsqK_KQ_10_10"/>
      <w:bookmarkStart w:id="686" w:name="Tc_nDXeARkSE0qn00gaWgnW4Q_10_7"/>
      <w:bookmarkStart w:id="687" w:name="Tc_aw8abDSENEu0KMIKrvtbeQ_10_5"/>
      <w:bookmarkStart w:id="688" w:name="Tc_zgY0Km9af0eS7K8ZuP66aQ_10_2"/>
      <w:bookmarkStart w:id="689" w:name="Tc_MBOXmhPnlkeL8FpFNlx5GQ_10_0"/>
      <w:bookmarkStart w:id="690" w:name="Tc_mf3IOWxy_UWxkVNpXdBpMA_9_24"/>
      <w:bookmarkStart w:id="691" w:name="Tc_cIFKn3X3hka_hlClM1VpZA_9_21"/>
      <w:bookmarkStart w:id="692" w:name="Tc_W6gQ8PtstEmzArNcxdbRjQ_9_18"/>
      <w:bookmarkStart w:id="693" w:name="Tc_ko-VRDTitEaI9IKyQr0XwA_9_16"/>
      <w:bookmarkStart w:id="694" w:name="Tc_DH6BMquQ4EaqURJ6Kqs_0A_9_0"/>
      <w:bookmarkStart w:id="695" w:name="Tc_kXPQsL4RSkuKiOLAYqsVlQ_8_21"/>
      <w:bookmarkStart w:id="696" w:name="Tc_KicJUP5BSUqDvBSe9EdH4Q_8_18"/>
      <w:bookmarkStart w:id="697" w:name="Tc_HBEDd9AT0kWYPcJ2ZG7JrQ_8_16"/>
      <w:bookmarkStart w:id="698" w:name="Tc_8tvyZBkUREydyiBsLhEFCg_8_5"/>
      <w:bookmarkStart w:id="699" w:name="Tc_3Q1jNmRcxkGxi4UcSu3DyQ_8_2"/>
      <w:bookmarkStart w:id="700" w:name="Tc_J_IgnWLk0EOicDd9ELnD_g_8_0"/>
      <w:bookmarkStart w:id="701" w:name="Tc_iaTu5RCUzk-3o9wTQAKgxg_7_24"/>
      <w:bookmarkStart w:id="702" w:name="Tc_LVjpU2Jv-ES--Dq3skXM3A_7_21"/>
      <w:bookmarkStart w:id="703" w:name="Tc_-MPW-zCCrkuq_BpwMGpKnQ_7_18"/>
      <w:bookmarkStart w:id="704" w:name="Tc_t0B4AD0b1UeaIyBHuNIGZw_7_16"/>
      <w:bookmarkStart w:id="705" w:name="Tc_U3EwIUuq0EmrJLVkx82guQ_7_10"/>
      <w:bookmarkStart w:id="706" w:name="Tc_OsbKfXgm-0qUIgFFH3LQXA_7_7"/>
      <w:bookmarkStart w:id="707" w:name="Tc_hPV3gySA70aiiTRLfUClnA_7_5"/>
      <w:bookmarkStart w:id="708" w:name="Tc_zo4q1pOncESOhJDOBdUqAQ_7_2"/>
      <w:bookmarkStart w:id="709" w:name="Tc_4YOxfHtMlEuu0SKDZAjjog_7_0"/>
      <w:bookmarkStart w:id="710" w:name="Tc_MUEJA7nqrUm0N677HHkrtw_6_21"/>
      <w:bookmarkStart w:id="711" w:name="Tc_b0IHEWqqRkS7UUUcPuUhpA_6_18"/>
      <w:bookmarkStart w:id="712" w:name="Tc_Q2Gqq_G3WkCzOkElObhhqw_6_13"/>
      <w:bookmarkStart w:id="713" w:name="Tc_6FrDnIxFD0Cn5H7-eMRwNA_6_10"/>
      <w:bookmarkStart w:id="714" w:name="Tc_AKy9WK2Io0S-8kkw0YOwtA_6_7"/>
      <w:bookmarkStart w:id="715" w:name="Tc_iwVTE0j9IUKO0RSiGfm2EQ_6_5"/>
      <w:bookmarkStart w:id="716" w:name="Tc_gxQ_R1IbNUawjCiuj5Q5Eg_6_2"/>
      <w:bookmarkStart w:id="717" w:name="Tc_AfHwi7pHYUKYPJjl1Yiriw_6_0"/>
      <w:bookmarkStart w:id="718" w:name="Tc_HDeu6iKedESl_VLdV2MHnA_4_23"/>
      <w:bookmarkStart w:id="719" w:name="Tc__59vdBVPzkidFUxqWnFTAg_4_20"/>
      <w:bookmarkStart w:id="720" w:name="Tc_FtHyKBFJukmYI4VzKAMY7w_4_15"/>
      <w:bookmarkStart w:id="721" w:name="Tc_GNzzLs56h0OmLF-R56oRvQ_4_12"/>
      <w:bookmarkStart w:id="722" w:name="Tc_sTeQoPhpaUe3wYW1VQkW2g_4_9"/>
      <w:bookmarkStart w:id="723" w:name="Tc_KR5u8x3CyEaDh1D4M9P29g_4_4"/>
      <w:bookmarkStart w:id="724" w:name="Tc_6m1phjRcVU6NQQwQb0tR_g_4_0"/>
      <w:bookmarkStart w:id="725" w:name="Tc_kOn27lrPxUGfqm2c0qB9QQ_3_23"/>
      <w:bookmarkStart w:id="726" w:name="Tc_oZNdnO3XdkaTC3FpSW5gOQ_3_20"/>
      <w:bookmarkStart w:id="727" w:name="Tc_LitoBbyUjkeQevPTXvxBBg_3_18"/>
      <w:bookmarkStart w:id="728" w:name="Tc_AoPnWbMrwkauJnVJo4-d1g_3_15"/>
      <w:bookmarkStart w:id="729" w:name="Tc_wvnn3vo-906WybzbD30ouA_3_12"/>
      <w:bookmarkStart w:id="730" w:name="Tc_R_NysOee-UG6P5TJ6NZjZw_3_9"/>
      <w:bookmarkStart w:id="731" w:name="Tc_lggIqtSnwkCU6WTvBqL7Wg_3_7"/>
      <w:bookmarkStart w:id="732" w:name="Tc_yDsZRo274k2oP_wwq4noTg_3_4"/>
      <w:bookmarkStart w:id="733" w:name="Tc_Aw2adexM00W-CercNYizlQ_3_2"/>
      <w:bookmarkStart w:id="734" w:name="Tc_9dfyqYv_pEiUIIJQvbe6fQ_2_23"/>
      <w:bookmarkStart w:id="735" w:name="Tc_n3E6g_SQ3kKYKS3FFmTHrg_2_18"/>
      <w:bookmarkStart w:id="736" w:name="Tc_KWJELNIquk2HLfJPlkGvHg_2_15"/>
      <w:bookmarkStart w:id="737" w:name="Tc_A0yWbJpXOUS58zrxy6QtPg_2_12"/>
      <w:bookmarkStart w:id="738" w:name="Tc_IR0TORxpTUabt7eElF_c8w_2_7"/>
      <w:bookmarkStart w:id="739" w:name="Tc_cr3q81WSAk6IRTQzb8dLAA_2_2"/>
      <w:bookmarkStart w:id="740" w:name="Tc_C7rFP_PgsEi2J-HvQYxq3g_1_23"/>
      <w:bookmarkStart w:id="741" w:name="Tc_i7HtHYUPyUqeCvP_s5XhPw_1_12"/>
      <w:bookmarkStart w:id="742" w:name="_c1878701_6dd3_4580_9b73_a881252204d4"/>
      <w:bookmarkStart w:id="743" w:name="Tc_u2hkCfQI90KFn_C0dx6Lkg_12_23"/>
      <w:bookmarkStart w:id="744" w:name="Tc_ZXQrXfQDYUq2iNCU8hHDQQ_12_20"/>
      <w:bookmarkStart w:id="745" w:name="Tc_Hh2CJuW9QEWK7lQh1KOXVQ_12_15"/>
      <w:bookmarkStart w:id="746" w:name="Tc_V_DEAz2LwEqm8w27fsJpoQ_12_12"/>
      <w:bookmarkStart w:id="747" w:name="Tc_V4IcGLrnYkCSoPAirkiD4Q_12_9"/>
      <w:bookmarkStart w:id="748" w:name="Tc_qhY2pBRsoU2Us-DvyAu4kw_12_4"/>
      <w:bookmarkStart w:id="749" w:name="Tc_I18jUBc1iUyk9VbXTuoKCA_12_0"/>
      <w:bookmarkStart w:id="750" w:name="Tc_W7KdLGFW90y3mSa2YOJy7w_10_21"/>
      <w:bookmarkStart w:id="751" w:name="Tc_hekoh3a3y0GxQjZiFZ_5IA_10_18"/>
      <w:bookmarkStart w:id="752" w:name="Tc__V8rAvIywUCQdARwsqK_KQ_10_10"/>
      <w:bookmarkStart w:id="753" w:name="Tc_nDXeARkSE0qn00gaWgnW4Q_10_7"/>
      <w:bookmarkStart w:id="754" w:name="Tc_aw8abDSENEu0KMIKrvtbeQ_10_5"/>
      <w:bookmarkStart w:id="755" w:name="Tc_zgY0Km9af0eS7K8ZuP66aQ_10_2"/>
      <w:bookmarkStart w:id="756" w:name="Tc_MBOXmhPnlkeL8FpFNlx5GQ_10_0"/>
      <w:bookmarkStart w:id="757" w:name="Tc_mf3IOWxy_UWxkVNpXdBpMA_9_24"/>
      <w:bookmarkStart w:id="758" w:name="Tc_cIFKn3X3hka_hlClM1VpZA_9_21"/>
      <w:bookmarkStart w:id="759" w:name="Tc_W6gQ8PtstEmzArNcxdbRjQ_9_18"/>
      <w:bookmarkStart w:id="760" w:name="Tc_ko-VRDTitEaI9IKyQr0XwA_9_16"/>
      <w:bookmarkStart w:id="761" w:name="Tc_DH6BMquQ4EaqURJ6Kqs_0A_9_0"/>
      <w:bookmarkStart w:id="762" w:name="Tc_kXPQsL4RSkuKiOLAYqsVlQ_8_21"/>
      <w:bookmarkStart w:id="763" w:name="Tc_KicJUP5BSUqDvBSe9EdH4Q_8_18"/>
      <w:bookmarkStart w:id="764" w:name="Tc_HBEDd9AT0kWYPcJ2ZG7JrQ_8_16"/>
      <w:bookmarkStart w:id="765" w:name="Tc_8tvyZBkUREydyiBsLhEFCg_8_5"/>
      <w:bookmarkStart w:id="766" w:name="Tc_3Q1jNmRcxkGxi4UcSu3DyQ_8_2"/>
      <w:bookmarkStart w:id="767" w:name="Tc_J_IgnWLk0EOicDd9ELnD_g_8_0"/>
      <w:bookmarkStart w:id="768" w:name="Tc_iaTu5RCUzk-3o9wTQAKgxg_7_24"/>
      <w:bookmarkStart w:id="769" w:name="Tc_LVjpU2Jv-ES--Dq3skXM3A_7_21"/>
      <w:bookmarkStart w:id="770" w:name="Tc_-MPW-zCCrkuq_BpwMGpKnQ_7_18"/>
      <w:bookmarkStart w:id="771" w:name="Tc_t0B4AD0b1UeaIyBHuNIGZw_7_16"/>
      <w:bookmarkStart w:id="772" w:name="Tc_U3EwIUuq0EmrJLVkx82guQ_7_10"/>
      <w:bookmarkStart w:id="773" w:name="Tc_OsbKfXgm-0qUIgFFH3LQXA_7_7"/>
      <w:bookmarkStart w:id="774" w:name="Tc_hPV3gySA70aiiTRLfUClnA_7_5"/>
      <w:bookmarkStart w:id="775" w:name="Tc_zo4q1pOncESOhJDOBdUqAQ_7_2"/>
      <w:bookmarkStart w:id="776" w:name="Tc_4YOxfHtMlEuu0SKDZAjjog_7_0"/>
      <w:bookmarkStart w:id="777" w:name="Tc_MUEJA7nqrUm0N677HHkrtw_6_21"/>
      <w:bookmarkStart w:id="778" w:name="Tc_b0IHEWqqRkS7UUUcPuUhpA_6_18"/>
      <w:bookmarkStart w:id="779" w:name="Tc_Q2Gqq_G3WkCzOkElObhhqw_6_13"/>
      <w:bookmarkStart w:id="780" w:name="Tc_6FrDnIxFD0Cn5H7-eMRwNA_6_10"/>
      <w:bookmarkStart w:id="781" w:name="Tc_AKy9WK2Io0S-8kkw0YOwtA_6_7"/>
      <w:bookmarkStart w:id="782" w:name="Tc_iwVTE0j9IUKO0RSiGfm2EQ_6_5"/>
      <w:bookmarkStart w:id="783" w:name="Tc_gxQ_R1IbNUawjCiuj5Q5Eg_6_2"/>
      <w:bookmarkStart w:id="784" w:name="Tc_AfHwi7pHYUKYPJjl1Yiriw_6_0"/>
      <w:bookmarkStart w:id="785" w:name="Tc_HDeu6iKedESl_VLdV2MHnA_4_23"/>
      <w:bookmarkStart w:id="786" w:name="Tc__59vdBVPzkidFUxqWnFTAg_4_20"/>
      <w:bookmarkStart w:id="787" w:name="Tc_FtHyKBFJukmYI4VzKAMY7w_4_15"/>
      <w:bookmarkStart w:id="788" w:name="Tc_GNzzLs56h0OmLF-R56oRvQ_4_12"/>
      <w:bookmarkStart w:id="789" w:name="Tc_sTeQoPhpaUe3wYW1VQkW2g_4_9"/>
      <w:bookmarkStart w:id="790" w:name="Tc_KR5u8x3CyEaDh1D4M9P29g_4_4"/>
      <w:bookmarkStart w:id="791" w:name="Tc_6m1phjRcVU6NQQwQb0tR_g_4_0"/>
      <w:bookmarkStart w:id="792" w:name="Tc_kOn27lrPxUGfqm2c0qB9QQ_3_23"/>
      <w:bookmarkStart w:id="793" w:name="Tc_oZNdnO3XdkaTC3FpSW5gOQ_3_20"/>
      <w:bookmarkStart w:id="794" w:name="Tc_LitoBbyUjkeQevPTXvxBBg_3_18"/>
      <w:bookmarkStart w:id="795" w:name="Tc_AoPnWbMrwkauJnVJo4-d1g_3_15"/>
      <w:bookmarkStart w:id="796" w:name="Tc_wvnn3vo-906WybzbD30ouA_3_12"/>
      <w:bookmarkStart w:id="797" w:name="Tc_R_NysOee-UG6P5TJ6NZjZw_3_9"/>
      <w:bookmarkStart w:id="798" w:name="Tc_lggIqtSnwkCU6WTvBqL7Wg_3_7"/>
      <w:bookmarkStart w:id="799" w:name="Tc_yDsZRo274k2oP_wwq4noTg_3_4"/>
      <w:bookmarkStart w:id="800" w:name="Tc_Aw2adexM00W-CercNYizlQ_3_2"/>
      <w:bookmarkStart w:id="801" w:name="Tc_9dfyqYv_pEiUIIJQvbe6fQ_2_23"/>
      <w:bookmarkStart w:id="802" w:name="Tc_n3E6g_SQ3kKYKS3FFmTHrg_2_18"/>
      <w:bookmarkStart w:id="803" w:name="Tc_KWJELNIquk2HLfJPlkGvHg_2_15"/>
      <w:bookmarkStart w:id="804" w:name="Tc_A0yWbJpXOUS58zrxy6QtPg_2_12"/>
      <w:bookmarkStart w:id="805" w:name="Tc_IR0TORxpTUabt7eElF_c8w_2_7"/>
      <w:bookmarkStart w:id="806" w:name="Tc_cr3q81WSAk6IRTQzb8dLAA_2_2"/>
      <w:bookmarkStart w:id="807" w:name="Tc_C7rFP_PgsEi2J-HvQYxq3g_1_23"/>
      <w:bookmarkStart w:id="808" w:name="Tc_i7HtHYUPyUqeCvP_s5XhPw_1_12"/>
      <w:bookmarkStart w:id="809" w:name="_c1878701_6dd3_4580_9b73_a881252204d4"/>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tbl>
      <w:tblPr>
        <w:tblW w:w="10990" w:type="dxa"/>
        <w:jc w:val="left"/>
        <w:tblInd w:w="0" w:type="dxa"/>
        <w:tblLayout w:type="fixed"/>
        <w:tblCellMar>
          <w:top w:w="0" w:type="dxa"/>
          <w:left w:w="0" w:type="dxa"/>
          <w:bottom w:w="0" w:type="dxa"/>
          <w:right w:w="0" w:type="dxa"/>
        </w:tblCellMar>
      </w:tblPr>
      <w:tblGrid>
        <w:gridCol w:w="931"/>
        <w:gridCol w:w="326"/>
        <w:gridCol w:w="511"/>
        <w:gridCol w:w="326"/>
        <w:gridCol w:w="181"/>
        <w:gridCol w:w="346"/>
        <w:gridCol w:w="326"/>
        <w:gridCol w:w="766"/>
        <w:gridCol w:w="326"/>
        <w:gridCol w:w="181"/>
        <w:gridCol w:w="511"/>
        <w:gridCol w:w="326"/>
        <w:gridCol w:w="181"/>
        <w:gridCol w:w="841"/>
        <w:gridCol w:w="326"/>
        <w:gridCol w:w="181"/>
        <w:gridCol w:w="811"/>
        <w:gridCol w:w="326"/>
        <w:gridCol w:w="586"/>
        <w:gridCol w:w="326"/>
        <w:gridCol w:w="181"/>
        <w:gridCol w:w="736"/>
        <w:gridCol w:w="326"/>
        <w:gridCol w:w="181"/>
        <w:gridCol w:w="931"/>
      </w:tblGrid>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71,730,449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201,116,605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(51,103,785)</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148,051,510</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(322,462)</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(322,462)</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362,660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286,139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286,501</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Conversion of preferred stock to common stock</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514,512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(2,224,888)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(2,224,888)</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86,494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72,607,621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199,177,342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(51,426,247)</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145,790,662</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0" w:name="_2ae7d3b0_f6cc_4ee7_81de_afb9bb10c584"/>
      <w:bookmarkEnd w:id="810"/>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Periods Ended September 30, 2023 and 2022</w:t>
      </w:r>
    </w:p>
    <w:p>
      <w:pPr>
        <w:pStyle w:val="Normal"/>
        <w:bidi w:val="0"/>
        <w:spacing w:before="0" w:after="0"/>
        <w:jc w:val="left"/>
        <w:rPr>
          <w:sz w:val="4"/>
          <w:szCs w:val="4"/>
        </w:rPr>
      </w:pPr>
      <w:r>
        <w:rPr>
          <w:sz w:val="4"/>
          <w:szCs w:val="4"/>
        </w:rPr>
      </w:r>
      <w:bookmarkStart w:id="811" w:name="Tc_v84How_1K0qcryo817E9eQ_53_0"/>
      <w:bookmarkStart w:id="812" w:name="Tc_1qJ20fuhf0mKyl72kyfraw_52_0"/>
      <w:bookmarkStart w:id="813" w:name="Tc__bjBAKSSNUGdDkk1pkNV7g_51_0"/>
      <w:bookmarkStart w:id="814" w:name="Tc_QqcEKwDMLE6FSBIe09FOGA_50_0"/>
      <w:bookmarkStart w:id="815" w:name="Tc_QJPnCTZtOU6wDWCxFGjb-g_49_0"/>
      <w:bookmarkStart w:id="816" w:name="Tc_zzeKFHzGHUu8mvOVJoO8xA_48_0"/>
      <w:bookmarkStart w:id="817" w:name="Tc_-au1AuBugE-_9SwjukmT3g_47_0"/>
      <w:bookmarkStart w:id="818" w:name="Tc_QWOAuooiEE6kPgP2GcHpkg_46_0"/>
      <w:bookmarkStart w:id="819" w:name="Tc_BdFL7m9uN0W4a_aVoang2g_44_0"/>
      <w:bookmarkStart w:id="820" w:name="Tc_nC9jV7azzEmtba7eUGQYZg_43_5"/>
      <w:bookmarkStart w:id="821" w:name="Tc_YBih2avY4E-xLDuInNg5ag_43_2"/>
      <w:bookmarkStart w:id="822" w:name="Tc_tdaDBQ-7B0OVlmoccCOF-A_43_0"/>
      <w:bookmarkStart w:id="823" w:name="Tc_bNqq2fsAu0KFPvMHDVB6jw_42_0"/>
      <w:bookmarkStart w:id="824" w:name="Tc_wZczbe4ybUm8dc9PfSKoQw_40_5"/>
      <w:bookmarkStart w:id="825" w:name="Tc_AiefxGo7m0GffTawrgRY9w_40_2"/>
      <w:bookmarkStart w:id="826" w:name="Tc_VCfv2JHWvku00TWj17WMig_40_0"/>
      <w:bookmarkStart w:id="827" w:name="Tc_atkfKY7Z90KVttcBgFyA3w_39_0"/>
      <w:bookmarkStart w:id="828" w:name="Tc_P_Ot1duUuEW4Xhibj7CwJA_38_0"/>
      <w:bookmarkStart w:id="829" w:name="Tc_QPVwnWGIGk2VH07av8SaNQ_36_0"/>
      <w:bookmarkStart w:id="830" w:name="Tc_q6NeqSxde0yM-QrGZM8Fyw_35_0"/>
      <w:bookmarkStart w:id="831" w:name="Tc_EIzoRgKxVkyO3RBSTrurNg_34_6"/>
      <w:bookmarkStart w:id="832" w:name="Tc_MwOMT8lJRUaH-UJCdJVztg_34_0"/>
      <w:bookmarkStart w:id="833" w:name="Tc_z2jqyM3Q0ECLp20dA88ulA_33_0"/>
      <w:bookmarkStart w:id="834" w:name="Tc_FJKdBcJWpEKmIft21ko4vw_31_0"/>
      <w:bookmarkStart w:id="835" w:name="Tc_lbrETWm4kES6RGRKA701pA_30_0"/>
      <w:bookmarkStart w:id="836" w:name="Tc_g1T5D5_AXUKQJBLVyXI9iw_29_0"/>
      <w:bookmarkStart w:id="837" w:name="Tc_sXZraN2KFkSHtYqVXh2uDg_28_0"/>
      <w:bookmarkStart w:id="838" w:name="Tc_zG63dw_N70K2_PU2CWDG-g_27_6"/>
      <w:bookmarkStart w:id="839" w:name="Tc_n2TKAryl9Um-0sdOhMb64g_27_0"/>
      <w:bookmarkStart w:id="840" w:name="Tc_5HGyKT96rUm_g-hJhF1lJw_26_0"/>
      <w:bookmarkStart w:id="841" w:name="Tc_KmVaC3UJgEWbaS8-R_9s7Q_24_0"/>
      <w:bookmarkStart w:id="842" w:name="Tc_qjuY7KJf0EyO8tH3Ndl1IA_23_0"/>
      <w:bookmarkStart w:id="843" w:name="Tc_eF03uVrpMkq-qbqxoxpBnQ_22_0"/>
      <w:bookmarkStart w:id="844" w:name="Tc_q8HrJYxTlUK7F8CIiLbGig_21_0"/>
      <w:bookmarkStart w:id="845" w:name="Tc_v7XvbAlQdkyNeTZUfuX9-w_20_0"/>
      <w:bookmarkStart w:id="846" w:name="Tc_YmV8X8rBHEyDq3a6sJsQcg_19_0"/>
      <w:bookmarkStart w:id="847" w:name="Tc_sYo_hQNAt06sMoRL7ugpwg_18_0"/>
      <w:bookmarkStart w:id="848" w:name="Tc_rDL97PMhxkycO6n0EkOayw_17_0"/>
      <w:bookmarkStart w:id="849" w:name="Tc_3zE3buVrVEeu5YqYq3ttCg_16_0"/>
      <w:bookmarkStart w:id="850" w:name="Tc_byUUW_xkzkq_ArBRBteNRw_15_0"/>
      <w:bookmarkStart w:id="851" w:name="Tc_oww0vFfKAU6G3CAjb9-evQ_14_0"/>
      <w:bookmarkStart w:id="852" w:name="Tc_CpuTKyPIZkiG_cKgTbOtvA_13_0"/>
      <w:bookmarkStart w:id="853" w:name="Tc_C8ItODUIEUCXwcmOPST7NA_12_0"/>
      <w:bookmarkStart w:id="854" w:name="Tc_bodP4GtYZki6ZSgRaV1W1g_11_0"/>
      <w:bookmarkStart w:id="855" w:name="Tc_8G1Q8-g1P0GsA2cvZs_qtw_10_6"/>
      <w:bookmarkStart w:id="856" w:name="Tc_nWfU6QD9yESQYGEfOXFwTQ_10_0"/>
      <w:bookmarkStart w:id="857" w:name="Tc_qqpmtdeA-0Kr5kfLSExRGA_9_0"/>
      <w:bookmarkStart w:id="858" w:name="Tc_n_lVFOh12k2sHiBJqVEcnA_8_0"/>
      <w:bookmarkStart w:id="859" w:name="Tc_6_ztvNqmf0m5_RWKeQI-kQ_7_0"/>
      <w:bookmarkStart w:id="860" w:name="Tc_28eku0HKjk2A6ZqaYr78Fw_6_0"/>
      <w:bookmarkStart w:id="861" w:name="Tc_aVxgHVwJjE6iVZjFIL6bRQ_5_0"/>
      <w:bookmarkStart w:id="862" w:name="Tc_pg2etRZtMESplgP10hK-Sw_4_0"/>
      <w:bookmarkStart w:id="863" w:name="Tc_o8XDZvuMv0i9hFZ3xcjeeA_3_5"/>
      <w:bookmarkStart w:id="864" w:name="Tc_uOsU41rug0Oc67W9DOgUGg_3_2"/>
      <w:bookmarkStart w:id="865" w:name="Tc_-6OtfyURMUyIP-WvG8KX5A_2_2"/>
      <w:bookmarkStart w:id="866" w:name="Tc_H7XQxHm0cUu34JhOm1o4NQ_1_2"/>
      <w:bookmarkStart w:id="867" w:name="_227788fb_ac9e_44d4_bd74_a9dd1628e2c8"/>
      <w:bookmarkStart w:id="868" w:name="Tc_v84How_1K0qcryo817E9eQ_53_0"/>
      <w:bookmarkStart w:id="869" w:name="Tc_1qJ20fuhf0mKyl72kyfraw_52_0"/>
      <w:bookmarkStart w:id="870" w:name="Tc__bjBAKSSNUGdDkk1pkNV7g_51_0"/>
      <w:bookmarkStart w:id="871" w:name="Tc_QqcEKwDMLE6FSBIe09FOGA_50_0"/>
      <w:bookmarkStart w:id="872" w:name="Tc_QJPnCTZtOU6wDWCxFGjb-g_49_0"/>
      <w:bookmarkStart w:id="873" w:name="Tc_zzeKFHzGHUu8mvOVJoO8xA_48_0"/>
      <w:bookmarkStart w:id="874" w:name="Tc_-au1AuBugE-_9SwjukmT3g_47_0"/>
      <w:bookmarkStart w:id="875" w:name="Tc_QWOAuooiEE6kPgP2GcHpkg_46_0"/>
      <w:bookmarkStart w:id="876" w:name="Tc_BdFL7m9uN0W4a_aVoang2g_44_0"/>
      <w:bookmarkStart w:id="877" w:name="Tc_nC9jV7azzEmtba7eUGQYZg_43_5"/>
      <w:bookmarkStart w:id="878" w:name="Tc_YBih2avY4E-xLDuInNg5ag_43_2"/>
      <w:bookmarkStart w:id="879" w:name="Tc_tdaDBQ-7B0OVlmoccCOF-A_43_0"/>
      <w:bookmarkStart w:id="880" w:name="Tc_bNqq2fsAu0KFPvMHDVB6jw_42_0"/>
      <w:bookmarkStart w:id="881" w:name="Tc_wZczbe4ybUm8dc9PfSKoQw_40_5"/>
      <w:bookmarkStart w:id="882" w:name="Tc_AiefxGo7m0GffTawrgRY9w_40_2"/>
      <w:bookmarkStart w:id="883" w:name="Tc_VCfv2JHWvku00TWj17WMig_40_0"/>
      <w:bookmarkStart w:id="884" w:name="Tc_atkfKY7Z90KVttcBgFyA3w_39_0"/>
      <w:bookmarkStart w:id="885" w:name="Tc_P_Ot1duUuEW4Xhibj7CwJA_38_0"/>
      <w:bookmarkStart w:id="886" w:name="Tc_QPVwnWGIGk2VH07av8SaNQ_36_0"/>
      <w:bookmarkStart w:id="887" w:name="Tc_q6NeqSxde0yM-QrGZM8Fyw_35_0"/>
      <w:bookmarkStart w:id="888" w:name="Tc_EIzoRgKxVkyO3RBSTrurNg_34_6"/>
      <w:bookmarkStart w:id="889" w:name="Tc_MwOMT8lJRUaH-UJCdJVztg_34_0"/>
      <w:bookmarkStart w:id="890" w:name="Tc_z2jqyM3Q0ECLp20dA88ulA_33_0"/>
      <w:bookmarkStart w:id="891" w:name="Tc_FJKdBcJWpEKmIft21ko4vw_31_0"/>
      <w:bookmarkStart w:id="892" w:name="Tc_lbrETWm4kES6RGRKA701pA_30_0"/>
      <w:bookmarkStart w:id="893" w:name="Tc_g1T5D5_AXUKQJBLVyXI9iw_29_0"/>
      <w:bookmarkStart w:id="894" w:name="Tc_sXZraN2KFkSHtYqVXh2uDg_28_0"/>
      <w:bookmarkStart w:id="895" w:name="Tc_zG63dw_N70K2_PU2CWDG-g_27_6"/>
      <w:bookmarkStart w:id="896" w:name="Tc_n2TKAryl9Um-0sdOhMb64g_27_0"/>
      <w:bookmarkStart w:id="897" w:name="Tc_5HGyKT96rUm_g-hJhF1lJw_26_0"/>
      <w:bookmarkStart w:id="898" w:name="Tc_KmVaC3UJgEWbaS8-R_9s7Q_24_0"/>
      <w:bookmarkStart w:id="899" w:name="Tc_qjuY7KJf0EyO8tH3Ndl1IA_23_0"/>
      <w:bookmarkStart w:id="900" w:name="Tc_eF03uVrpMkq-qbqxoxpBnQ_22_0"/>
      <w:bookmarkStart w:id="901" w:name="Tc_q8HrJYxTlUK7F8CIiLbGig_21_0"/>
      <w:bookmarkStart w:id="902" w:name="Tc_v7XvbAlQdkyNeTZUfuX9-w_20_0"/>
      <w:bookmarkStart w:id="903" w:name="Tc_YmV8X8rBHEyDq3a6sJsQcg_19_0"/>
      <w:bookmarkStart w:id="904" w:name="Tc_sYo_hQNAt06sMoRL7ugpwg_18_0"/>
      <w:bookmarkStart w:id="905" w:name="Tc_rDL97PMhxkycO6n0EkOayw_17_0"/>
      <w:bookmarkStart w:id="906" w:name="Tc_3zE3buVrVEeu5YqYq3ttCg_16_0"/>
      <w:bookmarkStart w:id="907" w:name="Tc_byUUW_xkzkq_ArBRBteNRw_15_0"/>
      <w:bookmarkStart w:id="908" w:name="Tc_oww0vFfKAU6G3CAjb9-evQ_14_0"/>
      <w:bookmarkStart w:id="909" w:name="Tc_CpuTKyPIZkiG_cKgTbOtvA_13_0"/>
      <w:bookmarkStart w:id="910" w:name="Tc_C8ItODUIEUCXwcmOPST7NA_12_0"/>
      <w:bookmarkStart w:id="911" w:name="Tc_bodP4GtYZki6ZSgRaV1W1g_11_0"/>
      <w:bookmarkStart w:id="912" w:name="Tc_8G1Q8-g1P0GsA2cvZs_qtw_10_6"/>
      <w:bookmarkStart w:id="913" w:name="Tc_nWfU6QD9yESQYGEfOXFwTQ_10_0"/>
      <w:bookmarkStart w:id="914" w:name="Tc_qqpmtdeA-0Kr5kfLSExRGA_9_0"/>
      <w:bookmarkStart w:id="915" w:name="Tc_n_lVFOh12k2sHiBJqVEcnA_8_0"/>
      <w:bookmarkStart w:id="916" w:name="Tc_6_ztvNqmf0m5_RWKeQI-kQ_7_0"/>
      <w:bookmarkStart w:id="917" w:name="Tc_28eku0HKjk2A6ZqaYr78Fw_6_0"/>
      <w:bookmarkStart w:id="918" w:name="Tc_aVxgHVwJjE6iVZjFIL6bRQ_5_0"/>
      <w:bookmarkStart w:id="919" w:name="Tc_pg2etRZtMESplgP10hK-Sw_4_0"/>
      <w:bookmarkStart w:id="920" w:name="Tc_o8XDZvuMv0i9hFZ3xcjeeA_3_5"/>
      <w:bookmarkStart w:id="921" w:name="Tc_uOsU41rug0Oc67W9DOgUGg_3_2"/>
      <w:bookmarkStart w:id="922" w:name="Tc_-6OtfyURMUyIP-WvG8KX5A_2_2"/>
      <w:bookmarkStart w:id="923" w:name="Tc_H7XQxHm0cUu34JhOm1o4NQ_1_2"/>
      <w:bookmarkStart w:id="924" w:name="_227788fb_ac9e_44d4_bd74_a9dd1628e2c8"/>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tbl>
      <w:tblPr>
        <w:tblW w:w="7392" w:type="dxa"/>
        <w:jc w:val="left"/>
        <w:tblInd w:w="0" w:type="dxa"/>
        <w:tblLayout w:type="fixed"/>
        <w:tblCellMar>
          <w:top w:w="0" w:type="dxa"/>
          <w:left w:w="0" w:type="dxa"/>
          <w:bottom w:w="0" w:type="dxa"/>
          <w:right w:w="0" w:type="dxa"/>
        </w:tblCellMar>
      </w:tblPr>
      <w:tblGrid>
        <w:gridCol w:w="4561"/>
        <w:gridCol w:w="326"/>
        <w:gridCol w:w="181"/>
        <w:gridCol w:w="886"/>
        <w:gridCol w:w="326"/>
        <w:gridCol w:w="181"/>
        <w:gridCol w:w="93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896235" cy="175260"/>
                      <wp:effectExtent l="0" t="0" r="0" b="0"/>
                      <wp:wrapNone/>
                      <wp:docPr id="24" name="Frame24"/>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4935" cy="175260"/>
                      <wp:effectExtent l="0" t="0" r="0" b="0"/>
                      <wp:wrapNone/>
                      <wp:docPr id="26" name="Frame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62610" cy="175260"/>
                      <wp:effectExtent l="0" t="0" r="0" b="0"/>
                      <wp:wrapNone/>
                      <wp:docPr id="27" name="Frame2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14935" cy="175260"/>
                      <wp:effectExtent l="0" t="0" r="0" b="0"/>
                      <wp:wrapNone/>
                      <wp:docPr id="29" name="Frame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For the Nine Months Ended </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September 30, </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 for the period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(5,184,664)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8,871,518</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cash for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15,703,668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8,329,767</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3,003,386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3,137,021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5,756,492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3,910,679</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(552,537)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derivative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(14,486,005)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(28,104,960)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1,264,537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1,264,538</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debt discount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6,269,584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5,505,420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loss on investment,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42,353</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 based compensation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835,347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811,897</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 (net of acquired amounts):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206,179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(1,100,055)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(4,883,659)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2,898,959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(1,192,503)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(3,377,844)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228,306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(179,072)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operating lease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(5,078,622)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(11,938,634)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(4,124,458)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8,802,231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taxes payable</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10,985,969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1,560,630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8,749,202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434,448</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Collection of notes receivable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10,631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consideration for acquisition of business,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(15,813,028)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(56,875,923)</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fixed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(6,766,759)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(12,511,389)</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(2,825)</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investing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(25,269,156)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(69,390,137)</w:t>
            </w:r>
          </w:p>
        </w:tc>
      </w:tr>
      <w:tr>
        <w:trPr/>
        <w:tc>
          <w:tcPr>
            <w:tcW w:w="45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on notes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(3,488,302)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common stock, net of issuance costs</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683,618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1,280,660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(2,804,684)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1,280,660</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(19,324,638)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(67,675,029)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at beginning of period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38,949,253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106,400,216</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and cash equivalents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19,624,615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38,725,187</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color w:val="FF0000"/>
              </w:rPr>
            </w:pPr>
            <w:r>
              <w:rPr>
                <w:color w:val="FF0000"/>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13,271,618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13,239,685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9,840,000</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Lease liability arising from right of use asset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8,135,776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14,105,320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stock as payment for acquisitions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17,292,990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15,100,450</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debt for acquisition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20,307,475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17,000,000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Tangible and intangible assets acquired, net of cash</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47,092,129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30,996,424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Liabilities assumed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3,536,384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1,837,221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14,958,205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59,816,720</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25" w:name="_87eaae57_5e97_4747_8263_9c9f09a13ffa"/>
      <w:bookmarkEnd w:id="925"/>
      <w:r>
        <w:rPr>
          <w:rFonts w:ascii="Times New Roman;Times;serif" w:hAnsi="Times New Roman;Times;serif"/>
          <w:b/>
          <w:sz w:val="20"/>
        </w:rPr>
        <w:t>MEDICINE MAN TECHNOLOGIES,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INTERIM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Nature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Medicine Man Technologies, Inc. (“we,” “us,” “our” or the “Company”) was incorporated in Nevada on March 20, 2014. On May 1, 2014, the Company entered into an exclusive Technology License Agreement with Futurevision, Inc. f/k/a Medicine Man Production Corp. d/b/a Medicine Man Denver (“Medicine Man Denver”) whereby Medicine Man Denver granted us a license to use all of the proprietary processes they have developed, implemented and practiced at their cannabis facilities relating to the commercial growth, cultivation, marketing, and distribution of medical marijuana and recreational marijuana pursuant to relevant state laws and the right to use and to license such information, including trade secrets, skills and experience (present and future). The Company’s operations are organized into three different segments, as follows: (i) Retail, consisting of retail locations for the sale of cannabis products in Colorado and New Mexico, (ii) Wholesale, consisting of manufacturing, cultivation and sale of wholesale cannabis and non-cannabis products, and (iii) Other, consisting of all other income and expenses, including those related to certain in-store marketing and promotional activities and corporate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20, 2020, the Company rebranded, and now conducts its business under the trade name, Schwazze. The corporate name of the Company continues to be Medicine Man Technologies, Inc. The Company’s common stock is listed for trading in the United States on the OTCQX Best Market under the symbol “SHWZ” and also listed for trading in Canada on the NEO Exchange under the symbol “SHWZ.”</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unaudited interim condensed consolidated financial statements have been prepared by the Company without audit pursuant to the rules and regulations of the Securities and Exchange Commission (“SEC”). Certain information and disclosures normally included in financial statements prepared in accordance with accounting principles generally accepted in the United States (“GAAP”) have been condensed or omitted as allowed by such rules and regulations, and management believes that the disclosures are adequate to make the information presented not misleading. These unaudited interim consolidated financial statements include all the adjustments, which in the opinion of management, are necessary to present a fair presentation of the Company’s financial position and results of operations. All such adjustments are of a normal and recurring nature. Interim results are not necessarily indicative of results for a full year. These unaudited consolidated financial statements should be read in conjunction with the audited consolidated financial statements as of December 31, 2022, and 2021, as presented in the Company’s Annual Report on Form 10-K filed on March 29, 2023 with the SEC. Certain prior period amounts have been reclassified to conform to the current period presentation. These reclassifications had no impact on the Company’s net earnings and financial position.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Accounting Policies and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have been no changes in the Company’s accounting policies as described in Note 2, “Accounting Policies and Estimates,” to the consolidated financial statements included in the Company’s Annual Report on Form 10-K for the year ended December 31, 2022.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implemented all new accounting pronouncements that are in effect and that may impact its financial statements. Pronouncements that are not applicable to the Company or where it has been determined to not have a significant impact on the financial statements have been excluded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2020, the FASB issued ASU 2020-02, </w:t>
      </w:r>
      <w:r>
        <w:rPr>
          <w:rFonts w:ascii="Times New Roman;Times;serif" w:hAnsi="Times New Roman;Times;serif"/>
          <w:i/>
          <w:sz w:val="20"/>
        </w:rPr>
        <w:t>Financial Instruments-Credit Losses (Topic 326) and Leases (Topic 842) - Amendments to SEC Paragraphs Pursuant to SEC Staff Accounting Bulletin No. 119 and Update to SEC Section on Effective Date Related to Accounting Standards Update No (ASU). 2016-02, Leases (Topic 842), </w:t>
      </w:r>
      <w:r>
        <w:rPr>
          <w:rFonts w:ascii="Times New Roman;Times;serif" w:hAnsi="Times New Roman;Times;serif"/>
          <w:sz w:val="20"/>
        </w:rPr>
        <w:t xml:space="preserve">which amends the effective date of the original pronouncement for smaller reporting companies. ASU 2016-13 and its amendments have been effective for the Company since December 15, 2022. As of January 1, 2019, the Company adopted ASU 2016-02, Leases (Topic 842), the adoption of this ASU did not have a material impact on the Company’s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August 5, 2020, the FASB issued </w:t>
      </w:r>
      <w:r>
        <w:rPr>
          <w:rFonts w:ascii="Times New Roman;Times;serif" w:hAnsi="Times New Roman;Times;serif"/>
          <w:i/>
          <w:sz w:val="20"/>
          <w:shd w:fill="FFFFFF" w:val="clear"/>
        </w:rPr>
        <w:t>ASU No. 2020-06, Debt - Debt with Conversion and Other Options (Subtopic 470-20) and Derivatives and Hedging - Contracts in Entity’s Own Equity (Subtopic 815-40)</w:t>
      </w:r>
      <w:r>
        <w:rPr>
          <w:rFonts w:ascii="Times New Roman;Times;serif" w:hAnsi="Times New Roman;Times;serif"/>
          <w:sz w:val="20"/>
          <w:shd w:fill="FFFFFF" w:val="clear"/>
        </w:rPr>
        <w:t>: Accounting for Convertible Instruments and Contracts in an Entity’s Own Equity, to improve financial reporting associated with accounting for convertible instruments and contracts in an entity’s own equity. The amendments in this ASU are effective for public business entities for fiscal years beginning after December 15, 2021, including interim periods within those fiscal years. The adoption of this standard did not have a material impact on the Company's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Notes Receivable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12, 2021, the Company sold equipment to Colorado Cannabis Company LLC (“Colorado Cannabis”). Colorado Cannabis is obligated to pay $215,000, payable in equal monthly installments for </w:t>
      </w:r>
      <w:r>
        <w:rPr>
          <w:rFonts w:ascii="Times New Roman;Times;serif" w:hAnsi="Times New Roman;Times;serif"/>
          <w:b w:val="false"/>
          <w:i w:val="false"/>
          <w:caps w:val="false"/>
          <w:smallCaps w:val="false"/>
          <w:sz w:val="20"/>
        </w:rPr>
        <w:t>18 months</w:t>
      </w:r>
      <w:r>
        <w:rPr>
          <w:rFonts w:ascii="Times New Roman;Times;serif" w:hAnsi="Times New Roman;Times;serif"/>
          <w:sz w:val="20"/>
        </w:rPr>
        <w:t xml:space="preserve"> commencing 30 days from the date of taking possession of the equipment pursuant to the Purchase and Sale Agreement, dated January 29, 2021, between the Company and Colorado Cannabis. As of September 30, 2023 and December 31, 2022, the outstanding balance, including penalties for late payments, on the receivable from Colorado Cannabis totaled $0 and $11,944,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26" w:name="Tc_3uXNA4DzsUCgp8ZJ3WsghA_5_4"/>
      <w:bookmarkStart w:id="927" w:name="Tc_dhqfBu1Cekafb93sixH6-g_5_1"/>
      <w:bookmarkStart w:id="928" w:name="Tc_eeirsn0Xb0aWDhis2_kEbw_5_0"/>
      <w:bookmarkStart w:id="929" w:name="Tc_QCiXAs1Hn0aMwPljQ45JNg_4_0"/>
      <w:bookmarkStart w:id="930" w:name="Tc_9s1Zw4OqT0OUmmR3wyXfig_3_0"/>
      <w:bookmarkStart w:id="931" w:name="Tc_3CSUSrCEN0CKsh9iGilrFw_2_4"/>
      <w:bookmarkStart w:id="932" w:name="Tc_MgehZ5B5mUSNmSVd4Df0RQ_2_1"/>
      <w:bookmarkStart w:id="933" w:name="Tc_u6kWUKD7iUy6EodrwL2Nqw_2_0"/>
      <w:bookmarkStart w:id="934" w:name="Tc_UoyCiM-EFk6j32TEm3vWCA_1_5"/>
      <w:bookmarkStart w:id="935" w:name="Tc_8IzR-ke7ek6h1M3VWwUn7g_1_2"/>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b/>
          <w:i w:val="false"/>
          <w:caps w:val="false"/>
          <w:smallCaps w:val="false"/>
          <w:sz w:val="20"/>
        </w:rPr>
        <w:t>5.</w:t>
      </w:r>
      <w:r>
        <w:rPr>
          <w:rFonts w:ascii="Times New Roman;Times;serif" w:hAnsi="Times New Roman;Times;serif"/>
          <w:b/>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inventory consists of the following as of September 30, 2023 and December 31, 2022:</w:t>
      </w:r>
    </w:p>
    <w:p>
      <w:pPr>
        <w:pStyle w:val="TextBody"/>
        <w:bidi w:val="0"/>
        <w:spacing w:before="0" w:after="0"/>
        <w:ind w:left="0" w:right="0" w:hanging="0"/>
        <w:jc w:val="left"/>
        <w:rPr/>
      </w:pPr>
      <w:r>
        <w:rPr/>
        <w:t>​</w:t>
      </w:r>
    </w:p>
    <w:tbl>
      <w:tblPr>
        <w:tblW w:w="4489" w:type="dxa"/>
        <w:jc w:val="left"/>
        <w:tblInd w:w="0" w:type="dxa"/>
        <w:tblLayout w:type="fixed"/>
        <w:tblCellMar>
          <w:top w:w="0" w:type="dxa"/>
          <w:left w:w="0" w:type="dxa"/>
          <w:bottom w:w="0" w:type="dxa"/>
          <w:right w:w="0" w:type="dxa"/>
        </w:tblCellMar>
      </w:tblPr>
      <w:tblGrid>
        <w:gridCol w:w="1516"/>
        <w:gridCol w:w="211"/>
        <w:gridCol w:w="1141"/>
        <w:gridCol w:w="109"/>
        <w:gridCol w:w="326"/>
        <w:gridCol w:w="11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62660" cy="175260"/>
                      <wp:effectExtent l="0" t="0" r="0" b="0"/>
                      <wp:wrapNone/>
                      <wp:docPr id="31" name="Frame3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24535" cy="175260"/>
                      <wp:effectExtent l="0" t="0" r="0" b="0"/>
                      <wp:wrapNone/>
                      <wp:docPr id="33" name="Frame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53110" cy="175260"/>
                      <wp:effectExtent l="0" t="0" r="0" b="0"/>
                      <wp:wrapNone/>
                      <wp:docPr id="36" name="Frame3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br/>
              <w:t>2023</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br/>
              <w:t>2022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5,418,341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2,325,482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11,280,895</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14,504,490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16,068,605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5,724,210</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32,767,841</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22,554,182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2023 and December 31, 2022, the Company did not recognize any adjustment to net realizable value within its inventory.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936" w:name="Tc_V0h5gnH3fU-PrqXGu-2OYA_12_5"/>
      <w:bookmarkStart w:id="937" w:name="Tc_5hwSLtbOmUWhP82MlnW9pg_12_2"/>
      <w:bookmarkStart w:id="938" w:name="Tc_7fOfl9M1r0SSpSErmgmUvg_12_0"/>
      <w:bookmarkStart w:id="939" w:name="Tc_dvBdiA3yyEWLgCpZcEl9Cw_11_0"/>
      <w:bookmarkStart w:id="940" w:name="Tc_DUp-WZ0RsUu00OCH8WB_pQ_10_5"/>
      <w:bookmarkStart w:id="941" w:name="Tc_jQ-MOqYTcEmSOJkgI1Gwjw_10_2"/>
      <w:bookmarkStart w:id="942" w:name="Tc_r8dvWuY4iEOrO1xKsbBaFQ_10_0"/>
      <w:bookmarkStart w:id="943" w:name="Tc_DDnLzjBh7E-zruGSuAnplw_9_0"/>
      <w:bookmarkStart w:id="944" w:name="Tc_u8PmNE1WlkmjTiSKRUVblw_8_0"/>
      <w:bookmarkStart w:id="945" w:name="Tc_Yp_VaVgTQE6y7MTAMaC2yw_7_0"/>
      <w:bookmarkStart w:id="946" w:name="Tc_MsH4PD3t30WKdp2LNvF5zg_6_0"/>
      <w:bookmarkStart w:id="947" w:name="Tc_j5lbnwDgvkeNwnFptym_pA_5_0"/>
      <w:bookmarkStart w:id="948" w:name="Tc_qSAGQwhozECz56jaBFy42A_4_0"/>
      <w:bookmarkStart w:id="949" w:name="Tc_q6vnHd-Zq0u7fh7mydwKMg_3_5"/>
      <w:bookmarkStart w:id="950" w:name="Tc_mebJRTPf50GZY3GDN2Cwew_3_2"/>
      <w:bookmarkStart w:id="951" w:name="Tc_NDt_IRIx20qhibLuVp5Clw_3_0"/>
      <w:bookmarkStart w:id="952" w:name="Tc_ug4UtM-1NkSmS6vp7JOkig_2_5"/>
      <w:bookmarkStart w:id="953" w:name="Tc_ucytRJyH0kO4WvnnzQQoNA_2_2"/>
      <w:bookmarkStart w:id="954" w:name="Tc_oIJVfOQc1UaxljGsM98l4A_1_5"/>
      <w:bookmarkStart w:id="955" w:name="Tc_izU4ffHIfkezUDvEVw-3uQ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Pr>
          <w:rFonts w:ascii="Times New Roman;Times;serif" w:hAnsi="Times New Roman;Times;serif"/>
          <w:b/>
          <w:i w:val="false"/>
          <w:caps w:val="false"/>
          <w:smallCaps w:val="false"/>
          <w:sz w:val="20"/>
        </w:rPr>
        <w:t>6.</w:t>
      </w:r>
      <w:r>
        <w:rPr>
          <w:rFonts w:ascii="Times New Roman;Times;serif" w:hAnsi="Times New Roman;Times;serif"/>
          <w:b/>
          <w:sz w:val="20"/>
        </w:rPr>
        <w:t>Property and Equipment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net of accumulated depreciation and are comprised of the following:</w:t>
      </w:r>
    </w:p>
    <w:p>
      <w:pPr>
        <w:pStyle w:val="TextBody"/>
        <w:bidi w:val="0"/>
        <w:spacing w:before="0" w:after="240"/>
        <w:ind w:left="0" w:right="0" w:hanging="0"/>
        <w:jc w:val="both"/>
        <w:rPr/>
      </w:pPr>
      <w:r>
        <w:rPr/>
        <w:t>​</w:t>
      </w:r>
    </w:p>
    <w:tbl>
      <w:tblPr>
        <w:tblW w:w="7602" w:type="dxa"/>
        <w:jc w:val="left"/>
        <w:tblInd w:w="0" w:type="dxa"/>
        <w:tblLayout w:type="fixed"/>
        <w:tblCellMar>
          <w:top w:w="0" w:type="dxa"/>
          <w:left w:w="0" w:type="dxa"/>
          <w:bottom w:w="0" w:type="dxa"/>
          <w:right w:w="0" w:type="dxa"/>
        </w:tblCellMar>
      </w:tblPr>
      <w:tblGrid>
        <w:gridCol w:w="4336"/>
        <w:gridCol w:w="326"/>
        <w:gridCol w:w="211"/>
        <w:gridCol w:w="1051"/>
        <w:gridCol w:w="326"/>
        <w:gridCol w:w="211"/>
        <w:gridCol w:w="114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753360" cy="175260"/>
                      <wp:effectExtent l="0" t="0" r="0" b="0"/>
                      <wp:wrapNone/>
                      <wp:docPr id="37" name="Frame37"/>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7385" cy="175260"/>
                      <wp:effectExtent l="0" t="0" r="0" b="0"/>
                      <wp:wrapNone/>
                      <wp:docPr id="40" name="Frame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43" name="Frame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3,716,438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3,716,438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4,830,976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4,830,976</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11,498,900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4,100,165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679,685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655,698</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 machinery, and tools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5,049,408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3,796,695</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 servers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4,576,946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4,132,621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9,852,632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10,756,410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 cost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40,204,986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31,989,003</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(8,065,794)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(4,899,977)</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property and equipment, net of depreciation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32,139,192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27,089,026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Construction in progress is related to both cultivation and manufacturing facilities and includes costs related to finished goods not yet completed or otherwise not ready for use.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expense for the three and nine months ended September 30, 2023 was $1,057,905 and $3,165,817, respectively and $798,354 and $2,022,061 for the three and nine months ended September 30,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Business Combinations and Asset Acquisitions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26, 2022, the Company acquired two retail dispensaries located in Boulder, Colorado pursuant to an asset purchase agreement dated June 25, 2021, with Double Brow, LLC, a wholly-owned subsidiary of the Company (“Double Brow”), BG3 Investments, LLC d/b/a Drift (“Drift”), Black Box Licensing, LLC, and Brian Searchinger, as the sole equity holder of Drift, as amended on October 28, 2021. The acquired assets included (i) the assets used in or related to Drift’s business of distributing, marketing, and selling recreational cannabis products and (ii) the leases for two retail dispensaries located in Boulder, Colorado. The aggregate closing consideration for the acquisition was (i) $1.92 million in cash, and (ii) 1,146,099 shares of Common Stock issued to Drift. The Company utilized purchase price accounting to value assets acquired, which values such assets at approximately fair market value. The purchase price accounting for the Drift acquisition resulted in $2,138,270 of goodwill and $1,030,000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8, 2022, the Company acquired its New Mexico business pursuant to a purchase agreement with Nuevo Holding, LLC, a wholly-owned subsidiary of the Company (“Nuevo Purchaser”), Nuevo Elemental Holding, LLC (“Elemental Purchaser” and together with Nuevo Purchaser, the “Nuevo Purchasers”), Reynold Greenleaf &amp; Associates LLC (“RGA”), Elemental Kitchen and Laboratories, LLC, a wholly-owned subsidiary of RGA (“Elemental”), the equity holders of RGA and Elemental, and William N. Ford, in his capacity as Representative, as amended on February 9, 2022 (the “Nuevo Purchase Agreement”). The Nuevo Purchasers acquired substantially all the operating assets of RGA and all of the equity of Elemental and assumed specified liabilities of RGA and Elemental. Pursuant to existing laws and regulations in New Mexico, the cannabis licenses for certain facilities managed by RGA were held by two not-for-profit entities (“NFP”): Medzen Services, Inc. (“Medzen”) and R. Greenleaf Organics, Inc. (“R. Greenleaf” and together with Medzen, the “Nuevo NFPs”). At the closing, Nuevo Purchaser gained control over the Nuevo NFPs by becoming the sole member of each of the Nuevo NFPs and replacing the directors of the two Nuevo NFPs with executive officers of the Company. The business acquired from RGA was a management company, providing branding, marketing, and consulting services, licensing certain intellectual property related to the business, and supporting Elemental and the Nuevo NFPs to promote, support, and develop sales and distribution of products. Elemental is engaged in the business of creating and distributing cannabis-derived products to licensed cannabis producers. Elemental and the Nuevo NFPs are in the business of cultivating, processing, and dispensing marijuana in New Mexico. At the closing of the Nuevo Purchase Agreement, Nuevo Purchaser entered into two separate Call Option Agreements containing substantially identical terms with each of the Nuevo NFPs. Each Call Option Agreement gives Nuevo Purchaser the right to acquire 100% of the equity or 100% of the assets of the applicable Nuevo NFP for a purchase price of $100 if, in the future, the New Mexico legislature adopts legislation that permits a NFP to (i) convert to a for-profit corporation and maintain its cannabis license or (ii) sell its assets (including its cannabis license) to a for-profit corporation. The aggregate closing consideration for the acquisitions was approximately (i) $32.2 million in cash, which included a $4.5 million cash earn-out based on EBITDA of the acquired businesses for the calendar year 2021, and (ii) $17.0 million in the form of an unsecured promissory note issued by Nuevo Purchaser to RGA, the principal amount of which is payable on February 8, 2025 with interest payable monthly at an annual interest rate of 5% (the “Nuevo Note”). The Company utilized purchase price accounting to value assets acquired, which values such assets at approximately fair market value. The purchase price accounting for the RGA acquisition resulted in $6,196,571 of goodwill and $28,785,000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9, 2022, the Company acquired MCG, LLC (“MCG”), which operates two dispensaries located in Denver and Manitou Springs, Colorado pursuant to the terms of an Agreement and Plan of Merger, dated November 15, 2021, with Emerald Fields Merger Sub, LLC, a wholly-owned subsidiary of the Company (“Emerald Fields”), MCG, MCG’s owners and Donald Douglas Burkhalter and James Gulbrandsen in their capacity as the Member Representatives, as amended on February 9, 2022 (the “MCG Merger Agreement”). Under the MCG Merger Agreement, MCG merged with and into Emerald Fields, with Emerald Fields continuing as the surviving entity. The aggregate closing consideration for the merger was $29.0 million, consisting of: (i) $16.0 million in cash; (ii) 7,145,724 shares of the Common Stock issued to the members of MCG; and (iii) an aggregate of $2.32 million was held back as collateral for potential claims for indemnification under the MCG Merger Agreement. The Company utilized purchase price accounting to value assets acquired, which values such assets at approximately fair market value. The purchase price accounting for the MCG acquisition resulted in $19,852,080 of goodwill and $12,400,000 of intangibles.</w:t>
      </w:r>
      <w:r>
        <w:rPr>
          <w:rFonts w:ascii="Times New Roman;Times;serif" w:hAnsi="Times New Roman;Times;serif"/>
          <w:color w:val="FF0000"/>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15, 2022, the Company acquired substantially all of the operating assets of Brow 2, LLC (“Brow”) related to its indoor cannabis cultivation operations located in Denver, Colorado (other than assets expressly excluded) and assumed certain liabilities for contracts acquired pursuant to the terms of the Asset Purchase Agreement, dated August 20, 2021, among Double Brow, Brow, and Brian Welsh, as the owner of Brow (the “Brow Purchase Agreement”). The acquired assets included a 37,000 square foot building, the associated lease, and equipment designed for indoor cultivation. After purchase price adjustments for pre-closing inventory, the aggregate consideration was $6.7 million, of which Double Brow paid $6.2 million at closing and held back $500,000 as collateral for potential claims for indemnification under the Brow Purchase Agreement. The Company utilized purchase price accounting to value assets acquired, which values such assets at approximately fair market value. The purchase price accounting for the Brow acquisition resulted in $1,792,000 of goodwill and $3,970,000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acquired substantially all of the operating assets of Urban Dispensary, which operates a dispensary and indoor cultivation in Colorado, pursuant to the terms of an Asset and Personal Goodwill Purchase Agreement, dated March 11, 2022, with Double Brow, Urban Health &amp; Wellness, Inc. d/b/a Urban Dispensary (“Urban Dispensary”), Productive Investments, LLC, and Patrick Johnson (the “Urban Purchase Agreement”). Urban Dispensary operated an indoor cannabis cultivation facility and a single retail dispensary, each located in Denver, Colorado. The aggregate consideration for the Urban Dispensary acquisition was $1.32 million in cash and 1,670,230 shares of Common Stock. The Company held back 219,847 shares from the stock consideration at closing as collateral for potential claims for indemnification from Urban Dispensary under the Urban Purchase Agreement. The Company utilized purchase price accounting to value assets acquired, which values such assets at approximately fair market value. The purchase price accounting for the Urban Dispensary acquisition resulted in $398,148 of goodwill and $2,490,000 of intangibles.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15, 2022, the Company acquired substantially all of the operating assets associated with two retail dispensaries located in Denver and Aurora, Colorado owned by Lightshade Labs LLC (“Lightshade”) pursuant to the terms of two Asset Purchase Agreements, dated September 9, 2022, among Double Brow, the Company, Lightshade, and Lightshade’s owners, Thomas Van Alsburg, Steve Brooks, and John Fritzel, as amended on December 15, 2021 (the “Lightshade Purchase Agreements”). After purchase price adjustments for transaction and related expenses, the aggregate consideration for the acquisition was approximately $2.75 million, all of which was paid in cash. The Company deposited $300,000 of the purchase price in escrow as collateral for potential claims for indemnification from Lightshade under the Lightshade Purchase Agreements. The Company utilized purchase price accounting to value assets acquired, which values such assets at approximately fair market value. The Lightshade Dispensary acquisition resulted in $776,959 of intangibles and $1,812,905 of goodwill, however, valuation has not been finalized. Amortization of $38,847 was recorded at September 30, 2023 to selling, general and administrative expenses.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11, 2023, the Company acquired certain of the operating assets of Cannabis Care Wellness Centers, LLC (d/b/a Smokey’s) and Green Medicals Wellness Center #5, LLC (d/b/a Smokey’s) (together referenced herein as “Smokey’s”), and assumed specific obligations of Smokey’s, pursuant to the terms of the Asset Purchase Agreement, dated January 25, 2023, among Smoke Holdco, LLC, a wholly-owned subsidiary of the Company (“Smokey’s Buyer”), Smokey’s, Jeremy Lewchuk, Thomas Wilczynski, T&amp;B Holdings, LLC, and Thomas Wilczynski, as Representative (the “Smokey’s Purchase Agreement”). Pursuant to the Smokey’s Purchase Agreement, Smokey’s Buyer acquired substantially all of Smokey’s’ assets related to its retail and medical cannabis stores located in Garden City, Colorado and Fort Collins, Colorado. After purchase price adjustments for transaction and related expenses, the aggregate consideration for the Smokey’s acquisition was approximately $7.5 million, of which approximately $3.75 million was paid in cash and $3.75 million was paid in Company common stock at a share price of $1.092 per share. Total shares issued at closing equaled 2,884,615 shares of Company common stock. The stock consideration is subject to post-closing reduction if any of the actual cannabis product inventory or cash at closing is less than certain targets stated in the Smokey’s Purchase Agreement. The Company held back from issuance $600,000 from the stock consideration and $150,000 from the cash consideration as collateral for potential claims for indemnification from Smokey’s under the Smokey’s Purchase Agreement. The Company utilized purchase price accounting to value assets acquired, which values such assets at approximately fair market value. The purchase price accounting for the Smokey’s acquisition resulted in $2,155,155 of goodwill and $5,276,415 of intangibles, however, valuation has not been finalized.</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 2023, the Company acquired 14 retail dispensaries, one cultivation facility, and one manufacturing facility in New Mexico pursuant to an Asset Purchase Agreement, dated April 21, 2023, between Evergreen Holdco, LLC, a wholly-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owned subsidiary of the Company (“Everest Purchaser”), Sucellus, LLC (“Everest Seller”), James Griffin, Brook Laskey, William Baldwin, Andrew Dolan, and Greg Templeton, and Brook Laskey, as Representative, as amended on June 1, 2023 (the “Everest Purchase Agreement”). Everest Purchaser acquired substantially all of the operating assets of Everest Seller and assumed specified liabilities of Everest Seller, subject to the terms and conditions set forth in the Everest Purchase Agreement (the “Everest Acquisition”). Pursuant to existing laws and regulations in New Mexico, the cannabis licenses for the facilities managed by Everest Seller are held by a NFP, Everest Apothecary, Inc., (“Everest”). At the closing, Everest Purchaser gained control over Everest by replacing the officers and directors of Everest with officers of the Company. On the same date, Everest Purchaser entered into a separate Call Option Agreement that gives Everest Purchaser the right to acquire 100% of the equity or 100% of the assets of Everest for a purchase price of $100 if, in the future, the New Mexico legislature adopts legislation that permits NFPs to (i) convert to a for-profit corporation and maintain its cannabis license or (ii) sell its assets (including its cannabis license) to a for-profit corporation. After purchase price adjustments and subject to post-closing adjustments, the aggregate purchase price for Everest Acquisition paid at closing was approximately $41 million, of which $12.5 million was paid in cash, $17.5 million was paid in the form of an unsecured promissory note issued by Everest Purchaser to Everest Seller (the “Everest Note”), $8 million was paid in Company common stock in the amount of 7,619,047 shares and $3.0 million is payable in two installment payments of $1,250,000 due to Everest Seller on August 30, 2023 and November 28, 2023 (the “Everest Deferred Purchase Price”). The Everest Note is payable on the last day of the calendar quarter following the fourth anniversary of the closing of the Everest Acquisition with interest payable quarterly at an annual interest rate of 5%. The Company is required to make installment payments of principal and interest on the Everest Note starting June 30, 2025, and the total outstanding principal will be due on May 31, 2027. In addition to the foregoing, Everest Purchaser may be required to make a potential “earn-out” payment of up to an additional $8 million, payable in Company common stock priced at closing of the Everest Acquisition. The earn-out is based on the revenue performance of certain retail stores of Everest for the 12-month period following such stores opening for business and is revalued quarterly. Management currently estimates the expected earn-out payment to equal approximately $2.1 million based on current projections. Indemnification claims permitted under the Everest Purchase Agreement will be offset against the Everest Note. The Company utilized purchase price accounting to value assets acquired, which values such assets at approximately fair market value. The purchase price accounting for the Everest acquisition resulted in $11,055,767 of goodwill and $25,128,876 of intangibles, however, valuation has not been finalized.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15, 2023, the Company acquired substantially all of the operating assets of Standing Akimbo, LLC (“Standing Akimbo”) related to its medical cannabis store located in Denver, Colorado pursuant to the terms of the Asset Purchase Agreement, dated April 13, 2023 (the “Akimbo Purchase Agreement”), between Double Brow, Standing Akimbo, Spencer Kirson, and John Murphy (together with Spencer Kirson and John Murphy, the “Akimbo Equityholders”). The aggregate consideration for the acquisition was approximately $9.3 million, of which $3.8 million is payable in cash (“Akimbo Cash Consideration”) and approximately $5.5 million payable in the form of Company common stock (“Akimbo Stock Consideration” and together with the Akimbo Cash Consideration, the “Akimbo Purchase Price”). At the closing of the acquisition, the Company paid $1 million of the Akimbo Purchase Price in cash, and approximately $4.5 million of the Akimbo Purchase Price in Company common stock for a total of 4,488,691 shares at a per share price of $1.00 per share. The Company is obligated to pay the remainder of the Akimbo Cash Consideration over 12 fiscal quarters starting on July 15, 2023 as set forth in the Akimbo Purchase Agreement (the “Akimbo Deferred Purchase Price”). The Company also reserved from issuance approximately $1 million from the Akimbo Stock Consideration as collateral for potential claims for indemnification from Standing Akimbo and the Akimbo Equityholders under the Akimbo Purchase Agreement. The Company utilized purchase price accounting to value assets acquired, which values such assets at approximately fair market value. The purchase price accounting for the acquisition of Standing Akimbo resulted in $1,768,633 of goodwill and $7,249,732 of intangibles, however, valuation has not been finalized.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intangible assets for current acquisitions based on prior valuations of acquisitions of similar size.  The Company’s policy is to record amortization on the intangible assets beginning on the purchase date. Upon the completion of valuation, the Company revises the intangible assets and related amortization as necessary.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These transactions were accounted for as a business combination in accordance with ASC 805, </w:t>
      </w:r>
      <w:r>
        <w:rPr>
          <w:rFonts w:ascii="Times New Roman;Times;serif" w:hAnsi="Times New Roman;Times;serif"/>
          <w:i/>
          <w:sz w:val="20"/>
        </w:rPr>
        <w:t>Business Combinations</w:t>
      </w:r>
      <w:r>
        <w:rPr>
          <w:rFonts w:ascii="Times New Roman;Times;serif" w:hAnsi="Times New Roman;Times;serif"/>
          <w:sz w:val="20"/>
        </w:rPr>
        <w:t xml:space="preserve"> (“ASC 805”) in the period acquired. Refer to the Company’s business combination note as described in Note 7, “Business Combinations,” to the consolidated financial statements included in the Company’s Annual Report on Form 10-K for the year ended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956" w:name="Tc_4nlURz3YAEK3N-jNxGc8CA_15_8"/>
      <w:bookmarkStart w:id="957" w:name="Tc_QiOoXpkvAE6zKn3EuIIp-A_15_5"/>
      <w:bookmarkStart w:id="958" w:name="Tc_AnkklZ-gcECRu73FSYks2w_15_2"/>
      <w:bookmarkStart w:id="959" w:name="Tc_LrHWXkvK50eCa8N2D1_J7A_15_0"/>
      <w:bookmarkStart w:id="960" w:name="Tc_h1oTWSDWnkuo5Rq9JLtvPA_14_9"/>
      <w:bookmarkStart w:id="961" w:name="Tc_Ni3y7uVdY0qCKWzXtBGbew_14_6"/>
      <w:bookmarkStart w:id="962" w:name="Tc_ik1iKssWr0-vdoGEQFkjjA_14_0"/>
      <w:bookmarkStart w:id="963" w:name="Tc_bk1dO8DL1EueIoYN5N-RyQ_13_9"/>
      <w:bookmarkStart w:id="964" w:name="Tc_o21-uccSfkyfl10F7cjKbg_13_6"/>
      <w:bookmarkStart w:id="965" w:name="Tc_lqMHtAJmaU-mvRGPATZpDw_13_0"/>
      <w:bookmarkStart w:id="966" w:name="Tc_2ULu0yPU7UaIwHp4mw1WQA_12_9"/>
      <w:bookmarkStart w:id="967" w:name="Tc_zuEyXq9wB02g2DL-mnAUdw_12_8"/>
      <w:bookmarkStart w:id="968" w:name="Tc_aue3hLiYokO6GqWr5rSwcg_12_6"/>
      <w:bookmarkStart w:id="969" w:name="Tc_emQjSkp1eEeLXqD33ZsrYg_12_5"/>
      <w:bookmarkStart w:id="970" w:name="Tc_kN3Jz8YEkEGUEWTrpbJ44g_12_2"/>
      <w:bookmarkStart w:id="971" w:name="Tc_ytWfmlWYWk6UutG4reWeNA_12_0"/>
      <w:bookmarkStart w:id="972" w:name="Tc_sCFH-mT6dkCp-HCSQT820Q_11_0"/>
      <w:bookmarkStart w:id="973" w:name="Tc_NLzsNMruiUKo0mhwEZKk5w_10_8"/>
      <w:bookmarkStart w:id="974" w:name="Tc_AbQM7mtnRUuSBZmrNXGgXQ_10_5"/>
      <w:bookmarkStart w:id="975" w:name="Tc_14ungOiiCUiFnTKgnU4SMQ_10_2"/>
      <w:bookmarkStart w:id="976" w:name="Tc_JWXwd3UHi0mMCS57I0GhaQ_10_0"/>
      <w:bookmarkStart w:id="977" w:name="Tc_n4sKG4cMoUOkeCZWun2f4w_9_9"/>
      <w:bookmarkStart w:id="978" w:name="Tc_hJslapPfqka5WlwMYWDh-g_9_6"/>
      <w:bookmarkStart w:id="979" w:name="Tc_OAVna_xU_UaV3IYHge98TA_9_0"/>
      <w:bookmarkStart w:id="980" w:name="Tc_Zgz0IgQ1zkWsl2GmENOlkw_8_0"/>
      <w:bookmarkStart w:id="981" w:name="Tc_Wh8CnMYucEmM93LbcCoJ1A_7_0"/>
      <w:bookmarkStart w:id="982" w:name="Tc_9slvCpRChUeDyXmgvOdl1w_6_9"/>
      <w:bookmarkStart w:id="983" w:name="Tc_llG_mk1kk0eukZSOcsD12w_6_6"/>
      <w:bookmarkStart w:id="984" w:name="Tc_THrhmI5WmEqqUoANv6eSSg_6_0"/>
      <w:bookmarkStart w:id="985" w:name="Tc_8iCjMI0X9Eu_vHiNuleIrw_5_9"/>
      <w:bookmarkStart w:id="986" w:name="Tc_6gEQIgfaB0mYKA-yuiWyIA_5_0"/>
      <w:bookmarkStart w:id="987" w:name="Tc_wFxVzpo9vUioOGABIbOETw_4_6"/>
      <w:bookmarkStart w:id="988" w:name="Tc_VKe4kptXsE-hrot1uGtHJw_4_0"/>
      <w:bookmarkStart w:id="989" w:name="Tc_1kbNfHOQJU28lnqjIGlIkw_3_8"/>
      <w:bookmarkStart w:id="990" w:name="Tc_I3nqrptB9kq8AYydqoukVw_3_5"/>
      <w:bookmarkStart w:id="991" w:name="Tc_6mMRRx7zaESuKvcDVc3M3w_3_2"/>
      <w:bookmarkStart w:id="992" w:name="Tc_ozexvt4AV0SgxEaT73Ghyg_3_0"/>
      <w:bookmarkStart w:id="993" w:name="Tc_S8kn6kkUIkCdMxkUI6HrGw_2_0"/>
      <w:bookmarkStart w:id="994" w:name="Tc_QgspVztFaEaL7t0WETAatA_1_8"/>
      <w:bookmarkStart w:id="995" w:name="Tc_x2XTb13MrkKSz6xej5Nt4A_1_5"/>
      <w:bookmarkStart w:id="996" w:name="Tc_uZinzrMZi0WWmOyUPcnE7A_1_2"/>
      <w:bookmarkStart w:id="997" w:name="Tc_ky7BiEqL9Uej65H0RfzSKg_1_0"/>
      <w:bookmarkStart w:id="998" w:name="_36287fe6_6d58_41aa_af8b_31e3c191f8c5"/>
      <w:bookmarkStart w:id="999" w:name="Tc_V2fEG58HkUW5Y2IV4GDPMA_8_8"/>
      <w:bookmarkStart w:id="1000" w:name="Tc_nJyTJan-nUOa0uq4ehrPcQ_8_5"/>
      <w:bookmarkStart w:id="1001" w:name="Tc_BCT9zy8Lv0Kb5cvn5j61hA_8_2"/>
      <w:bookmarkStart w:id="1002" w:name="Tc_YjBG268c2EiJjt2RL5MaNQ_8_0"/>
      <w:bookmarkStart w:id="1003" w:name="Tc_msBUMYxLvk6g5YjGwMsB-g_7_9"/>
      <w:bookmarkStart w:id="1004" w:name="Tc_7dTN14wHKEyaxF2KTiZGtw_7_6"/>
      <w:bookmarkStart w:id="1005" w:name="Tc_DvCikOeBl0qYKciv_x1mhw_7_0"/>
      <w:bookmarkStart w:id="1006" w:name="Tc_B40-qQ7teEqeMS0Gg4LZJQ_6_0"/>
      <w:bookmarkStart w:id="1007" w:name="Tc_Ch6JxNsx206O8gdOpvn4pg_5_9"/>
      <w:bookmarkStart w:id="1008" w:name="Tc_Bl8ZaWPQt0GsKXoPfCInDA_5_6"/>
      <w:bookmarkStart w:id="1009" w:name="Tc_ibj2eEWyt0CDbUVepuH1PQ_5_0"/>
      <w:bookmarkStart w:id="1010" w:name="Tc_TU2aBRsunUeEXP6EbKDCuQ_4_9"/>
      <w:bookmarkStart w:id="1011" w:name="Tc_9Yz_BJry7EemHr6e814tAA_4_6"/>
      <w:bookmarkStart w:id="1012" w:name="Tc_ysw4q_vCFEqs9tsIcIgCeg_4_0"/>
      <w:bookmarkStart w:id="1013" w:name="Tc_UGUfOGCyF0eoZgJpsPw5Nw_3_9"/>
      <w:bookmarkStart w:id="1014" w:name="Tc_RID-80y8-0mLoqvWGkY4mA_3_3"/>
      <w:bookmarkStart w:id="1015" w:name="Tc_6S71ReCyT06UOkaoMlT1pg_3_0"/>
      <w:bookmarkStart w:id="1016" w:name="Tc_6OilIGpTE0awypZWTuj3jg_2_8"/>
      <w:bookmarkStart w:id="1017" w:name="Tc_zCC24SGmuUG8fMKQJKUsvg_2_5"/>
      <w:bookmarkStart w:id="1018" w:name="Tc_V39IL2GhxU2v3UTBPAeTuw_2_2"/>
      <w:bookmarkStart w:id="1019" w:name="Tc_i4eBIq3zvEaAow51fI0oXQ_2_0"/>
      <w:bookmarkStart w:id="1020" w:name="Tc_IpuvXV5hgkelxNzXvQO3aw_1_8"/>
      <w:bookmarkStart w:id="1021" w:name="Tc_7wgPLWDHyk-jGOpvwYMKCg_1_5"/>
      <w:bookmarkStart w:id="1022" w:name="Tc_F5-1jgNN3UejXd4DuXMC-Q_1_2"/>
      <w:bookmarkStart w:id="1023" w:name="_46ff8fdc_865b_4a08_93c9_cd93fdd0898a"/>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consideration of the foregoing business combinations entered into during the nine month period ending September 30, 2023, the Company paid as follows:</w:t>
      </w:r>
    </w:p>
    <w:p>
      <w:pPr>
        <w:pStyle w:val="TextBody"/>
        <w:bidi w:val="0"/>
        <w:spacing w:before="0" w:after="0"/>
        <w:ind w:left="0" w:right="0" w:hanging="0"/>
        <w:jc w:val="left"/>
        <w:rPr/>
      </w:pPr>
      <w:r>
        <w:rPr/>
        <w:t>​</w:t>
      </w:r>
    </w:p>
    <w:tbl>
      <w:tblPr>
        <w:tblW w:w="9064" w:type="dxa"/>
        <w:jc w:val="left"/>
        <w:tblInd w:w="0" w:type="dxa"/>
        <w:tblLayout w:type="fixed"/>
        <w:tblCellMar>
          <w:top w:w="0" w:type="dxa"/>
          <w:left w:w="0" w:type="dxa"/>
          <w:bottom w:w="0" w:type="dxa"/>
          <w:right w:w="0" w:type="dxa"/>
        </w:tblCellMar>
      </w:tblPr>
      <w:tblGrid>
        <w:gridCol w:w="2476"/>
        <w:gridCol w:w="326"/>
        <w:gridCol w:w="341"/>
        <w:gridCol w:w="1594"/>
        <w:gridCol w:w="326"/>
        <w:gridCol w:w="374"/>
        <w:gridCol w:w="1576"/>
        <w:gridCol w:w="326"/>
        <w:gridCol w:w="300"/>
        <w:gridCol w:w="1425"/>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72260" cy="175260"/>
                      <wp:effectExtent l="0" t="0" r="0" b="0"/>
                      <wp:wrapNone/>
                      <wp:docPr id="44" name="Frame4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6535" cy="175260"/>
                      <wp:effectExtent l="0" t="0" r="0" b="0"/>
                      <wp:wrapNone/>
                      <wp:docPr id="46" name="Frame46"/>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012190" cy="175260"/>
                      <wp:effectExtent l="0" t="0" r="0" b="0"/>
                      <wp:wrapNone/>
                      <wp:docPr id="47" name="Frame47"/>
                      <a:graphic xmlns:a="http://schemas.openxmlformats.org/drawingml/2006/main">
                        <a:graphicData uri="http://schemas.microsoft.com/office/word/2010/wordprocessingShape">
                          <wps:wsp>
                            <wps:cNvSpPr txBox="1"/>
                            <wps:spPr>
                              <a:xfrm>
                                <a:off x="0" y="0"/>
                                <a:ext cx="1012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7490" cy="175260"/>
                      <wp:effectExtent l="0" t="0" r="0" b="0"/>
                      <wp:wrapNone/>
                      <wp:docPr id="49" name="Frame4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000760" cy="175260"/>
                      <wp:effectExtent l="0" t="0" r="0" b="0"/>
                      <wp:wrapNone/>
                      <wp:docPr id="50" name="Frame5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0500" cy="175260"/>
                      <wp:effectExtent l="0" t="0" r="0" b="0"/>
                      <wp:wrapNone/>
                      <wp:docPr id="52" name="Frame5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04875" cy="175260"/>
                      <wp:effectExtent l="0" t="0" r="0" b="0"/>
                      <wp:wrapNone/>
                      <wp:docPr id="53" name="Frame53"/>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26" w:type="dxa"/>
            <w:tcBorders/>
            <w:vAlign w:val="center"/>
          </w:tcPr>
          <w:p>
            <w:pPr>
              <w:pStyle w:val="TableContents"/>
              <w:bidi w:val="0"/>
              <w:spacing w:before="0" w:after="1"/>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Standing Akimbo, LLC</w:t>
            </w:r>
          </w:p>
        </w:tc>
        <w:tc>
          <w:tcPr>
            <w:tcW w:w="326" w:type="dxa"/>
            <w:tcBorders/>
            <w:vAlign w:val="center"/>
          </w:tcPr>
          <w:p>
            <w:pPr>
              <w:pStyle w:val="TableContents"/>
              <w:bidi w:val="0"/>
              <w:spacing w:before="0" w:after="1"/>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Smoke Holdco, LLC</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shd w:fill="CCEEFF" w:val="clear"/>
            <w:vAlign w:val="center"/>
          </w:tcPr>
          <w:p>
            <w:pPr>
              <w:pStyle w:val="TableContents"/>
              <w:bidi w:val="0"/>
              <w:spacing w:before="0" w:after="1"/>
              <w:ind w:left="0" w:right="0" w:hanging="0"/>
              <w:jc w:val="left"/>
              <w:rPr/>
            </w:pPr>
            <w:r>
              <w:rPr/>
              <w:t>    </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12,500,000</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3,750,000</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Akimbo Deferred Purchase Price</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15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2,807,475</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1425" w:type="dxa"/>
            <w:tcBorders/>
            <w:vAlign w:val="center"/>
          </w:tcPr>
          <w:p>
            <w:pPr>
              <w:pStyle w:val="TableContents"/>
              <w:bidi w:val="0"/>
              <w:spacing w:before="0" w:after="1"/>
              <w:ind w:left="0" w:right="0" w:hanging="0"/>
              <w:jc w:val="righ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Everest Deferred Purchase Price</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15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3,000,000</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Seller notes</w:t>
            </w:r>
          </w:p>
        </w:tc>
        <w:tc>
          <w:tcPr>
            <w:tcW w:w="32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15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17,500,000</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pPr>
            <w:r>
              <w:rPr/>
              <w:t>—</w:t>
            </w:r>
          </w:p>
        </w:tc>
      </w:tr>
      <w:tr>
        <w:trPr/>
        <w:tc>
          <w:tcPr>
            <w:tcW w:w="247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15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8,000,000</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5,542,990</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4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3,750,000</w:t>
            </w:r>
          </w:p>
        </w:tc>
      </w:tr>
      <w:tr>
        <w:trPr/>
        <w:tc>
          <w:tcPr>
            <w:tcW w:w="24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Expected earn-out</w:t>
            </w:r>
          </w:p>
        </w:tc>
        <w:tc>
          <w:tcPr>
            <w:tcW w:w="326" w:type="dxa"/>
            <w:tcBorders/>
            <w:vAlign w:val="center"/>
          </w:tcPr>
          <w:p>
            <w:pPr>
              <w:pStyle w:val="TableContents"/>
              <w:bidi w:val="0"/>
              <w:spacing w:before="0" w:after="1"/>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2,100,457</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7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Total purchase price</w:t>
            </w:r>
          </w:p>
        </w:tc>
        <w:tc>
          <w:tcPr>
            <w:tcW w:w="326" w:type="dxa"/>
            <w:tcBorders/>
            <w:shd w:fill="CCEEFF" w:val="clear"/>
            <w:vAlign w:val="center"/>
          </w:tcPr>
          <w:p>
            <w:pPr>
              <w:pStyle w:val="TableContents"/>
              <w:bidi w:val="0"/>
              <w:spacing w:before="0" w:after="1"/>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43,100,457</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7,500,000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the Company’s allocation of the purchase price is as follows:</w:t>
      </w:r>
    </w:p>
    <w:tbl>
      <w:tblPr>
        <w:tblW w:w="9709" w:type="dxa"/>
        <w:jc w:val="left"/>
        <w:tblInd w:w="0" w:type="dxa"/>
        <w:tblLayout w:type="fixed"/>
        <w:tblCellMar>
          <w:top w:w="0" w:type="dxa"/>
          <w:left w:w="0" w:type="dxa"/>
          <w:bottom w:w="0" w:type="dxa"/>
          <w:right w:w="0" w:type="dxa"/>
        </w:tblCellMar>
      </w:tblPr>
      <w:tblGrid>
        <w:gridCol w:w="3076"/>
        <w:gridCol w:w="326"/>
        <w:gridCol w:w="349"/>
        <w:gridCol w:w="1631"/>
        <w:gridCol w:w="326"/>
        <w:gridCol w:w="374"/>
        <w:gridCol w:w="1576"/>
        <w:gridCol w:w="326"/>
        <w:gridCol w:w="300"/>
        <w:gridCol w:w="1425"/>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53260" cy="175260"/>
                      <wp:effectExtent l="0" t="0" r="0" b="0"/>
                      <wp:wrapNone/>
                      <wp:docPr id="54" name="Frame54"/>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1615" cy="175260"/>
                      <wp:effectExtent l="0" t="0" r="0" b="0"/>
                      <wp:wrapNone/>
                      <wp:docPr id="56" name="Frame56"/>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35685" cy="175260"/>
                      <wp:effectExtent l="0" t="0" r="0" b="0"/>
                      <wp:wrapNone/>
                      <wp:docPr id="57" name="Frame57"/>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7490" cy="175260"/>
                      <wp:effectExtent l="0" t="0" r="0" b="0"/>
                      <wp:wrapNone/>
                      <wp:docPr id="59" name="Frame59"/>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000760" cy="175260"/>
                      <wp:effectExtent l="0" t="0" r="0" b="0"/>
                      <wp:wrapNone/>
                      <wp:docPr id="60" name="Frame60"/>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0500" cy="175260"/>
                      <wp:effectExtent l="0" t="0" r="0" b="0"/>
                      <wp:wrapNone/>
                      <wp:docPr id="62" name="Frame62"/>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04875" cy="175260"/>
                      <wp:effectExtent l="0" t="0" r="0" b="0"/>
                      <wp:wrapNone/>
                      <wp:docPr id="63" name="Frame63"/>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Contents"/>
              <w:bidi w:val="0"/>
              <w:spacing w:before="0" w:after="1"/>
              <w:ind w:left="0" w:right="0" w:hanging="0"/>
              <w:jc w:val="left"/>
              <w:rPr/>
            </w:pPr>
            <w:r>
              <w:rPr/>
              <w:t>    </w:t>
            </w:r>
          </w:p>
        </w:tc>
        <w:tc>
          <w:tcPr>
            <w:tcW w:w="1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Evergreen Holdco, LLC </w:t>
            </w:r>
          </w:p>
        </w:tc>
        <w:tc>
          <w:tcPr>
            <w:tcW w:w="326" w:type="dxa"/>
            <w:tcBorders/>
            <w:vAlign w:val="center"/>
          </w:tcPr>
          <w:p>
            <w:pPr>
              <w:pStyle w:val="TableContents"/>
              <w:bidi w:val="0"/>
              <w:spacing w:before="0" w:after="1"/>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Standing Akimbo, LLC</w:t>
            </w:r>
          </w:p>
        </w:tc>
        <w:tc>
          <w:tcPr>
            <w:tcW w:w="326" w:type="dxa"/>
            <w:tcBorders/>
            <w:vAlign w:val="center"/>
          </w:tcPr>
          <w:p>
            <w:pPr>
              <w:pStyle w:val="TableContents"/>
              <w:bidi w:val="0"/>
              <w:spacing w:before="0" w:after="1"/>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Smoke Holdco, LLC</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425"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1,412,722</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2,100</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716,440</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4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67,630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5,000,000</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330,000</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1,443,149</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25,128,876</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7,249,732</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5,276,415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11,055,767</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1,768,633</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4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2,155,155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 of use assets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1,879,887</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46,636,841</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7,500,000</w:t>
            </w:r>
          </w:p>
        </w:tc>
      </w:tr>
      <w:tr>
        <w:trPr/>
        <w:tc>
          <w:tcPr>
            <w:tcW w:w="30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Liabilities and Equity assumed:</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1,656,497</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1,879,887</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assumed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3,536,384</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Estimated fair value of net assets acquired</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43,100,457</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7,500,000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goodwill, which is not expected to be deductible for income tax purposes, consists largely of synergies, assembled workforce, and economies of scale expected from combining the operations of the acquired entities with the Company.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20"/>
        </w:rPr>
        <w:t>The following unaudited pro forma financial information set forth below gives effect to the Evergreen Holdco, LLC acquisition as if it had occurred on January 1, 2022. Pro forma financial information is not presented for Standing Akimbo, LLC and Smoke Holdco, LLC as such results are immaterial, individually and in aggregate, to both the current and prior periods</w:t>
      </w:r>
      <w:r>
        <w:rPr>
          <w:rFonts w:ascii="Times New Roman;Times;serif" w:hAnsi="Times New Roman;Times;serif"/>
          <w:sz w:val="18"/>
        </w:rPr>
        <w:t xml:space="preserve">. </w:t>
      </w:r>
      <w:r>
        <w:rPr>
          <w:rFonts w:ascii="Times New Roman;Times;serif" w:hAnsi="Times New Roman;Times;serif"/>
          <w:sz w:val="20"/>
        </w:rPr>
        <w:t xml:space="preserve">These unaudited pro forma results are presented for informational purposes only and are not necessarily indicative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24" w:name="Tc_lQ8RR1L6t0WPzAoyq45lWA_15_6"/>
      <w:bookmarkStart w:id="1025" w:name="Tc_5qdC_QNMBE2U4ixqrSDEew_15_1"/>
      <w:bookmarkStart w:id="1026" w:name="Tc_GdLvzYdbjEOy-UBm4mU9jg_15_0"/>
      <w:bookmarkStart w:id="1027" w:name="Tc_fGUrEFzRjk2e8cBMVrxIiw_14_0"/>
      <w:bookmarkStart w:id="1028" w:name="Tc_yXibSxUCwEm482PZC_3lPA_13_5"/>
      <w:bookmarkStart w:id="1029" w:name="Tc_REiHFJ8Mn0G8Mr-DZijn4g_13_0"/>
      <w:bookmarkStart w:id="1030" w:name="Tc_NO9Yg1t54U-RC6x1M5Zzsw_12_5"/>
      <w:bookmarkStart w:id="1031" w:name="Tc_dQjz_-vnUUigmgdc4fJZlA_12_0"/>
      <w:bookmarkStart w:id="1032" w:name="Tc_GxkFWmPw1UuuBAV8eQkXjQ_11_5"/>
      <w:bookmarkStart w:id="1033" w:name="Tc_3xhO5ID3P026dlBmx7dG-w_11_0"/>
      <w:bookmarkStart w:id="1034" w:name="Tc_K5ntY1YbH0yRgt9GmaLryQ_10_5"/>
      <w:bookmarkStart w:id="1035" w:name="Tc_Ee2SVs0OvUudbWeu7vZ7ag_10_0"/>
      <w:bookmarkStart w:id="1036" w:name="Tc_S3NMGfSXEkOMubkYlIIYvQ_9_0"/>
      <w:bookmarkStart w:id="1037" w:name="Tc_n0BDstsxPEyZW31YJG4XuA_8_0"/>
      <w:bookmarkStart w:id="1038" w:name="Tc_Ii85qShIXk6_9-N5yVwc1g_7_0"/>
      <w:bookmarkStart w:id="1039" w:name="Tc_0qeO4B0nQUieS2rJgdXNZw_6_6"/>
      <w:bookmarkStart w:id="1040" w:name="Tc_D7hkQqs5kE2jZD6U0RftxQ_6_1"/>
      <w:bookmarkStart w:id="1041" w:name="Tc_Dv0jmtjav0u6C2tQbd6BiQ_6_0"/>
      <w:bookmarkStart w:id="1042" w:name="Tc_fXV5t1Ri10SlUmvwuXvXKw_4_7"/>
      <w:bookmarkStart w:id="1043" w:name="Tc_oTHKvwQcxE2vmaDMmpzOAw_4_4"/>
      <w:bookmarkStart w:id="1044" w:name="Tc__WWP2TxAM02NUCznG5NVYQ_4_2"/>
      <w:bookmarkStart w:id="1045" w:name="Tc_eyhhFiVUgE-XQerB3qvNbw_3_7"/>
      <w:bookmarkStart w:id="1046" w:name="Tc_DuzPWxxVv0yPYFkjOWBssA_3_4"/>
      <w:bookmarkStart w:id="1047" w:name="Tc_9Q9QUz5SAEuAnmu1XvGtUg_3_2"/>
      <w:bookmarkStart w:id="1048" w:name="Tc_m3MgAemKIkaRiWV_4INA6A_2_2"/>
      <w:bookmarkStart w:id="1049" w:name="Tc_v7l8uuiITkGFlDQHe33hDA_1_2"/>
      <w:bookmarkStart w:id="1050" w:name="_e210f24f_5d3c_442d_b851_bf6303a98ebb"/>
      <w:bookmarkStart w:id="1051" w:name="Tc_myILXis-PkmP_D518PsLKA_15_6"/>
      <w:bookmarkStart w:id="1052" w:name="Tc_v1GhKW6Jf0aF9XuF23yg4A_15_4"/>
      <w:bookmarkStart w:id="1053" w:name="Tc_aNnH1hwTIEyVGiS9tx4joA_15_1"/>
      <w:bookmarkStart w:id="1054" w:name="Tc_zfMtiOCUAEK-aqLqqZ_2tw_15_0"/>
      <w:bookmarkStart w:id="1055" w:name="Tc_goSDqdm7eE6lqiLVKm_dUw_14_4"/>
      <w:bookmarkStart w:id="1056" w:name="Tc_Laaag7wdPES6i2G7gnp8vg_14_0"/>
      <w:bookmarkStart w:id="1057" w:name="Tc_j69jXRZ6jU22ogylIYhJ4Q_13_5"/>
      <w:bookmarkStart w:id="1058" w:name="Tc_vl4wQH0FCkm5H0I7F1tnVg_13_4"/>
      <w:bookmarkStart w:id="1059" w:name="Tc_e9BRzAi_g02ROnuT7tGppA_13_0"/>
      <w:bookmarkStart w:id="1060" w:name="Tc_KSZTblGLd0-CXeami8LuWQ_12_5"/>
      <w:bookmarkStart w:id="1061" w:name="Tc_jqDwWtMr6UaIZviftRwxdw_12_4"/>
      <w:bookmarkStart w:id="1062" w:name="Tc_1lQof6auOkKtFs2ej6P1hQ_12_0"/>
      <w:bookmarkStart w:id="1063" w:name="Tc_-YGlGbCeiE-9I1NbixvhFg_11_5"/>
      <w:bookmarkStart w:id="1064" w:name="Tc_gqEi3lxtgUS5nuFwi_Sgtg_11_4"/>
      <w:bookmarkStart w:id="1065" w:name="Tc_UVfl0GvkRUOa1Pv0W5IdUg_11_0"/>
      <w:bookmarkStart w:id="1066" w:name="Tc_d4oqrk7M00emVEyM9HQ6tg_10_5"/>
      <w:bookmarkStart w:id="1067" w:name="Tc_blslxN0J0kqLaHohtumUOQ_10_4"/>
      <w:bookmarkStart w:id="1068" w:name="Tc_YlfVAmScakSBlWlkn7nePA_10_0"/>
      <w:bookmarkStart w:id="1069" w:name="Tc_0pyAdS5D30SZi40rjaceMg_9_0"/>
      <w:bookmarkStart w:id="1070" w:name="Tc_FdzhlQLOEECxN8dd2X0Kzw_8_4"/>
      <w:bookmarkStart w:id="1071" w:name="Tc_g5IbUpo0w0-nLtT7NjPQ6Q_8_0"/>
      <w:bookmarkStart w:id="1072" w:name="Tc_EgtJdsdBGUqrPHzCL33yZA_7_0"/>
      <w:bookmarkStart w:id="1073" w:name="Tc_2iJa1xiFwEauYqEl8H-aBw_6_6"/>
      <w:bookmarkStart w:id="1074" w:name="Tc_XTruMq6690OgQSixGFwLYA_6_4"/>
      <w:bookmarkStart w:id="1075" w:name="Tc_XOZIad3RgEWn_t76GZuAWA_6_1"/>
      <w:bookmarkStart w:id="1076" w:name="Tc_WSbX2O5om0aLdEQ0BdCBHA_6_0"/>
      <w:bookmarkStart w:id="1077" w:name="Tc_rrToSsOLTUKMRhkC5IfYXA_4_7"/>
      <w:bookmarkStart w:id="1078" w:name="Tc_TrfFeSJtNUm1PrwJ2J9NfQ_4_4"/>
      <w:bookmarkStart w:id="1079" w:name="Tc_0mh8mki7OEuMmdmhM-8FsQ_4_2"/>
      <w:bookmarkStart w:id="1080" w:name="Tc_NYEHeW-rLEmh6gUSRQ63tg_3_7"/>
      <w:bookmarkStart w:id="1081" w:name="Tc_QzcPoAUFsEu2e5JHgN4qYg_3_4"/>
      <w:bookmarkStart w:id="1082" w:name="Tc_S08Mt1ZI50ClJkkGpss2xA_3_2"/>
      <w:bookmarkStart w:id="1083" w:name="Tc_qHUGGXSSpkq35zG-wqB_RA_2_2"/>
      <w:bookmarkStart w:id="1084" w:name="Tc_WvS6pNOVsUiuGjNlXkKVDQ_1_2"/>
      <w:bookmarkStart w:id="1085" w:name="_46279af8_3ec9_48fb_8906_00b4ab0914f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Fonts w:ascii="Times New Roman;Times;serif" w:hAnsi="Times New Roman;Times;serif"/>
          <w:sz w:val="20"/>
        </w:rPr>
        <w:t>of the result of operations that would have been achieved had the transaction been consummated as of that time, nor does it purport to be indicative of future financial operation results.  </w:t>
      </w:r>
    </w:p>
    <w:p>
      <w:pPr>
        <w:pStyle w:val="TextBody"/>
        <w:bidi w:val="0"/>
        <w:spacing w:before="0" w:after="0"/>
        <w:ind w:left="0" w:right="0" w:hanging="0"/>
        <w:jc w:val="left"/>
        <w:rPr/>
      </w:pPr>
      <w:r>
        <w:rPr/>
        <w:t>​</w:t>
      </w:r>
    </w:p>
    <w:tbl>
      <w:tblPr>
        <w:tblW w:w="9176"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97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38985" cy="175260"/>
                      <wp:effectExtent l="0" t="0" r="0" b="0"/>
                      <wp:wrapNone/>
                      <wp:docPr id="64" name="Frame6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19860" cy="175260"/>
                      <wp:effectExtent l="0" t="0" r="0" b="0"/>
                      <wp:wrapNone/>
                      <wp:docPr id="66" name="Frame66"/>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29360" cy="175260"/>
                      <wp:effectExtent l="0" t="0" r="0" b="0"/>
                      <wp:wrapNone/>
                      <wp:docPr id="68" name="Frame68"/>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0660" cy="175260"/>
                      <wp:effectExtent l="0" t="0" r="0" b="0"/>
                      <wp:wrapNone/>
                      <wp:docPr id="69"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9760" cy="175260"/>
                      <wp:effectExtent l="0" t="0" r="0" b="0"/>
                      <wp:wrapNone/>
                      <wp:docPr id="71" name="Frame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69" w:type="dxa"/>
            <w:gridSpan w:val="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46,746,935</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46,746,935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 Income tax expense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(322,462)</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(322,462)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Includes removal of transaction costs associated with the acquisition as they will be reflected as of the beginning of the earliest period presented (January 1, 2022). These costs were included as selling, general and administrative expenses in the statement of comprehensive (loss)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shd w:fill="FFFFFF" w:val="clear"/>
        </w:rPr>
        <w:t xml:space="preserve"> To record interest on Everest Note of 5% per annum.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To record depreciation of fixed assets and amortization of intangible assets related to fixed assets and intangible assets acquired in the transaction.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To record provision for income tax based on the estimated effective tax rate of 28.6% applied to income taxable under IRC Section 280E.  </w:t>
      </w:r>
    </w:p>
    <w:p>
      <w:pPr>
        <w:pStyle w:val="TextBody"/>
        <w:bidi w:val="0"/>
        <w:spacing w:before="0" w:after="240"/>
        <w:ind w:left="0" w:right="0" w:hanging="0"/>
        <w:jc w:val="both"/>
        <w:rPr/>
      </w:pPr>
      <w:r>
        <w:rPr/>
        <w:t>​</w:t>
      </w:r>
    </w:p>
    <w:tbl>
      <w:tblPr>
        <w:tblW w:w="9251"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105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38985" cy="175260"/>
                      <wp:effectExtent l="0" t="0" r="0" b="0"/>
                      <wp:wrapNone/>
                      <wp:docPr id="72" name="Frame72"/>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19860" cy="175260"/>
                      <wp:effectExtent l="0" t="0" r="0" b="0"/>
                      <wp:wrapNone/>
                      <wp:docPr id="74" name="Frame74"/>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29360" cy="175260"/>
                      <wp:effectExtent l="0" t="0" r="0" b="0"/>
                      <wp:wrapNone/>
                      <wp:docPr id="76" name="Frame76"/>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0660" cy="175260"/>
                      <wp:effectExtent l="0" t="0" r="0" b="0"/>
                      <wp:wrapNone/>
                      <wp:docPr id="77" name="Frame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4460" cy="175260"/>
                      <wp:effectExtent l="0" t="0" r="0" b="0"/>
                      <wp:wrapNone/>
                      <wp:docPr id="78"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7385" cy="175260"/>
                      <wp:effectExtent l="0" t="0" r="0" b="0"/>
                      <wp:wrapNone/>
                      <wp:docPr id="79" name="Frame7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844" w:type="dxa"/>
            <w:gridSpan w:val="6"/>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Nine Months Ended</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84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1"/>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3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129,122,971</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9,152,029</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138,275,000</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1,697,236</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(91,146)</w:t>
            </w:r>
          </w:p>
        </w:tc>
        <w:tc>
          <w:tcPr>
            <w:tcW w:w="31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(783,042)</w:t>
            </w:r>
          </w:p>
        </w:tc>
        <w:tc>
          <w:tcPr>
            <w:tcW w:w="31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 Income tax expense</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(1,025,000)</w:t>
            </w:r>
          </w:p>
        </w:tc>
        <w:tc>
          <w:tcPr>
            <w:tcW w:w="31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(1,666,335)</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(5,184,664)</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30,901</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(5,153,763)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Includes removal of transaction costs associated with the acquisition as they will be reflected as of the beginning of the earliest period presented (January 1, 2022). These costs were included as selling, general and administrative expenses in the statement of comprehensive (loss) income.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shd w:fill="FFFFFF" w:val="clear"/>
        </w:rPr>
        <w:t xml:space="preserve"> To record interest on Everest Note of 5% per annum.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To record depreciation of fixed assets and amortization of intangible assets related to fixed assets and intangible assets acquired in the transaction.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To record provision for income tax based on the estimated effective tax rate of 28.6% applied to income taxable under IRC Section 280E.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086" w:name="Tc_WjiR1CF7UEGXpZ66NsI-3w_14_1"/>
      <w:bookmarkStart w:id="1087" w:name="Tc_VxKaR_nS70-zlEGzSxIZtQ_14_0"/>
      <w:bookmarkStart w:id="1088" w:name="Tc_VFjIT7ikSEW6jt8XYc_O-Q_13_0"/>
      <w:bookmarkStart w:id="1089" w:name="Tc_aSbRpP0phUSV3BAY521FUA_12_5"/>
      <w:bookmarkStart w:id="1090" w:name="Tc_NOGOaEcNbEa2ZcZz-Naziw_12_0"/>
      <w:bookmarkStart w:id="1091" w:name="Tc_ktEWOfCDxkad5Z9B4Qiysg_11_5"/>
      <w:bookmarkStart w:id="1092" w:name="Tc_BKkIyJzAfU271EItDBN6Hw_11_0"/>
      <w:bookmarkStart w:id="1093" w:name="Tc_lJ-siOlxzkKnPZDqigDxGg_10_5"/>
      <w:bookmarkStart w:id="1094" w:name="Tc_pFsaiMWnPkCo0LjktmNrOQ_10_0"/>
      <w:bookmarkStart w:id="1095" w:name="Tc_RzJ_LXQMOU6E6hY-dvrVBw_9_0"/>
      <w:bookmarkStart w:id="1096" w:name="Tc_OJjUxyMUC0GgB9oN4IJahA_8_0"/>
      <w:bookmarkStart w:id="1097" w:name="Tc_NqilP2crxEuHxvNC1-TtXQ_7_0"/>
      <w:bookmarkStart w:id="1098" w:name="Tc_iXL5rTykbECF5D-h4pC7Mw_6_6"/>
      <w:bookmarkStart w:id="1099" w:name="Tc_Evi_qpoPoUCvcVZSuCDjmA_6_1"/>
      <w:bookmarkStart w:id="1100" w:name="Tc_WRy0d7wMj0m_RyokzpPEZw_6_0"/>
      <w:bookmarkStart w:id="1101" w:name="Tc_thc0sbJpr0OPKBpBoHcDfg_4_7"/>
      <w:bookmarkStart w:id="1102" w:name="Tc_JSB0QwMHwk-7GABp8Azgfw_4_4"/>
      <w:bookmarkStart w:id="1103" w:name="Tc_h4Db4ZCod02loG9dhb89AA_3_7"/>
      <w:bookmarkStart w:id="1104" w:name="Tc_VCiEAudVH0acPjXlejWk5A_3_4"/>
      <w:bookmarkStart w:id="1105" w:name="Tc_pZ-h3PYcJk2DjjfH_KhVGg_3_2"/>
      <w:bookmarkStart w:id="1106" w:name="Tc_HyXJErx_1UmGr5nEVQYpjg_2_2"/>
      <w:bookmarkStart w:id="1107" w:name="Tc_BRRHMWmyzUaLO4QFrny_Vg_1_2"/>
      <w:bookmarkStart w:id="1108" w:name="_773f7f80_cb66_44e1_bb1b_b6d3f7be47ea"/>
      <w:bookmarkStart w:id="1109" w:name="Tc_S-eK70n6NkWIAJn_J0jpvw_14_1"/>
      <w:bookmarkStart w:id="1110" w:name="Tc_43_9H4Vvo0uWzpOlUz3fkw_14_0"/>
      <w:bookmarkStart w:id="1111" w:name="Tc_4Y-_Mh_XJUCL-Q_9xvD4Ug_13_0"/>
      <w:bookmarkStart w:id="1112" w:name="Tc_rVzJHSOWQ0qy9euPo-GGZw_12_5"/>
      <w:bookmarkStart w:id="1113" w:name="Tc_V86uOW-63EGP-UqxSf44jw_12_0"/>
      <w:bookmarkStart w:id="1114" w:name="Tc_hC9h55nWrEiP7i-JV1WM-g_11_5"/>
      <w:bookmarkStart w:id="1115" w:name="Tc_qul1-WGXW0qFReDrdoMMKA_11_0"/>
      <w:bookmarkStart w:id="1116" w:name="Tc_hIPvtcFW0kmvaWr_96hKQQ_10_5"/>
      <w:bookmarkStart w:id="1117" w:name="Tc_C7U3js3Mtkuotf-xFSqesQ_10_0"/>
      <w:bookmarkStart w:id="1118" w:name="Tc_7gF1KL7pTEKNDa3sAKKljw_9_0"/>
      <w:bookmarkStart w:id="1119" w:name="Tc_6k_dlXn6wEG5AiJqj0tHGg_8_0"/>
      <w:bookmarkStart w:id="1120" w:name="Tc_rGYgEiofxka3L8pVZa3asg_7_0"/>
      <w:bookmarkStart w:id="1121" w:name="Tc_jp_sQ7BG-0ig_X5qAmW40g_6_6"/>
      <w:bookmarkStart w:id="1122" w:name="Tc_06Djf6OrVECOskVgqP602A_6_1"/>
      <w:bookmarkStart w:id="1123" w:name="Tc_VjPXz6irUEGGGuxv7xLNsQ_6_0"/>
      <w:bookmarkStart w:id="1124" w:name="Tc_DS3tfKqUKEqH7B5CIvI6Kw_4_7"/>
      <w:bookmarkStart w:id="1125" w:name="Tc_w5zkrvL9AkWK6tUr0QgdJQ_4_4"/>
      <w:bookmarkStart w:id="1126" w:name="Tc_lL8214iMxEWyi6rx47Xz2g_3_7"/>
      <w:bookmarkStart w:id="1127" w:name="Tc_QxCiBHuqA0ePJ3t9zHZa_A_3_4"/>
      <w:bookmarkStart w:id="1128" w:name="Tc_84XXGtdmv0-WTYn_gjdgrw_3_2"/>
      <w:bookmarkStart w:id="1129" w:name="Tc_ZwFPbaniaUSHko37hLJS5A_2_2"/>
      <w:bookmarkStart w:id="1130" w:name="Tc_ROgzrQhaIESTNT1_WhzTHg_1_2"/>
      <w:bookmarkStart w:id="1131" w:name="_91d75296_95fd_4507_90e9_6faaebfb99b7"/>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Pr/>
        <w:t>​</w:t>
      </w:r>
    </w:p>
    <w:tbl>
      <w:tblPr>
        <w:tblW w:w="9176"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97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38985" cy="175260"/>
                      <wp:effectExtent l="0" t="0" r="0" b="0"/>
                      <wp:wrapNone/>
                      <wp:docPr id="80" name="Frame8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4460" cy="175260"/>
                      <wp:effectExtent l="0" t="0" r="0" b="0"/>
                      <wp:wrapNone/>
                      <wp:docPr id="81" name="Frame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19860" cy="175260"/>
                      <wp:effectExtent l="0" t="0" r="0" b="0"/>
                      <wp:wrapNone/>
                      <wp:docPr id="82" name="Frame8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29360" cy="175260"/>
                      <wp:effectExtent l="0" t="0" r="0" b="0"/>
                      <wp:wrapNone/>
                      <wp:docPr id="84" name="Frame84"/>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660" cy="175260"/>
                      <wp:effectExtent l="0" t="0" r="0" b="0"/>
                      <wp:wrapNone/>
                      <wp:docPr id="85" name="Frame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19760" cy="175260"/>
                      <wp:effectExtent l="0" t="0" r="0" b="0"/>
                      <wp:wrapNone/>
                      <wp:docPr id="87" name="Frame8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69" w:type="dxa"/>
            <w:gridSpan w:val="6"/>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2022</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1"/>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36" w:type="dxa"/>
            <w:tcBorders/>
            <w:vAlign w:val="center"/>
          </w:tcPr>
          <w:p>
            <w:pPr>
              <w:pStyle w:val="TableContents"/>
              <w:bidi w:val="0"/>
              <w:spacing w:before="0" w:after="1"/>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3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43,190,986</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6,471,507</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49,662,493</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3,177,750</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(54,688)</w:t>
            </w:r>
          </w:p>
        </w:tc>
        <w:tc>
          <w:tcPr>
            <w:tcW w:w="31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1"/>
              <w:ind w:left="0" w:right="0" w:hanging="0"/>
              <w:jc w:val="left"/>
              <w:rPr/>
            </w:pPr>
            <w:r>
              <w:rPr/>
              <w:t>​</w:t>
            </w:r>
          </w:p>
        </w:tc>
        <w:tc>
          <w:tcPr>
            <w:tcW w:w="22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(469,825)</w:t>
            </w:r>
          </w:p>
        </w:tc>
        <w:tc>
          <w:tcPr>
            <w:tcW w:w="31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vAlign w:val="center"/>
          </w:tcPr>
          <w:p>
            <w:pPr>
              <w:pStyle w:val="TableContents"/>
              <w:bidi w:val="0"/>
              <w:spacing w:before="0" w:after="1"/>
              <w:ind w:left="0" w:right="0" w:hanging="0"/>
              <w:jc w:val="left"/>
              <w:rPr/>
            </w:pPr>
            <w:r>
              <w:rPr/>
              <w:t>​</w:t>
            </w:r>
          </w:p>
        </w:tc>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(757,366)</w:t>
            </w:r>
          </w:p>
        </w:tc>
        <w:tc>
          <w:tcPr>
            <w:tcW w:w="31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1,809,237</w:t>
            </w:r>
          </w:p>
        </w:tc>
        <w:tc>
          <w:tcPr>
            <w:tcW w:w="109" w:type="dxa"/>
            <w:tcBorders/>
            <w:shd w:fill="CCEEFF" w:val="clear"/>
            <w:vAlign w:val="center"/>
          </w:tcPr>
          <w:p>
            <w:pPr>
              <w:pStyle w:val="TableContents"/>
              <w:bidi w:val="0"/>
              <w:spacing w:before="0" w:after="1"/>
              <w:ind w:left="0" w:right="0" w:hanging="0"/>
              <w:jc w:val="left"/>
              <w:rPr/>
            </w:pPr>
            <w:r>
              <w:rPr/>
              <w:t>​</w:t>
            </w:r>
          </w:p>
        </w:tc>
        <w:tc>
          <w:tcPr>
            <w:tcW w:w="1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2,420,384</w:t>
            </w:r>
          </w:p>
        </w:tc>
        <w:tc>
          <w:tcPr>
            <w:tcW w:w="31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4,229,621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Includes transaction costs related to the acquisition (reflected as of January 1, 2022).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shd w:fill="FFFFFF" w:val="clear"/>
        </w:rPr>
        <w:t xml:space="preserve"> To record interest on Everest Note of 5% per annum.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To record depreciation of fixed assets and amortization of intangible assets related to fixed assets and intangible assets acquired in the transaction.</w:t>
      </w:r>
    </w:p>
    <w:p>
      <w:pPr>
        <w:pStyle w:val="TextBody"/>
        <w:bidi w:val="0"/>
        <w:spacing w:before="0" w:after="0"/>
        <w:ind w:left="0" w:right="0" w:hanging="0"/>
        <w:jc w:val="left"/>
        <w:rPr/>
      </w:pPr>
      <w:r>
        <w:rPr/>
        <w:t>​</w:t>
      </w:r>
    </w:p>
    <w:tbl>
      <w:tblPr>
        <w:tblW w:w="9251"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105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38985" cy="175260"/>
                      <wp:effectExtent l="0" t="0" r="0" b="0"/>
                      <wp:wrapNone/>
                      <wp:docPr id="88" name="Frame88"/>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19860" cy="175260"/>
                      <wp:effectExtent l="0" t="0" r="0" b="0"/>
                      <wp:wrapNone/>
                      <wp:docPr id="90" name="Frame9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29360" cy="175260"/>
                      <wp:effectExtent l="0" t="0" r="0" b="0"/>
                      <wp:wrapNone/>
                      <wp:docPr id="92" name="Frame9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660" cy="175260"/>
                      <wp:effectExtent l="0" t="0" r="0" b="0"/>
                      <wp:wrapNone/>
                      <wp:docPr id="93" name="Frame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7385" cy="175260"/>
                      <wp:effectExtent l="0" t="0" r="0" b="0"/>
                      <wp:wrapNone/>
                      <wp:docPr id="95" name="Frame9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44" w:type="dxa"/>
            <w:gridSpan w:val="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Nine Months Ended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2022</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119,231,932</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15,968,040</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135,199,972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5,655,000</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(164,063)</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(1,409,477)</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(1,806,393)</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8,871,518</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3,848,608</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12,720,126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Includes transaction costs related to the acquisition (reflected as of January 1, 2022).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shd w:fill="FFFFFF" w:val="clear"/>
        </w:rPr>
        <w:t xml:space="preserve"> To record interest on Everest Note of 5% per annum.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To record depreciation of fixed assets and amortization of intangible assets related to fixed assets and intangible assets acquired in the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32" w:name="Tc_IC94dvWNOUOYVI3asc8r8A_14_1"/>
      <w:bookmarkStart w:id="1133" w:name="Tc_Qc36ZM8J2kSYyOUsTvax2Q_14_0"/>
      <w:bookmarkStart w:id="1134" w:name="Tc__hsSDrJ7ZUquO8N-603JBQ_13_0"/>
      <w:bookmarkStart w:id="1135" w:name="Tc_qdduMc-gXE-EyDA9u77gIA_12_5"/>
      <w:bookmarkStart w:id="1136" w:name="Tc_OMRkLlTzf0CQYlbsENaMZg_12_0"/>
      <w:bookmarkStart w:id="1137" w:name="Tc_WMmf6k02GUmUhLSHwLSQtQ_11_5"/>
      <w:bookmarkStart w:id="1138" w:name="Tc_GedLzDAuQky01fwNSvEiCw_11_0"/>
      <w:bookmarkStart w:id="1139" w:name="Tc_nQ4N55wRX0GQlyPGal3kng_10_5"/>
      <w:bookmarkStart w:id="1140" w:name="Tc_NWaH2FjQx0ewQDiKZ71m8g_10_0"/>
      <w:bookmarkStart w:id="1141" w:name="Tc_BIi2Q8v0zU6ss4ge6_fmAA_9_0"/>
      <w:bookmarkStart w:id="1142" w:name="Tc_GH5ki4jcZUm3EONpM13XrQ_8_0"/>
      <w:bookmarkStart w:id="1143" w:name="Tc_-LQdAuILmkmGFDpSgOCeZA_7_0"/>
      <w:bookmarkStart w:id="1144" w:name="Tc_kg0L2lLN_UO0OmNeaFBnJg_6_6"/>
      <w:bookmarkStart w:id="1145" w:name="Tc_U54CzaZhukOkgi1DJf5B7g_6_1"/>
      <w:bookmarkStart w:id="1146" w:name="Tc_uHG20iE3zEyx79cI15WuGg_6_0"/>
      <w:bookmarkStart w:id="1147" w:name="Tc_Ui8f8ibEYEmLYIQWkqmNGA_4_7"/>
      <w:bookmarkStart w:id="1148" w:name="Tc_DdT0Uek6OUaLT-DZdt3yQw_4_4"/>
      <w:bookmarkStart w:id="1149" w:name="Tc_Cp7nSenuaUmA8L11gHdPhw_3_7"/>
      <w:bookmarkStart w:id="1150" w:name="Tc_0tmH4FK5s0q-FfsTWlQGGQ_3_4"/>
      <w:bookmarkStart w:id="1151" w:name="Tc_kKEhJWO38keBxs9WhfQSYA_3_2"/>
      <w:bookmarkStart w:id="1152" w:name="Tc_VPu6V_Sg-UC1w3Rbfw8vxg_2_2"/>
      <w:bookmarkStart w:id="1153" w:name="Tc_XVXH29VwCUuyrLnw-bkQ-g_1_2"/>
      <w:bookmarkStart w:id="1154" w:name="_eebe5589_0064_4198_a418_554c24d92688"/>
      <w:bookmarkStart w:id="1155" w:name="Tc_IC94dvWNOUOYVI3asc8r8A_14_1"/>
      <w:bookmarkStart w:id="1156" w:name="Tc_Qc36ZM8J2kSYyOUsTvax2Q_14_0"/>
      <w:bookmarkStart w:id="1157" w:name="Tc__hsSDrJ7ZUquO8N-603JBQ_13_0"/>
      <w:bookmarkStart w:id="1158" w:name="Tc_qdduMc-gXE-EyDA9u77gIA_12_5"/>
      <w:bookmarkStart w:id="1159" w:name="Tc_OMRkLlTzf0CQYlbsENaMZg_12_0"/>
      <w:bookmarkStart w:id="1160" w:name="Tc_WMmf6k02GUmUhLSHwLSQtQ_11_5"/>
      <w:bookmarkStart w:id="1161" w:name="Tc_GedLzDAuQky01fwNSvEiCw_11_0"/>
      <w:bookmarkStart w:id="1162" w:name="Tc_nQ4N55wRX0GQlyPGal3kng_10_5"/>
      <w:bookmarkStart w:id="1163" w:name="Tc_NWaH2FjQx0ewQDiKZ71m8g_10_0"/>
      <w:bookmarkStart w:id="1164" w:name="Tc_BIi2Q8v0zU6ss4ge6_fmAA_9_0"/>
      <w:bookmarkStart w:id="1165" w:name="Tc_GH5ki4jcZUm3EONpM13XrQ_8_0"/>
      <w:bookmarkStart w:id="1166" w:name="Tc_-LQdAuILmkmGFDpSgOCeZA_7_0"/>
      <w:bookmarkStart w:id="1167" w:name="Tc_kg0L2lLN_UO0OmNeaFBnJg_6_6"/>
      <w:bookmarkStart w:id="1168" w:name="Tc_U54CzaZhukOkgi1DJf5B7g_6_1"/>
      <w:bookmarkStart w:id="1169" w:name="Tc_uHG20iE3zEyx79cI15WuGg_6_0"/>
      <w:bookmarkStart w:id="1170" w:name="Tc_Ui8f8ibEYEmLYIQWkqmNGA_4_7"/>
      <w:bookmarkStart w:id="1171" w:name="Tc_DdT0Uek6OUaLT-DZdt3yQw_4_4"/>
      <w:bookmarkStart w:id="1172" w:name="Tc_Cp7nSenuaUmA8L11gHdPhw_3_7"/>
      <w:bookmarkStart w:id="1173" w:name="Tc_0tmH4FK5s0q-FfsTWlQGGQ_3_4"/>
      <w:bookmarkStart w:id="1174" w:name="Tc_kKEhJWO38keBxs9WhfQSYA_3_2"/>
      <w:bookmarkStart w:id="1175" w:name="Tc_VPu6V_Sg-UC1w3Rbfw8vxg_2_2"/>
      <w:bookmarkStart w:id="1176" w:name="Tc_XVXH29VwCUuyrLnw-bkQ-g_1_2"/>
      <w:bookmarkStart w:id="1177" w:name="_eebe5589_0064_4198_a418_554c24d92688"/>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p>
    <w:tbl>
      <w:tblPr>
        <w:tblW w:w="9281"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108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38985" cy="175260"/>
                      <wp:effectExtent l="0" t="0" r="0" b="0"/>
                      <wp:wrapNone/>
                      <wp:docPr id="96" name="Frame96"/>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19860" cy="175260"/>
                      <wp:effectExtent l="0" t="0" r="0" b="0"/>
                      <wp:wrapNone/>
                      <wp:docPr id="98" name="Frame9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29360" cy="175260"/>
                      <wp:effectExtent l="0" t="0" r="0" b="0"/>
                      <wp:wrapNone/>
                      <wp:docPr id="100" name="Frame100"/>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0660" cy="175260"/>
                      <wp:effectExtent l="0" t="0" r="0" b="0"/>
                      <wp:wrapNone/>
                      <wp:docPr id="101" name="Frame1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86435" cy="175260"/>
                      <wp:effectExtent l="0" t="0" r="0" b="0"/>
                      <wp:wrapNone/>
                      <wp:docPr id="103" name="Frame10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2022</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159,379,219</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22,439,548</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181,818,767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3,878,250</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(218,750)</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(1,879,302)</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(2,330,905)</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(18,467,615)</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1,547,345</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(16,920,270)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Includes transaction costs related to the acquisition (reflected as of January 1, 2022).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0"/>
          <w:shd w:fill="FFFFFF" w:val="clear"/>
        </w:rPr>
        <w:t xml:space="preserve"> To record interest on Everest Note of 5% per annum.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To record depreciation of fixed assets and amortization of intangible assets related to fixed assets and intangible assets acquired in the transaction.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Asset Acquisitions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two separate closings on June 16, 2023 and September 13, 2023, the Company acquired a retail marijuana license and a medical marijuana license, respectively, from Vertical Investment Group LLC d/b/a Stellar Cannabis Co. (“Stellar”). Pursuant to the terms of the License Transfer Agreement, as amended and restated on April 17, 2023, the aggregate consideration for the Stellar medical and retail licenses was $3 million in cash. The Company held back $300,000 from the cash consideration as collateral for potential claims for indemnification from Stellar.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78" w:name="Tc_EzJBOvy9AE-A427MZNdUAw_6_11"/>
      <w:bookmarkStart w:id="1179" w:name="Tc_582PqLtbxEK3OPRHdJlLAg_6_8"/>
      <w:bookmarkStart w:id="1180" w:name="Tc_56kL5ej790yyeY6iI2z6Zw_6_2"/>
      <w:bookmarkStart w:id="1181" w:name="Tc_lgCwHFhoEU-dHsFermTeCg_6_0"/>
      <w:bookmarkStart w:id="1182" w:name="Tc_3o-wP-FKnU2rIKcHvd6kbw_5_6"/>
      <w:bookmarkStart w:id="1183" w:name="Tc_m1qyqNP4wUqMvXNjyjJlkA_5_0"/>
      <w:bookmarkStart w:id="1184" w:name="Tc_PYPcLwoHq0usfV9Z0rx75w_4_9"/>
      <w:bookmarkStart w:id="1185" w:name="Tc_ovVJxBrmYEWZ1JtvBPydWw_4_6"/>
      <w:bookmarkStart w:id="1186" w:name="Tc_Wl7WjaGW6UaJ6lbdRPQKow_4_0"/>
      <w:bookmarkStart w:id="1187" w:name="Tc_GyKqEvM0PEKiBfS6mjWkfw_3_11"/>
      <w:bookmarkStart w:id="1188" w:name="Tc_Vtg227Qp0ky041mB9Fih0w_3_8"/>
      <w:bookmarkStart w:id="1189" w:name="Tc_OIcxqkgNVkC0kA_YZE82cg_3_5"/>
      <w:bookmarkStart w:id="1190" w:name="Tc_CMvaWXeDM0WY0KjEmCQuyQ_3_2"/>
      <w:bookmarkStart w:id="1191" w:name="Tc_4aDQXEvkPkSROM5ur_J6hA_3_0"/>
      <w:bookmarkStart w:id="1192" w:name="Tc_L0A9LG5NkEyrUaesTajj5Q_1_11"/>
      <w:bookmarkStart w:id="1193" w:name="Tc_2nk7ZRJYk0-DzoMgV5zDzA_1_8"/>
      <w:bookmarkStart w:id="1194" w:name="Tc_zaz1-zvX5Ey7_Qd_c2W3Aw_1_5"/>
      <w:bookmarkStart w:id="1195" w:name="Tc_fgbPK6awhk2r7bAVnEu0sg_1_2"/>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b/>
          <w:i w:val="false"/>
          <w:caps w:val="false"/>
          <w:smallCaps w:val="false"/>
          <w:sz w:val="20"/>
        </w:rPr>
        <w:t>8.</w:t>
      </w:r>
      <w:r>
        <w:rPr>
          <w:rFonts w:ascii="Times New Roman;Times;serif" w:hAnsi="Times New Roman;Times;serif"/>
          <w:b/>
          <w:sz w:val="20"/>
        </w:rPr>
        <w:t>Goodwill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acquired, the liabilities assumed, and any noncontrolling interest in the acquired entity. In addition, for transactions that are business combinations, the Company evaluates the existence of goodwill or a gain from a bargain purchase.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92"/>
        <w:gridCol w:w="266"/>
        <w:gridCol w:w="211"/>
        <w:gridCol w:w="1047"/>
        <w:gridCol w:w="266"/>
        <w:gridCol w:w="211"/>
        <w:gridCol w:w="931"/>
        <w:gridCol w:w="266"/>
        <w:gridCol w:w="211"/>
        <w:gridCol w:w="1140"/>
        <w:gridCol w:w="266"/>
        <w:gridCol w:w="211"/>
        <w:gridCol w:w="1187"/>
      </w:tblGrid>
      <w:tr>
        <w:trPr/>
        <w:tc>
          <w:tcPr>
            <w:tcW w:w="3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534920" cy="175260"/>
                      <wp:effectExtent l="0" t="0" r="0" b="0"/>
                      <wp:wrapNone/>
                      <wp:docPr id="104" name="Frame104"/>
                      <a:graphic xmlns:a="http://schemas.openxmlformats.org/drawingml/2006/main">
                        <a:graphicData uri="http://schemas.microsoft.com/office/word/2010/wordprocessingShape">
                          <wps:wsp>
                            <wps:cNvSpPr txBox="1"/>
                            <wps:spPr>
                              <a:xfrm>
                                <a:off x="0" y="0"/>
                                <a:ext cx="2534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8910" cy="175260"/>
                      <wp:effectExtent l="0" t="0" r="0" b="0"/>
                      <wp:wrapNone/>
                      <wp:docPr id="105" name="Frame1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4845" cy="175260"/>
                      <wp:effectExtent l="0" t="0" r="0" b="0"/>
                      <wp:wrapNone/>
                      <wp:docPr id="107" name="Frame107"/>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8910" cy="175260"/>
                      <wp:effectExtent l="0" t="0" r="0" b="0"/>
                      <wp:wrapNone/>
                      <wp:docPr id="108" name="Frame10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91185" cy="175260"/>
                      <wp:effectExtent l="0" t="0" r="0" b="0"/>
                      <wp:wrapNone/>
                      <wp:docPr id="110" name="Frame1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8910" cy="175260"/>
                      <wp:effectExtent l="0" t="0" r="0" b="0"/>
                      <wp:wrapNone/>
                      <wp:docPr id="111" name="Frame1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23900" cy="175260"/>
                      <wp:effectExtent l="0" t="0" r="0" b="0"/>
                      <wp:wrapNone/>
                      <wp:docPr id="113" name="Frame113"/>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8910" cy="175260"/>
                      <wp:effectExtent l="0" t="0" r="0" b="0"/>
                      <wp:wrapNone/>
                      <wp:docPr id="114" name="Frame1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53745" cy="175260"/>
                      <wp:effectExtent l="0" t="0" r="0" b="0"/>
                      <wp:wrapNone/>
                      <wp:docPr id="116" name="Frame116"/>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2"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vAlign w:val="center"/>
          </w:tcPr>
          <w:p>
            <w:pPr>
              <w:pStyle w:val="TableContents"/>
              <w:bidi w:val="0"/>
              <w:spacing w:before="0" w:after="1"/>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vAlign w:val="center"/>
          </w:tcPr>
          <w:p>
            <w:pPr>
              <w:pStyle w:val="TableContents"/>
              <w:bidi w:val="0"/>
              <w:spacing w:before="0" w:after="1"/>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992"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center"/>
              <w:rPr/>
            </w:pPr>
            <w:r>
              <w:rPr/>
              <w:t>​</w:t>
            </w:r>
          </w:p>
        </w:tc>
      </w:tr>
      <w:tr>
        <w:trPr/>
        <w:tc>
          <w:tcPr>
            <w:tcW w:w="39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52,583,794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7,219,936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34,801,571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94,605,301</w:t>
            </w:r>
          </w:p>
        </w:tc>
      </w:tr>
      <w:tr>
        <w:trPr/>
        <w:tc>
          <w:tcPr>
            <w:tcW w:w="39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acquired during the period</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14,979,555</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14,979,555</w:t>
            </w:r>
          </w:p>
        </w:tc>
      </w:tr>
      <w:tr>
        <w:trPr/>
        <w:tc>
          <w:tcPr>
            <w:tcW w:w="39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(4,221,202)</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(28,785,000)</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(33,006,202)</w:t>
            </w:r>
          </w:p>
        </w:tc>
      </w:tr>
      <w:tr>
        <w:trPr/>
        <w:tc>
          <w:tcPr>
            <w:tcW w:w="39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September 30, 2023</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63,342,147</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7,219,936</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6,016,571</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76,578,654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fair value assessment as of December 31, 2022 on its subsidiaries with material goodwill on their respective balance sheets and recognized a goodwill impairment charge of $11,719,306 during 2022. No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96" w:name="Tc_kvMUPAbiXEepwgali93ewg_7_11"/>
      <w:bookmarkStart w:id="1197" w:name="Tc_u3NyC_iVJ0qXur-aU_Hzkw_7_8"/>
      <w:bookmarkStart w:id="1198" w:name="Tc_lcm-ehD8rk200wtd1DLw3g_7_2"/>
      <w:bookmarkStart w:id="1199" w:name="Tc_XzvTR6XK7k62G3EYl9k0EA_7_0"/>
      <w:bookmarkStart w:id="1200" w:name="Tc_B1IiPXRYKUS4v8wz1e99gw_6_3"/>
      <w:bookmarkStart w:id="1201" w:name="Tc_H6WM68XCHUum_fRBWjZIEg_6_0"/>
      <w:bookmarkStart w:id="1202" w:name="Tc_FwTIF810gEWdpCP_k9XC-A_5_9"/>
      <w:bookmarkStart w:id="1203" w:name="Tc_1V4ilxnU-02T9lce0fxnMg_5_6"/>
      <w:bookmarkStart w:id="1204" w:name="Tc_ciwsioFhu0GLHzLldmuM_g_5_0"/>
      <w:bookmarkStart w:id="1205" w:name="Tc_VgOOS6jvIUidiavyjflmsg_4_0"/>
      <w:bookmarkStart w:id="1206" w:name="Tc_Lz2qFwluqku8oTBCK6CjzA_3_11"/>
      <w:bookmarkStart w:id="1207" w:name="Tc_y1IIwqMqYk-fsV5VFh2Z-Q_3_8"/>
      <w:bookmarkStart w:id="1208" w:name="Tc_0paLoOXQFUaa-vloxBrILg_3_2"/>
      <w:bookmarkStart w:id="1209" w:name="Tc_zjM9v6IRcUej_Hhzjj4VDA_3_0"/>
      <w:bookmarkStart w:id="1210" w:name="Tc_wlYLmkfWfUCbMxqikHT5Ew_1_12"/>
      <w:bookmarkStart w:id="1211" w:name="Tc_zfTUPfnU1USOSCqUmJ6jng_1_9"/>
      <w:bookmarkStart w:id="1212" w:name="Tc_i_crOu3l_Ui0IZWk0m9EUw_1_6"/>
      <w:bookmarkStart w:id="1213" w:name="Tc_7Q-qFr3HukunzHbjteF7yA_1_2"/>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Pr>
          <w:rFonts w:ascii="Times New Roman;Times;serif" w:hAnsi="Times New Roman;Times;serif"/>
          <w:sz w:val="20"/>
        </w:rPr>
        <w:t>such impairment existed as of September 30, 2023. Impairment is recorded when the carrying values of the reporting units exceed the estimated fair value.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80"/>
        <w:gridCol w:w="266"/>
        <w:gridCol w:w="211"/>
        <w:gridCol w:w="1036"/>
        <w:gridCol w:w="266"/>
        <w:gridCol w:w="109"/>
        <w:gridCol w:w="1047"/>
        <w:gridCol w:w="266"/>
        <w:gridCol w:w="211"/>
        <w:gridCol w:w="1047"/>
        <w:gridCol w:w="266"/>
        <w:gridCol w:w="211"/>
        <w:gridCol w:w="1189"/>
      </w:tblGrid>
      <w:tr>
        <w:trPr/>
        <w:tc>
          <w:tcPr>
            <w:tcW w:w="4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590800" cy="175260"/>
                      <wp:effectExtent l="0" t="0" r="0" b="0"/>
                      <wp:wrapNone/>
                      <wp:docPr id="117" name="Frame117"/>
                      <a:graphic xmlns:a="http://schemas.openxmlformats.org/drawingml/2006/main">
                        <a:graphicData uri="http://schemas.microsoft.com/office/word/2010/wordprocessingShape">
                          <wps:wsp>
                            <wps:cNvSpPr txBox="1"/>
                            <wps:spPr>
                              <a:xfrm>
                                <a:off x="0" y="0"/>
                                <a:ext cx="2590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8910" cy="175260"/>
                      <wp:effectExtent l="0" t="0" r="0" b="0"/>
                      <wp:wrapNone/>
                      <wp:docPr id="118" name="Frame11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20" name="Frame1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8910" cy="175260"/>
                      <wp:effectExtent l="0" t="0" r="0" b="0"/>
                      <wp:wrapNone/>
                      <wp:docPr id="121" name="Frame12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4845" cy="175260"/>
                      <wp:effectExtent l="0" t="0" r="0" b="0"/>
                      <wp:wrapNone/>
                      <wp:docPr id="123" name="Frame123"/>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8910" cy="175260"/>
                      <wp:effectExtent l="0" t="0" r="0" b="0"/>
                      <wp:wrapNone/>
                      <wp:docPr id="124" name="Frame12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64845" cy="175260"/>
                      <wp:effectExtent l="0" t="0" r="0" b="0"/>
                      <wp:wrapNone/>
                      <wp:docPr id="126" name="Frame126"/>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8910" cy="175260"/>
                      <wp:effectExtent l="0" t="0" r="0" b="0"/>
                      <wp:wrapNone/>
                      <wp:docPr id="127" name="Frame12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55015" cy="175260"/>
                      <wp:effectExtent l="0" t="0" r="0" b="0"/>
                      <wp:wrapNone/>
                      <wp:docPr id="129" name="Frame129"/>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vAlign w:val="center"/>
          </w:tcPr>
          <w:p>
            <w:pPr>
              <w:pStyle w:val="TableContents"/>
              <w:bidi w:val="0"/>
              <w:spacing w:before="0" w:after="0"/>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08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center"/>
              <w:rPr/>
            </w:pPr>
            <w:r>
              <w:rPr/>
              <w:t>​</w:t>
            </w:r>
          </w:p>
        </w:tc>
      </w:tr>
      <w:tr>
        <w:trPr/>
        <w:tc>
          <w:tcPr>
            <w:tcW w:w="40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2022</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26,349,025</w:t>
            </w:r>
          </w:p>
        </w:tc>
        <w:tc>
          <w:tcPr>
            <w:tcW w:w="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13,964,016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43,316,267</w:t>
            </w:r>
          </w:p>
        </w:tc>
      </w:tr>
      <w:tr>
        <w:trPr/>
        <w:tc>
          <w:tcPr>
            <w:tcW w:w="4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acquired during the period</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25,594,768</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1,792,000</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34,981,571</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62,368,339</w:t>
            </w:r>
          </w:p>
        </w:tc>
      </w:tr>
      <w:tr>
        <w:trPr/>
        <w:tc>
          <w:tcPr>
            <w:tcW w:w="40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640,001</w:t>
            </w:r>
          </w:p>
        </w:tc>
        <w:tc>
          <w:tcPr>
            <w:tcW w:w="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640,001</w:t>
            </w:r>
          </w:p>
        </w:tc>
      </w:tr>
      <w:tr>
        <w:trPr/>
        <w:tc>
          <w:tcPr>
            <w:tcW w:w="4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 during 2022</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(8,536,080)</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(3,183,226)</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(11,719,306)</w:t>
            </w:r>
          </w:p>
        </w:tc>
      </w:tr>
      <w:tr>
        <w:trPr/>
        <w:tc>
          <w:tcPr>
            <w:tcW w:w="40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52,583,794</w:t>
            </w:r>
          </w:p>
        </w:tc>
        <w:tc>
          <w:tcPr>
            <w:tcW w:w="26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7,219,936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34,801,571</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94,605,301</w:t>
            </w:r>
          </w:p>
        </w:tc>
      </w:tr>
    </w:tbl>
    <w:p>
      <w:pPr>
        <w:pStyle w:val="TextBody"/>
        <w:bidi w:val="0"/>
        <w:spacing w:before="0" w:after="0"/>
        <w:ind w:left="0" w:right="0" w:hanging="0"/>
        <w:jc w:val="both"/>
        <w:rPr>
          <w:shd w:fill="FFFFFF" w:val="clear"/>
        </w:rPr>
      </w:pPr>
      <w:r>
        <w:rPr>
          <w:shd w:fill="FFFFFF" w:val="clear"/>
        </w:rPr>
        <w:t>​</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1214" w:name="Tc_A_JOh85PD0-8E3oBIDMzoQ_7_2"/>
      <w:bookmarkStart w:id="1215" w:name="Tc_YJEg18adF0q8bqDaoKs2EQ_7_0"/>
      <w:bookmarkStart w:id="1216" w:name="Tc_wiPbO10VGEGa6I5qxW-tXA_6_0"/>
      <w:bookmarkStart w:id="1217" w:name="Tc_TgVljDVyNkGILJGHhFMVog_5_0"/>
      <w:bookmarkStart w:id="1218" w:name="Tc_AQJ-HP0bIky3csv3NcKBcg_4_0"/>
      <w:bookmarkStart w:id="1219" w:name="Tc_-uzaAd2Y-0KJZIyvCkmH7w_3_0"/>
      <w:bookmarkStart w:id="1220" w:name="Tc_aHKF-Ooz2UiTfMQWEK-FCQ_2_0"/>
      <w:bookmarkStart w:id="1221" w:name="Tc_VnusWu0jF0mbM3BHMt1-Xw_1_2"/>
      <w:bookmarkStart w:id="1222" w:name="Tc_QM_OukqqmUa9lKFLmfTvDA_1_0"/>
      <w:bookmarkStart w:id="1223" w:name="Tc_NRPkAw1ghUGaLplh39EMIw_11_11"/>
      <w:bookmarkStart w:id="1224" w:name="Tc_36k3OOpLQ0COzd4rKzj8Lg_11_8"/>
      <w:bookmarkStart w:id="1225" w:name="Tc_C9A2mlXjkEyyur3UAb7U6A_11_5"/>
      <w:bookmarkStart w:id="1226" w:name="Tc_S0GHfOL-XEi8l7c8IGTICQ_11_2"/>
      <w:bookmarkStart w:id="1227" w:name="Tc_PORDet5Jg0uElaZ2lnjAlw_11_0"/>
      <w:bookmarkStart w:id="1228" w:name="Tc_7kKh8aUtZU-xowr_7bu1kA_10_0"/>
      <w:bookmarkStart w:id="1229" w:name="Tc_l6--L2DMg0GmEbSwZytNEg_9_0"/>
      <w:bookmarkStart w:id="1230" w:name="Tc_13IdONT2dUaLOFNVMOqOvw_8_0"/>
      <w:bookmarkStart w:id="1231" w:name="Tc_o6pE9cNL4kyxX4_CXNOuPA_7_0"/>
      <w:bookmarkStart w:id="1232" w:name="Tc_wzv26I_-_Ey7fcoHYSg3eA_6_0"/>
      <w:bookmarkStart w:id="1233" w:name="Tc_1NbsWp3J6kaV1Jz2xXogDw_5_11"/>
      <w:bookmarkStart w:id="1234" w:name="Tc_2WieEfGbt0KvsoFkp_toaQ_5_8"/>
      <w:bookmarkStart w:id="1235" w:name="Tc_xySE8SAYZkidvI7pNpTHJg_5_5"/>
      <w:bookmarkStart w:id="1236" w:name="Tc_OgwYLP2SnkyjJllJYRg9Ow_5_2"/>
      <w:bookmarkStart w:id="1237" w:name="Tc_2FaySP9VIUmTW0-8xjyiPQ_5_0"/>
      <w:bookmarkStart w:id="1238" w:name="Tc_P9ngYlbnvUqLfxZlLCroxQ_4_11"/>
      <w:bookmarkStart w:id="1239" w:name="Tc_vWlZ96Ten027wFFDhD5ZYw_4_8"/>
      <w:bookmarkStart w:id="1240" w:name="Tc_KNI_UPYES0eeAIJ54J55-w_4_5"/>
      <w:bookmarkStart w:id="1241" w:name="Tc_BL6fexPNVE25SU3eTlzwbQ_4_2"/>
      <w:bookmarkStart w:id="1242" w:name="Tc_Q1G1_Qyuj0q0JYue8LNbbA_3_11"/>
      <w:bookmarkStart w:id="1243" w:name="Tc_o3DuYn9zg0qdQjyn_eZoKg_3_8"/>
      <w:bookmarkStart w:id="1244" w:name="Tc_gtwvXq-kbUidkqRxCViLGg_3_5"/>
      <w:bookmarkStart w:id="1245" w:name="Tc_HQfqrfUjWkS3bavFWJwNVw_3_2"/>
      <w:bookmarkStart w:id="1246" w:name="Tc_p7HYJWjJeEu0piiikdmZEg_2_8"/>
      <w:bookmarkStart w:id="1247" w:name="Tc_63_2wQRxU0yHU6nUHDkjzg_2_2"/>
      <w:bookmarkStart w:id="1248" w:name="Tc_aJzBQLW3bUuOfm9IoErfOA_1_8"/>
      <w:bookmarkStart w:id="1249" w:name="Tc_i6cmqkjYTUe4ZkuYZE7N4Q_1_2"/>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rFonts w:ascii="Times New Roman;Times;serif" w:hAnsi="Times New Roman;Times;serif"/>
          <w:b/>
          <w:i w:val="false"/>
          <w:caps w:val="false"/>
          <w:smallCaps w:val="false"/>
          <w:sz w:val="20"/>
        </w:rPr>
        <w:t>9.</w:t>
      </w:r>
      <w:r>
        <w:rPr>
          <w:rFonts w:ascii="Times New Roman;Times;serif" w:hAnsi="Times New Roman;Times;serif"/>
          <w:b/>
          <w:sz w:val="20"/>
        </w:rPr>
        <w:t>Intangible Asset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as of September 30, 2023 and December 31, 2022 were comprised of the following:</w:t>
      </w:r>
    </w:p>
    <w:p>
      <w:pPr>
        <w:pStyle w:val="TextBody"/>
        <w:bidi w:val="0"/>
        <w:spacing w:before="0" w:after="240"/>
        <w:ind w:left="0" w:right="0" w:hanging="0"/>
        <w:jc w:val="both"/>
        <w:rPr/>
      </w:pPr>
      <w:r>
        <w:rPr/>
        <w:t>​</w:t>
      </w:r>
    </w:p>
    <w:tbl>
      <w:tblPr>
        <w:tblW w:w="9473" w:type="dxa"/>
        <w:jc w:val="left"/>
        <w:tblInd w:w="0" w:type="dxa"/>
        <w:tblLayout w:type="fixed"/>
        <w:tblCellMar>
          <w:top w:w="0" w:type="dxa"/>
          <w:left w:w="0" w:type="dxa"/>
          <w:bottom w:w="0" w:type="dxa"/>
          <w:right w:w="0" w:type="dxa"/>
        </w:tblCellMar>
      </w:tblPr>
      <w:tblGrid>
        <w:gridCol w:w="2686"/>
        <w:gridCol w:w="326"/>
        <w:gridCol w:w="211"/>
        <w:gridCol w:w="1141"/>
        <w:gridCol w:w="326"/>
        <w:gridCol w:w="211"/>
        <w:gridCol w:w="1156"/>
        <w:gridCol w:w="326"/>
        <w:gridCol w:w="211"/>
        <w:gridCol w:w="1141"/>
        <w:gridCol w:w="326"/>
        <w:gridCol w:w="211"/>
        <w:gridCol w:w="120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705610" cy="175260"/>
                      <wp:effectExtent l="0" t="0" r="0" b="0"/>
                      <wp:wrapNone/>
                      <wp:docPr id="130" name="Frame130"/>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24535" cy="175260"/>
                      <wp:effectExtent l="0" t="0" r="0" b="0"/>
                      <wp:wrapNone/>
                      <wp:docPr id="133" name="Frame1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34060" cy="175260"/>
                      <wp:effectExtent l="0" t="0" r="0" b="0"/>
                      <wp:wrapNone/>
                      <wp:docPr id="136" name="Frame13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24535" cy="175260"/>
                      <wp:effectExtent l="0" t="0" r="0" b="0"/>
                      <wp:wrapNone/>
                      <wp:docPr id="139" name="Frame13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62635" cy="175260"/>
                      <wp:effectExtent l="0" t="0" r="0" b="0"/>
                      <wp:wrapNone/>
                      <wp:docPr id="142" name="Frame14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w:t>
            </w:r>
          </w:p>
        </w:tc>
        <w:tc>
          <w:tcPr>
            <w:tcW w:w="3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pPr>
            <w:r>
              <w:rPr/>
              <w:t>​</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13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14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6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182,617,082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(21,950,559)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111,491,280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(12,154,237)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7,771,500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(3,333,467)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6,021,500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(1,862,242)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(2,026,190)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(1,474,405)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Non-compete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(1,479,583)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(765,556)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license and registration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secret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197,651,382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(28,828,713)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124,017,580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(16,290,862)</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was $3,808,047 and $12,537,851 for the three and nine months ended September 30, 2023 and $2,138,846 and $4,277,693 for the three and nine months ended September 30, 2022,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the Company's future projected annual amortization expense as of September 30, 2023: </w:t>
      </w:r>
    </w:p>
    <w:p>
      <w:pPr>
        <w:pStyle w:val="TextBody"/>
        <w:bidi w:val="0"/>
        <w:spacing w:before="0" w:after="0"/>
        <w:ind w:left="0" w:right="0" w:hanging="0"/>
        <w:jc w:val="left"/>
        <w:rPr/>
      </w:pPr>
      <w:r>
        <w:rPr/>
        <w:t>​</w:t>
      </w:r>
    </w:p>
    <w:tbl>
      <w:tblPr>
        <w:tblW w:w="5842" w:type="dxa"/>
        <w:jc w:val="left"/>
        <w:tblInd w:w="0" w:type="dxa"/>
        <w:tblLayout w:type="fixed"/>
        <w:tblCellMar>
          <w:top w:w="0" w:type="dxa"/>
          <w:left w:w="0" w:type="dxa"/>
          <w:bottom w:w="0" w:type="dxa"/>
          <w:right w:w="0" w:type="dxa"/>
        </w:tblCellMar>
      </w:tblPr>
      <w:tblGrid>
        <w:gridCol w:w="4276"/>
        <w:gridCol w:w="109"/>
        <w:gridCol w:w="211"/>
        <w:gridCol w:w="124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715260" cy="175260"/>
                      <wp:effectExtent l="0" t="0" r="0" b="0"/>
                      <wp:wrapNone/>
                      <wp:docPr id="143" name="Frame143"/>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91210" cy="175260"/>
                      <wp:effectExtent l="0" t="0" r="0" b="0"/>
                      <wp:wrapNone/>
                      <wp:docPr id="146" name="Frame14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3,732,712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14,661,621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14,361,459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13,587,682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12,983,048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109,496,147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projected annual 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168,822,669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Derivative Liability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Investor Notes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3, 2021, the Company and its subsidiaries, as guarantors (the “Subsidiary Guarantors”) entered into a Securities Purchase Agreement with 31 accredited investors (the “Note Investors”) pursuant to which the Company agreed to issue and sell to the Note Investors 13% senior secured convertible notes due December 7, 2026 (the “Investor Notes”) in an aggregate principal amount of $95,000,000 for an aggregate purchase price of $93,100,000 (reflecting an original issue discount of $1,900,000, or 2%) in a private placement. On December 7, 2021, the Company consummated the private placement and issued and sold the Investor Notes pursuant to the Indenture entered into between the Company, the Subsidiary Guarantors, Chicago Atlantic Admin, LLC, as collateral agent, and Ankura Trust Company, LLC, as trustee (as may be supplemented and/or amended from time to time, the “Indenture”). The Company received net proceeds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50" w:name="Tc_Y9kwa0rn2U-QutQRtcHT3A_9_2"/>
      <w:bookmarkStart w:id="1251" w:name="Tc_Pc7V54MAv0ecsclfrxTCyw_9_0"/>
      <w:bookmarkStart w:id="1252" w:name="Tc_HDOp5k3HPEe8ccBo3TRBAw_8_0"/>
      <w:bookmarkStart w:id="1253" w:name="Tc_0eREo0_nAUWqNof6nKqotw_7_2"/>
      <w:bookmarkStart w:id="1254" w:name="Tc_uk9bTVNQP0-7E2Ax-lKSQQ_7_0"/>
      <w:bookmarkStart w:id="1255" w:name="Tc_PBSj_2Et7k-ndMdsHcY8kA_6_0"/>
      <w:bookmarkStart w:id="1256" w:name="Tc_AeLE6MronUmmtQWHbied8g_5_2"/>
      <w:bookmarkStart w:id="1257" w:name="Tc_F_E_j2fAtE6PjXiELBo_qw_5_0"/>
      <w:bookmarkStart w:id="1258" w:name="Tc_yT_bbKBeTESGDXNE4lO5Bw_4_0"/>
      <w:bookmarkStart w:id="1259" w:name="Tc_7tZI_EdLc0Ca33RL9pA4VA_3_2"/>
      <w:bookmarkStart w:id="1260" w:name="Tc_faqx1W7ps0e3tlxdsCN1kA_3_0"/>
      <w:bookmarkStart w:id="1261" w:name="Tc_xjtSG_blRUGUwEmWFlWalA_2_0"/>
      <w:bookmarkStart w:id="1262" w:name="Tc_jOHpqFMfUU6i9h3QbWDPrA_1_2"/>
      <w:bookmarkStart w:id="1263" w:name="Tc_a3WAwhUysk23rQNvp6CtPQ_1_0"/>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Pr>
          <w:rFonts w:ascii="Times New Roman;Times;serif" w:hAnsi="Times New Roman;Times;serif"/>
          <w:sz w:val="20"/>
        </w:rPr>
        <w:t>approximately $92,000,000 at the closing, after deducting a commission to the placement agent and estimated offering expenses associated with the private placement payable by the Company. The Investor Notes will mature five years after issuance unless earlier repurchased, redeemed, or converted pursuant to the Indenture.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reconciliation of the beginning and ending balances of the derivative liabilities for the periods ended September 30, 2023 and December 31, 2022 were as follows:</w:t>
      </w:r>
    </w:p>
    <w:p>
      <w:pPr>
        <w:pStyle w:val="TextBody"/>
        <w:bidi w:val="0"/>
        <w:spacing w:before="0" w:after="240"/>
        <w:ind w:left="0" w:right="0" w:hanging="0"/>
        <w:jc w:val="both"/>
        <w:rPr/>
      </w:pPr>
      <w:r>
        <w:rPr/>
        <w:t>​</w:t>
      </w:r>
    </w:p>
    <w:tbl>
      <w:tblPr>
        <w:tblW w:w="4477" w:type="dxa"/>
        <w:jc w:val="left"/>
        <w:tblInd w:w="0" w:type="dxa"/>
        <w:tblLayout w:type="fixed"/>
        <w:tblCellMar>
          <w:top w:w="0" w:type="dxa"/>
          <w:left w:w="0" w:type="dxa"/>
          <w:bottom w:w="0" w:type="dxa"/>
          <w:right w:w="0" w:type="dxa"/>
        </w:tblCellMar>
      </w:tblPr>
      <w:tblGrid>
        <w:gridCol w:w="2956"/>
        <w:gridCol w:w="109"/>
        <w:gridCol w:w="211"/>
        <w:gridCol w:w="120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77060" cy="175260"/>
                      <wp:effectExtent l="0" t="0" r="0" b="0"/>
                      <wp:wrapNone/>
                      <wp:docPr id="147" name="Frame147"/>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62635" cy="175260"/>
                      <wp:effectExtent l="0" t="0" r="0" b="0"/>
                      <wp:wrapNone/>
                      <wp:docPr id="150" name="Frame15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34,923,013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(18,414,760)</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16,508,253</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(8,501,685)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8,006,568</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(1,468,083)</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6,538,485</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(4,516,237)</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September 30,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2,022,248</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derivative instruments in accordance with the GAAP accounting guidance under ASC 815 </w:t>
      </w:r>
      <w:r>
        <w:rPr>
          <w:rFonts w:ascii="Times New Roman;Times;serif" w:hAnsi="Times New Roman;Times;serif"/>
          <w:i/>
          <w:sz w:val="20"/>
        </w:rPr>
        <w:t>Derivatives and Hedging Activities</w:t>
      </w:r>
      <w:r>
        <w:rPr>
          <w:rFonts w:ascii="Times New Roman;Times;serif" w:hAnsi="Times New Roman;Times;serif"/>
          <w:sz w:val="20"/>
        </w:rPr>
        <w:t xml:space="preserve">. In accordance with GAAP, a contract to issue a variable number of equity shares fails to meet the definition of equity and must instead be classified as a derivative liability and measured at fair value with changes in fair value recognized in the consolidated statements of operations at each period-end. The Company utilizes a Monte Carlo simulation to determine the appropriate fair value. The derivative liability will ultimately be converted into the Company’s equity when the Investor Notes are converted or will be extinguished on the repayment of the Investor Notes. The derivative liability will not result in the outlay of any additional cash by the Company. Upon initial recognition, the Company recorded a derivative liability and debt discount of $16,508,253 in relation to the derivative liability portion of the Investor Notes. The Company recorded expenses related to amortization of the debt discount of $2,088,386 and $6,269,584 for the three and nine months ended September 30, 2023 respectively, and $1,915,403 and $5,505,420 for the three and nine months ended September 30, 2022,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Term Loan</w:t>
      </w:r>
      <w:r>
        <w:rPr>
          <w:rFonts w:ascii="Times New Roman;Times;serif" w:hAnsi="Times New Roman;Times;serif"/>
          <w:sz w:val="20"/>
        </w:rPr>
        <w:t> — On February 26, 2021, the Company entered into a Loan Agreement with SHWZ Altmore, LLC (“Altmore”), as lender, and GGG Partners LLC, as collateral agent (the “Loan Agreement”). Upon execution of the Loan Agreement, the Company received $10,000,000 of loan proceeds. In connection with the Company’s acquisition of Southern Colorado Growers, the Company received an additional $5,000,000 of loan proceeds under the Loan Agreement. The term loan incurs 15% interest per annum, payable quarterly on March 1, June 1, September 1, and December 1 of each year. The Company is required to make principal payments beginning on June 1, 2023 in the amount of $750,000, payable quarterly with the remainder of the principal due upon maturity on February 26,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loan, the Company must comply with certain restrictions.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September 30, 2023, the Company was in compliance with the requirements described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Seller Notes </w:t>
      </w:r>
      <w:r>
        <w:rPr>
          <w:rFonts w:ascii="Times New Roman;Times;serif" w:hAnsi="Times New Roman;Times;serif"/>
          <w:sz w:val="20"/>
        </w:rPr>
        <w:t>— As part of the Star Buds Acquisition, the Company entered into a deferred payment arrangement with the sellers in an aggregate amount of $44,250,000. The deferred payment arrangement incurs 12% interest per annum, payable on the first of every month through November 2025. Principal payments are due as follows: $13,901,759 on December 17, 2025, $3,474,519 on February 3, 2026, and $26,873,722 on March 2,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i/>
          <w:sz w:val="20"/>
        </w:rPr>
        <w:t>Investor Notes </w:t>
      </w:r>
      <w:r>
        <w:rPr>
          <w:rFonts w:ascii="Times New Roman;Times;serif" w:hAnsi="Times New Roman;Times;serif"/>
          <w:sz w:val="24"/>
        </w:rPr>
        <w:t xml:space="preserve">– </w:t>
      </w:r>
      <w:r>
        <w:rPr>
          <w:rFonts w:ascii="Times New Roman;Times;serif" w:hAnsi="Times New Roman;Times;serif"/>
          <w:sz w:val="20"/>
        </w:rPr>
        <w:t>On December 3, 2021, the Company and the Subsidiary Guarantors entered into a Securities Purchase Agreement with the Note Investors pursuant to which the Company agreed to issue and sell to the Note Investors Investor Notes in a private placement. On December 7, 2021, the Company consummated the private placement and issued and sold the Investor Notes pursuant to the Indenture. The Company received net proceeds of approximately $92,000,000</w:t>
      </w:r>
      <w:r>
        <w:rPr>
          <w:rFonts w:ascii="Times New Roman;Times;serif" w:hAnsi="Times New Roman;Times;serif"/>
          <w:sz w:val="24"/>
        </w:rPr>
        <w:t xml:space="preserve"> </w:t>
      </w:r>
      <w:r>
        <w:rPr>
          <w:rFonts w:ascii="Times New Roman;Times;serif" w:hAnsi="Times New Roman;Times;serif"/>
          <w:sz w:val="20"/>
        </w:rPr>
        <w:t xml:space="preserve">at the closing, after deducting a commission to the placement agent and estimated offering expenses associated with the private placement payable by the Company. The Investor Notes will mature </w:t>
      </w:r>
      <w:r>
        <w:rPr>
          <w:rFonts w:ascii="Times New Roman;Times;serif" w:hAnsi="Times New Roman;Times;serif"/>
          <w:b w:val="false"/>
          <w:i w:val="false"/>
          <w:caps w:val="false"/>
          <w:smallCaps w:val="false"/>
          <w:sz w:val="20"/>
        </w:rPr>
        <w:t>five years</w:t>
      </w:r>
      <w:r>
        <w:rPr>
          <w:rFonts w:ascii="Times New Roman;Times;serif" w:hAnsi="Times New Roman;Times;serif"/>
          <w:sz w:val="24"/>
        </w:rPr>
        <w:t xml:space="preserve"> </w:t>
      </w:r>
      <w:r>
        <w:rPr>
          <w:rFonts w:ascii="Times New Roman;Times;serif" w:hAnsi="Times New Roman;Times;serif"/>
          <w:sz w:val="20"/>
        </w:rPr>
        <w:t>after issuance unless earlier repurchased, redeemed, or converted. A holder of an Investor Note may convert all or any portion of the Investor Note into shares of Common Stock at any time until the close of business on the business day immediately preceding the maturity date of the Inventor Notes, at a conversion price equal to $2.24</w:t>
      </w:r>
      <w:r>
        <w:rPr>
          <w:rFonts w:ascii="Times New Roman;Times;serif" w:hAnsi="Times New Roman;Times;serif"/>
          <w:sz w:val="24"/>
        </w:rPr>
        <w:t xml:space="preserve"> </w:t>
      </w:r>
      <w:r>
        <w:rPr>
          <w:rFonts w:ascii="Times New Roman;Times;serif" w:hAnsi="Times New Roman;Times;serif"/>
          <w:sz w:val="20"/>
        </w:rPr>
        <w:t>per share (“Conversion Price”). The Conversion Price will be adjusted in the event of any change in the outstanding Common Stock by way of stock subdivision (including a stock split), stock combination, issuance of stock or cash dividends, distributions of other securities or assets and other corporate actions. The number of shares issuable upon conversion of the Investor Notes will be equal to the principal amount of the Investor Note plus accrued interest divided by the conversion price (the “Conversion Rate”).</w:t>
      </w:r>
      <w:r>
        <w:rPr>
          <w:rFonts w:ascii="Times New Roman;Times;serif" w:hAnsi="Times New Roman;Times;serif"/>
          <w:sz w:val="24"/>
        </w:rPr>
        <w:t xml:space="preser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at its option, elect to redeem all, but not less than all, of the Investor Notes for cash, subject to certain conditions, at a repurchase price equal to the principal amount of the Notes plus accrued and unpaid interest thereon on such date as more fully discussed in the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the fourth anniversary of the issuance date, the Note Investors will have the right, at their option, to require the Company to repurchase some or all their Notes for cash in an amount equal to the principal amount of the Investor Notes being repurchased plus accrued and unpaid interest up to the date of repurchase.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or after the second anniversary of the issuance date, the Company may, at its option, convert up to 12.5% of the outstanding Investor Notes each quarter, if (i) the last reported sale price of the Common Stock exceeds 150% of the applicable Conversion Price, (ii) either (a) the Common Stock is listed on a Permitted Exchange (as defined in the Indenture) or (b) the Company’s daily volume weighted average price for the Common Stock exceeds $2,500,000, in each case for at least 20 trading days (whether or not consecutive) during any 30 consecutive trading day period (including the last trading day of such period) ending on, and including, the trading day immediately preceding the date of conversion for the Conversion Price plus accrued and unpaid interest and (iii) there is an effective registration statement covering the resale by the holders of the Investor Notes of all Common Stock to be received in such conversion. The Company will be required to pay a Make-Whole Premium (as defined in the Indenture), payable in cash or Common Stock, to the Investors if the Investor Notes are voluntarily converted before the third anniversary of the Issuance Date and the Company’s daily volume weighted average price for the Common Stock does not exceed 175% of the Conversion Rate during the five consecutive trading days immediately preceding the date of conversion.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have a contingent redemption feature that involves a substantial premium, requiring the same to be bifurcated as a derivative liability.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Indenture includes customary affirmative and negative covenants, including limitations on liens, additional indebtedness, repurchases and redemptions of any equity interest in the Company or any Subsidiary Guarantor (as defined in the Indenture), certain investments, and dividends and other restricted payments, and customary events of default. Starting on December 7, 2022, the Company must maintain a Consolidated Fixed Charge Coverage Ratio (as defined in the Indenture) of no less than 1.30 to 1.00 as of the last day of each quarter, and the Company and the Subsidiary Guarantors are required to have at least $10,000,000 in cash (in aggregate) on the last day of each quarter in deposit accounts for which the collateral agent has a perfected security interest in. The Company and the Subsidiary Guarantors are restricted from making certain payments, including but not limited to (i) payment of dividends, (ii) repurchase, redemption, retire, or otherwise acquire any equity interest, option, or warrant of the Company or any Subsidiary Guarantor, and (iii) payment to any equity holder of the Company or a Subsidiary Guarantor for services provided pursuant to management, consulting,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other service agreement (the “Restricted Payments”) but the Company may declare and pay dividends if payable solely in its own equity, or, in the case of the Subsidiary Guarantors, amounts payable to such subsidiaries with respect to its applicable equity ownership. Provided the Company is not in default under the terms of the Indenture, the Company may make Restricted Payments not otherwise permitted thereunder (a) in an amount not to exceed $500,000 until discharge of the Indenture, or (b) after December 7, 2024, so long as the Company’s Consolidated Leverage Ratio (as defined in the Indenture) is between 1.00 and 2.25 for the applicable reference period at the time of the Restricted Payment after giving pro forma effect thereto.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Indenture contains restrictions and limitations on the Company’s ability to incur additional debt and grant liens on its assets. The Company and its Subsidiary Guarantors are not permitted to incur additional debt or issue Disqualified Equity Interests (as defined in the Indenture) unless the Company’s Consolidated Leverage Ratio is between 1.00 and 2.25 after giving pro forma effect thereto. In addition, the Company is not permitted to grant a senior lien on its assets (excluding acquisition target assets that are identified in the Indenture) to secure indebtedness unless and until (a) at least $80,000,000 of the net proceeds from the Notes (plus the proceeds of certain sale-leaseback transactions) have been used to consummate Permitted Acquisitions prior to the granting of any such lien, and (b) the Consolidated Leverage Ratio for the applicable reference period, calculated on a pro forma basis giving effect to such acquisition and all related transactions, is less than 1.40 to 1.00. As of September 30, 2023, the Company expended all of the proceeds from the Investor Notes on acquisitions. The Indenture provides that the Company and its Subsidiary Guarantors may incur debt under certain circumstances, including but not limited to, (i) debt incurred related to certain acquisitions and dispositions, including capital lease obligations and sale-leaseback transactions not to exceed $5,500,000 (plus up to an additional $2,200,000 in connection with certain transactions identified prior to the Issuance Date) in the aggregate at any time, (ii) certain transactions in the ordinary course of business, and (iii) any other unsecured debt not to exceed $1,000,000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Nuevo Note</w:t>
      </w:r>
      <w:r>
        <w:rPr>
          <w:rFonts w:ascii="Times New Roman;Times;serif" w:hAnsi="Times New Roman;Times;serif"/>
          <w:sz w:val="20"/>
        </w:rPr>
        <w:t xml:space="preserve"> – On February 8, 2022, in connection with the Nuevo Purchase Agreement, Nuevo Purchaser issued the Nuevo Note to RGA, requiring the Company to make payments on an aggregate amount of $17,000,000. The deferred Nuevo Note incurs 5% interest per year, payable on the first of each month. The principal is due February 7,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Everest Note</w:t>
      </w:r>
      <w:r>
        <w:rPr>
          <w:rFonts w:ascii="Times New Roman;Times;serif" w:hAnsi="Times New Roman;Times;serif"/>
          <w:sz w:val="20"/>
        </w:rPr>
        <w:t xml:space="preserve"> – On June 1, 2023, in connection with the Everest Purchase Agreement, Everest Purchaser issued the Everest Note to Everest Seller, requiring the Company to make payments on an aggregate amount of $17,500,000. The Everest Note incurs 5% interest per year, payable quarterly starting June 30, 2023. Two initial principal and interest payments of $1,250,000 are due on August 30, 2023 and November 28, 2023. The Company is required to make installment payments of principal and interest starting June 30, 2025, and the total outstanding principal is due and payable on May 31, 2027.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Akimbo Deferred Purchase Price</w:t>
      </w:r>
      <w:r>
        <w:rPr>
          <w:rFonts w:ascii="Times New Roman;Times;serif" w:hAnsi="Times New Roman;Times;serif"/>
          <w:sz w:val="20"/>
        </w:rPr>
        <w:t>– On June 15, 2023, in connection with the Akimbo Purchase Agreement, the Company entered into an agreement to pay $2.8 million of the Akimbo Cash Consideration over 12 fiscal quarters starting on July 15, 2023. The Akimbo Deferred Purchase Price arrangement incurs 5% of imputed interest payable over four years starting on July 15,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64" w:name="Tc_J7-wIM-tBUyd8SZXGMNXlg_9_11"/>
      <w:bookmarkStart w:id="1265" w:name="Tc_wxVEfAVj6UyHQg-S-6rToQ_9_8"/>
      <w:bookmarkStart w:id="1266" w:name="Tc_E8_schAiyUC-2En2DbTVCA_9_5"/>
      <w:bookmarkStart w:id="1267" w:name="Tc_Hy7LCyQrmkqLZRq96KV1CQ_9_2"/>
      <w:bookmarkStart w:id="1268" w:name="Tc_C_iZYBPSlkqaaA6_KKVDiQ_9_0"/>
      <w:bookmarkStart w:id="1269" w:name="Tc_ZSUuDE2m-ECvaXy-oP2jrg_8_9"/>
      <w:bookmarkStart w:id="1270" w:name="Tc_-I3Dnf9OpkmA0pFzPGjAKw_8_6"/>
      <w:bookmarkStart w:id="1271" w:name="Tc_VCWuXhujcE6AQbCUXwhXEg_8_0"/>
      <w:bookmarkStart w:id="1272" w:name="Tc_eF5ZrqWrnkuY2rYzYmgyGw_7_0"/>
      <w:bookmarkStart w:id="1273" w:name="Tc_o3bCbcicUUuS_IFtc1Y4yA_6_0"/>
      <w:bookmarkStart w:id="1274" w:name="Tc_6qvWL95ahUGmulazOBYnyQ_5_0"/>
      <w:bookmarkStart w:id="1275" w:name="Tc_JIX8UR68TUuhdxA3qPBA3g_4_0"/>
      <w:bookmarkStart w:id="1276" w:name="Tc_6lIxZ_7zLU2SPLVDQ7GRUw_3_11"/>
      <w:bookmarkStart w:id="1277" w:name="Tc__Y7Pscekb0CvlH7qJcGPkA_3_8"/>
      <w:bookmarkStart w:id="1278" w:name="Tc_WJbIMfYXCkqgT0O8Z3dfcw_3_5"/>
      <w:bookmarkStart w:id="1279" w:name="Tc_3MRFHOtIwkCLnsBHjGz1Ug_3_2"/>
      <w:bookmarkStart w:id="1280" w:name="Tc_Wt0MAiePT0-Z6Xju47TSmQ_2_11"/>
      <w:bookmarkStart w:id="1281" w:name="Tc_-VaTpQq9-ESvTe2dSLuBfw_2_8"/>
      <w:bookmarkStart w:id="1282" w:name="Tc_-TOQpZn4SUykE0DD5VbYAQ_2_5"/>
      <w:bookmarkStart w:id="1283" w:name="Tc_JmK0FrHkL0uI-VRzasaSXg_2_2"/>
      <w:bookmarkStart w:id="1284" w:name="Tc_rxFbUcHl0Uae7z5zMoEwOw_1_5"/>
      <w:bookmarkStart w:id="1285" w:name="Tc_BL_jkwpYWUGTWm-78fR30Q_22_5"/>
      <w:bookmarkStart w:id="1286" w:name="Tc_2IPSbr37_0-U6NV7_D5DAQ_22_2"/>
      <w:bookmarkStart w:id="1287" w:name="Tc_xxnyFycVY0aoySwnKNpm-Q_22_0"/>
      <w:bookmarkStart w:id="1288" w:name="Tc_mqCwdJe330GSZWteEFAzVA_20_0"/>
      <w:bookmarkStart w:id="1289" w:name="Tc_vn4o8kwWvEy_urB7IWblNQ_19_0"/>
      <w:bookmarkStart w:id="1290" w:name="Tc_BD7JNlzeQkaUYXyjXpkoxQ_17_0"/>
      <w:bookmarkStart w:id="1291" w:name="Tc_mdHiPgR4W0CRDygM0aPjyw_16_0"/>
      <w:bookmarkStart w:id="1292" w:name="Tc_8Le7jf82SkamTnrzFtxZUQ_14_6"/>
      <w:bookmarkStart w:id="1293" w:name="Tc_RZ3g9iZAjE-rcgg3aoEEcg_14_0"/>
      <w:bookmarkStart w:id="1294" w:name="Tc_r8662Q06GU2Cn0qszGQD5A_12_6"/>
      <w:bookmarkStart w:id="1295" w:name="Tc_Xl2B5GbItEymnwApTSA8zQ_12_0"/>
      <w:bookmarkStart w:id="1296" w:name="Tc_R8R1UdZmZ0a5OXISEfTSIQ_10_0"/>
      <w:bookmarkStart w:id="1297" w:name="Tc_kHeM8o3Nf0SEtqArL_Muew_8_0"/>
      <w:bookmarkStart w:id="1298" w:name="Tc_DO60qYoYnkyHA4jLy6LKLw_6_0"/>
      <w:bookmarkStart w:id="1299" w:name="Tc_uMe5HipjgEii-4jORXyGMw_4_5"/>
      <w:bookmarkStart w:id="1300" w:name="Tc_xhS1Dl5WHEGuZRxtRMioDQ_4_2"/>
      <w:bookmarkStart w:id="1301" w:name="Tc_oxq03Aa1pk-nsVaBsClf3w_4_0"/>
      <w:bookmarkStart w:id="1302" w:name="Tc_1doOv6p6e0y9jDL1mRALPg_2_5"/>
      <w:bookmarkStart w:id="1303" w:name="Tc_tpCHzNJjaESq_AUxq1oz6Q_2_2"/>
      <w:bookmarkStart w:id="1304" w:name="Tc_5jZORJeRqku6mF1LMVuUrQ_1_5"/>
      <w:bookmarkStart w:id="1305" w:name="Tc_N06HCtFdXkK9-0iQ97JYUQ_1_2"/>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r>
        <w:rPr>
          <w:rFonts w:ascii="Times New Roman;Times;serif" w:hAnsi="Times New Roman;Times;serif"/>
          <w:sz w:val="20"/>
        </w:rPr>
        <w:t>The following tables sets forth our indebtedness as of September 30, 2023 and December 31, 2022, respectively, and future obligations: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39"/>
        <w:gridCol w:w="326"/>
        <w:gridCol w:w="211"/>
        <w:gridCol w:w="1145"/>
        <w:gridCol w:w="326"/>
        <w:gridCol w:w="211"/>
        <w:gridCol w:w="1247"/>
      </w:tblGrid>
      <w:tr>
        <w:trPr/>
        <w:tc>
          <w:tcPr>
            <w:tcW w:w="6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79265" cy="175260"/>
                      <wp:effectExtent l="0" t="0" r="0" b="0"/>
                      <wp:wrapNone/>
                      <wp:docPr id="151" name="Frame151"/>
                      <a:graphic xmlns:a="http://schemas.openxmlformats.org/drawingml/2006/main">
                        <a:graphicData uri="http://schemas.microsoft.com/office/word/2010/wordprocessingShape">
                          <wps:wsp>
                            <wps:cNvSpPr txBox="1"/>
                            <wps:spPr>
                              <a:xfrm>
                                <a:off x="0" y="0"/>
                                <a:ext cx="427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27075" cy="175260"/>
                      <wp:effectExtent l="0" t="0" r="0" b="0"/>
                      <wp:wrapNone/>
                      <wp:docPr id="154" name="Frame154"/>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91845" cy="175260"/>
                      <wp:effectExtent l="0" t="0" r="0" b="0"/>
                      <wp:wrapNone/>
                      <wp:docPr id="157" name="Frame157"/>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145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lef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dated February 26, 2021, in the original amount of $10,000,000. An additional $5,000,000 was added to the loan agreement on July 28, 2021. Interest of 15% per annum, due quarterly. Principal payments begin June 1, 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lef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Seller notes dated December 17, 2020, in the original amount of $44,250,000. Interest of 12% per annum, due monthly. Principal payments begin December 17,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lef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note dated December 3, 2021, in the original amount of $95,000,000. Interest of 13% per annum, 9% payable in cash and 4% accreting to the principal amount.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102,121,777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99,118,391</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Nuevo note dated February 7, 2022, in the original amount of $17,000,000. Interest of 5% per annum, due monthly. Principal balance is due February 7,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Everest note dated June 1, 2023, in the original amount of $17,500,000. Interest of 5% per annum, due quarterly. Principal payments begin August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pPr>
            <w:r>
              <w:rPr/>
              <w:t>—</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Akimbo Deferred Purchase Price effective June 15, 2023, in the original amount of $2,807,474. Imputed interest of 5% per annum. Principal payments begin July 15,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2,069,173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right"/>
              <w:rPr/>
            </w:pPr>
            <w:r>
              <w:rPr/>
              <w:t>—</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righ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(5,339,158)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(6,603,695)</w:t>
            </w:r>
          </w:p>
        </w:tc>
      </w:tr>
      <w:tr>
        <w:trPr/>
        <w:tc>
          <w:tcPr>
            <w:tcW w:w="67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(34,723,592)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(40,993,176)</w:t>
            </w:r>
          </w:p>
        </w:tc>
      </w:tr>
      <w:tr>
        <w:trPr/>
        <w:tc>
          <w:tcPr>
            <w:tcW w:w="673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7" w:type="dxa"/>
            <w:tcBorders/>
            <w:shd w:fill="CCEEFF" w:val="clear"/>
            <w:vAlign w:val="center"/>
          </w:tcPr>
          <w:p>
            <w:pPr>
              <w:pStyle w:val="TableContents"/>
              <w:bidi w:val="0"/>
              <w:spacing w:before="0" w:after="1"/>
              <w:ind w:left="0" w:right="0" w:hanging="0"/>
              <w:jc w:val="left"/>
              <w:rPr/>
            </w:pPr>
            <w:r>
              <w:rPr/>
              <w:t>​</w:t>
            </w:r>
          </w:p>
        </w:tc>
      </w:tr>
      <w:tr>
        <w:trPr/>
        <w:tc>
          <w:tcPr>
            <w:tcW w:w="67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 term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155,128,200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127,771,520</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 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(2,250,000)</w:t>
            </w:r>
          </w:p>
        </w:tc>
      </w:tr>
      <w:tr>
        <w:trPr/>
        <w:tc>
          <w:tcPr>
            <w:tcW w:w="6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7" w:type="dxa"/>
            <w:tcBorders/>
            <w:vAlign w:val="center"/>
          </w:tcPr>
          <w:p>
            <w:pPr>
              <w:pStyle w:val="TableContents"/>
              <w:bidi w:val="0"/>
              <w:spacing w:before="0" w:after="1"/>
              <w:ind w:left="0" w:right="0" w:hanging="0"/>
              <w:jc w:val="left"/>
              <w:rPr/>
            </w:pPr>
            <w:r>
              <w:rPr/>
              <w:t>​</w:t>
            </w:r>
          </w:p>
        </w:tc>
      </w:tr>
      <w:tr>
        <w:trPr/>
        <w:tc>
          <w:tcPr>
            <w:tcW w:w="67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debt and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150,878,200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125,521,520</w:t>
            </w:r>
          </w:p>
        </w:tc>
      </w:tr>
    </w:tbl>
    <w:p>
      <w:pPr>
        <w:pStyle w:val="TextBody"/>
        <w:bidi w:val="0"/>
        <w:spacing w:before="0" w:after="240"/>
        <w:ind w:left="0" w:right="0" w:hanging="0"/>
        <w:jc w:val="both"/>
        <w:rPr/>
      </w:pPr>
      <w:r>
        <w:rPr/>
        <w:t>​</w:t>
      </w:r>
    </w:p>
    <w:tbl>
      <w:tblPr>
        <w:tblW w:w="6514" w:type="dxa"/>
        <w:jc w:val="left"/>
        <w:tblInd w:w="0" w:type="dxa"/>
        <w:tblLayout w:type="fixed"/>
        <w:tblCellMar>
          <w:top w:w="0" w:type="dxa"/>
          <w:left w:w="0" w:type="dxa"/>
          <w:bottom w:w="0" w:type="dxa"/>
          <w:right w:w="0" w:type="dxa"/>
        </w:tblCellMar>
      </w:tblPr>
      <w:tblGrid>
        <w:gridCol w:w="481"/>
        <w:gridCol w:w="326"/>
        <w:gridCol w:w="196"/>
        <w:gridCol w:w="1006"/>
        <w:gridCol w:w="326"/>
        <w:gridCol w:w="209"/>
        <w:gridCol w:w="886"/>
        <w:gridCol w:w="326"/>
        <w:gridCol w:w="198"/>
        <w:gridCol w:w="927"/>
        <w:gridCol w:w="326"/>
        <w:gridCol w:w="196"/>
        <w:gridCol w:w="111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05435" cy="175260"/>
                      <wp:effectExtent l="0" t="0" r="0" b="0"/>
                      <wp:wrapNone/>
                      <wp:docPr id="158" name="Frame15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0"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38810" cy="175260"/>
                      <wp:effectExtent l="0" t="0" r="0" b="0"/>
                      <wp:wrapNone/>
                      <wp:docPr id="161" name="Frame16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2715" cy="175260"/>
                      <wp:effectExtent l="0" t="0" r="0" b="0"/>
                      <wp:wrapNone/>
                      <wp:docPr id="163" name="Frame16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62610" cy="175260"/>
                      <wp:effectExtent l="0" t="0" r="0" b="0"/>
                      <wp:wrapNone/>
                      <wp:docPr id="164" name="Frame16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5730" cy="175260"/>
                      <wp:effectExtent l="0" t="0" r="0" b="0"/>
                      <wp:wrapNone/>
                      <wp:docPr id="166" name="Frame16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88645" cy="175260"/>
                      <wp:effectExtent l="0" t="0" r="0" b="0"/>
                      <wp:wrapNone/>
                      <wp:docPr id="167" name="Frame16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05485" cy="175260"/>
                      <wp:effectExtent l="0" t="0" r="0" b="0"/>
                      <wp:wrapNone/>
                      <wp:docPr id="170" name="Frame17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r>
      <w:tr>
        <w:trPr/>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Debt Issuance</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Long</w:t>
            </w:r>
          </w:p>
        </w:tc>
      </w:tr>
      <w:tr>
        <w:trPr/>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Debt Discount</w:t>
            </w:r>
          </w:p>
        </w:tc>
        <w:tc>
          <w:tcPr>
            <w:tcW w:w="326" w:type="dxa"/>
            <w:tcBorders/>
            <w:vAlign w:val="center"/>
          </w:tcPr>
          <w:p>
            <w:pPr>
              <w:pStyle w:val="TableContents"/>
              <w:bidi w:val="0"/>
              <w:spacing w:before="0" w:after="1"/>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 Debt</w:t>
            </w:r>
          </w:p>
        </w:tc>
      </w:tr>
      <w:tr>
        <w:trPr/>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2,000,000</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421,512</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2,253,909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(675,421)</w:t>
            </w:r>
          </w:p>
        </w:tc>
      </w:tr>
      <w:tr>
        <w:trPr/>
        <w:tc>
          <w:tcPr>
            <w:tcW w:w="4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3,547,011</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1,686,049</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9,734,935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(7,873,973)</w:t>
            </w:r>
          </w:p>
        </w:tc>
      </w:tr>
      <w:tr>
        <w:trPr/>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28,226,380</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1,686,049</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11,057,799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15,482,532</w:t>
            </w:r>
          </w:p>
        </w:tc>
      </w:tr>
      <w:tr>
        <w:trPr/>
        <w:tc>
          <w:tcPr>
            <w:tcW w:w="4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148,514,649</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1,545,548</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11,676,949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135,292,152</w:t>
            </w:r>
          </w:p>
        </w:tc>
      </w:tr>
      <w:tr>
        <w:trPr/>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12,902,910</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12,902,910</w:t>
            </w:r>
          </w:p>
        </w:tc>
      </w:tr>
      <w:tr>
        <w:trPr/>
        <w:tc>
          <w:tcPr>
            <w:tcW w:w="4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195,190,950</w:t>
            </w:r>
          </w:p>
        </w:tc>
        <w:tc>
          <w:tcPr>
            <w:tcW w:w="32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5,339,158</w:t>
            </w:r>
          </w:p>
        </w:tc>
        <w:tc>
          <w:tcPr>
            <w:tcW w:w="32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34,723,592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155,128,200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Leases with an initial term of 12 months or less are not recorded on the balance sheet; we recognize lease expense for these leases on a straight-line basis over the lease term. Leases with a term greater than one year are recognized on the balance sheet at the time of lease commencement or modification of a Right of Use (“ROU”) operating lease asset and a lease liability, initially measured at the present value of the lease payments. Lease costs are recognized in the income statement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06" w:name="Tc_cy0qV__87kWIfVCNo3V6sw_7_2"/>
      <w:bookmarkStart w:id="1307" w:name="Tc_9gHp_b1_4U6BoYtmNc7nRw_7_0"/>
      <w:bookmarkStart w:id="1308" w:name="Tc_qXrpoNkbIUKQL0QgqriRtg_6_0"/>
      <w:bookmarkStart w:id="1309" w:name="Tc_VlY7hSQGDk226ioS2o7yJQ_5_0"/>
      <w:bookmarkStart w:id="1310" w:name="Tc_NPruxlPGgUG2yol-kMt2Rw_4_0"/>
      <w:bookmarkStart w:id="1311" w:name="Tc_75s2fqB6sE2AaWNVqfgcTg_3_0"/>
      <w:bookmarkStart w:id="1312" w:name="Tc_o_jMKRkUHk2gnqBzBUbOgQ_2_0"/>
      <w:bookmarkStart w:id="1313" w:name="Tc_wN8Q_zdSAkeDhArl_7q5NQ_1_2"/>
      <w:bookmarkStart w:id="1314" w:name="Tc_Rc4sbiCv_UaiZKa5NwUqCg_1_0"/>
      <w:bookmarkStart w:id="1315" w:name="Tc_CsicMDvfZkq5Av7vj_WgJA_3_2"/>
      <w:bookmarkStart w:id="1316" w:name="Tc_1ONFowMVy0Gu8A_2wo6obg_3_0"/>
      <w:bookmarkStart w:id="1317" w:name="Tc_rDZc_JJM4ki98d2zN5J3Kw_2_0"/>
      <w:bookmarkStart w:id="1318" w:name="Tc_TwHRzhmM1kWuVgwjjXxNCw_1_2"/>
      <w:bookmarkStart w:id="1319" w:name="Tc_Kiv3-I-Z30qg1I6GTljw4w_1_0"/>
      <w:bookmarkStart w:id="1320" w:name="Tc_FYOa2hDEkECUzA9fYPlNEg_6_2"/>
      <w:bookmarkStart w:id="1321" w:name="Tc_Ybb8cQKpO0i4efOwBV4udQ_6_0"/>
      <w:bookmarkStart w:id="1322" w:name="Tc_8jgKwaCs40yiepyy2Q8jeA_5_4"/>
      <w:bookmarkStart w:id="1323" w:name="Tc_mw-XfaBSek2h81dvfdVsEw_5_2"/>
      <w:bookmarkStart w:id="1324" w:name="Tc_3-SOiM6Iq0-yA4etRjn7aQ_5_0"/>
      <w:bookmarkStart w:id="1325" w:name="Tc_jWAfS4-rQESip7njuAiRcA_4_0"/>
      <w:bookmarkStart w:id="1326" w:name="Tc_EKKisoo7AEiRulomK-Nq7Q_3_4"/>
      <w:bookmarkStart w:id="1327" w:name="Tc_sleAPxYUukqaKmrr-tFA8w_3_2"/>
      <w:bookmarkStart w:id="1328" w:name="Tc_Buyf07mJJkWWSMX5SibCeg_3_0"/>
      <w:bookmarkStart w:id="1329" w:name="Tc_tHERvhapTk-1dtZdbHzp9g_2_0"/>
      <w:bookmarkStart w:id="1330" w:name="Tc_PrCQ16pAlEiZNmuYExREZQ_1_4"/>
      <w:bookmarkStart w:id="1331" w:name="Tc_324sOJ1awUmgsHYPaK3ykg_1_2"/>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Pr>
          <w:rFonts w:ascii="Times New Roman;Times;serif" w:hAnsi="Times New Roman;Times;serif"/>
          <w:sz w:val="20"/>
        </w:rPr>
        <w:t>over the lease term on a straight-line basis. ROU assets represent our right to use an underlying asset for the lease term and lease liabilities represent our obligation to make lease payments arising from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leases consist of real estate leases for office, retail, cultivation, and manufacturing facilities. The Company elected to combine the lease and related non-lease components for its 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operating leases include options to extend or terminate the lease, which are not included in the determination of the ROU asset or lease liability unless reasonably certain to be exercised. The Company’s operating leases have remaining lease terms of less than ten years. The Company’s lease agreements do not contain any material residual value guarantees or material restrictive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Company’s leases do not provide an implicit rate, we used an incremental borrowing rate based on the information available at the lease commencement date in determining the present value of lease payments. The discount rate used in the computations ranged between 6% and 12%.</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 of Operating Lease Assets and Liabilities</w:t>
      </w:r>
    </w:p>
    <w:p>
      <w:pPr>
        <w:pStyle w:val="TextBody"/>
        <w:bidi w:val="0"/>
        <w:spacing w:before="0" w:after="240"/>
        <w:ind w:left="0" w:right="0" w:hanging="0"/>
        <w:jc w:val="both"/>
        <w:rPr/>
      </w:pPr>
      <w:r>
        <w:rPr/>
        <w:t>​</w:t>
      </w:r>
    </w:p>
    <w:tbl>
      <w:tblPr>
        <w:tblW w:w="6940" w:type="dxa"/>
        <w:jc w:val="left"/>
        <w:tblInd w:w="0" w:type="dxa"/>
        <w:tblLayout w:type="fixed"/>
        <w:tblCellMar>
          <w:top w:w="0" w:type="dxa"/>
          <w:left w:w="0" w:type="dxa"/>
          <w:bottom w:w="0" w:type="dxa"/>
          <w:right w:w="0" w:type="dxa"/>
        </w:tblCellMar>
      </w:tblPr>
      <w:tblGrid>
        <w:gridCol w:w="2851"/>
        <w:gridCol w:w="326"/>
        <w:gridCol w:w="1846"/>
        <w:gridCol w:w="326"/>
        <w:gridCol w:w="248"/>
        <w:gridCol w:w="1343"/>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10385" cy="175260"/>
                      <wp:effectExtent l="0" t="0" r="0" b="0"/>
                      <wp:wrapNone/>
                      <wp:docPr id="171" name="Frame171"/>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172210" cy="175260"/>
                      <wp:effectExtent l="0" t="0" r="0" b="0"/>
                      <wp:wrapNone/>
                      <wp:docPr id="173" name="Frame17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7480" cy="175260"/>
                      <wp:effectExtent l="0" t="0" r="0" b="0"/>
                      <wp:wrapNone/>
                      <wp:docPr id="175" name="Frame17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52805" cy="175260"/>
                      <wp:effectExtent l="0" t="0" r="0" b="0"/>
                      <wp:wrapNone/>
                      <wp:docPr id="176" name="Frame176"/>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Sheet Line</w:t>
            </w:r>
          </w:p>
        </w:tc>
        <w:tc>
          <w:tcPr>
            <w:tcW w:w="326" w:type="dxa"/>
            <w:tcBorders/>
            <w:vAlign w:val="center"/>
          </w:tcPr>
          <w:p>
            <w:pPr>
              <w:pStyle w:val="TableContents"/>
              <w:bidi w:val="0"/>
              <w:spacing w:before="0" w:after="1"/>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w:t>
            </w:r>
          </w:p>
        </w:tc>
        <w:tc>
          <w:tcPr>
            <w:tcW w:w="32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1343" w:type="dxa"/>
            <w:tcBorders/>
            <w:shd w:fill="CCEEFF" w:val="clear"/>
            <w:vAlign w:val="center"/>
          </w:tcPr>
          <w:p>
            <w:pPr>
              <w:pStyle w:val="TableContents"/>
              <w:bidi w:val="0"/>
              <w:spacing w:before="0" w:after="1"/>
              <w:ind w:left="0" w:right="0" w:hanging="0"/>
              <w:jc w:val="right"/>
              <w:rPr/>
            </w:pPr>
            <w:r>
              <w:rPr/>
              <w:t>  </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1"/>
              <w:ind w:left="0" w:right="0" w:hanging="0"/>
              <w:jc w:val="left"/>
              <w:rPr/>
            </w:pPr>
            <w:r>
              <w:rPr/>
              <w:t> </w:t>
            </w:r>
          </w:p>
        </w:tc>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25,315,122</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1343" w:type="dxa"/>
            <w:tcBorders/>
            <w:shd w:fill="CCEEFF" w:val="clear"/>
            <w:vAlign w:val="center"/>
          </w:tcPr>
          <w:p>
            <w:pPr>
              <w:pStyle w:val="TableContents"/>
              <w:bidi w:val="0"/>
              <w:spacing w:before="0" w:after="1"/>
              <w:ind w:left="0" w:right="0" w:hanging="0"/>
              <w:jc w:val="right"/>
              <w:rPr/>
            </w:pPr>
            <w:r>
              <w:rPr/>
              <w:t>  </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4,721,713</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4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23,525,633</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Maturities of Lease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lease liabilities as of September 30, 2023 are as follows:</w:t>
      </w:r>
    </w:p>
    <w:p>
      <w:pPr>
        <w:pStyle w:val="TextBody"/>
        <w:bidi w:val="0"/>
        <w:spacing w:before="0" w:after="240"/>
        <w:ind w:left="0" w:right="0" w:hanging="0"/>
        <w:jc w:val="both"/>
        <w:rPr/>
      </w:pPr>
      <w:r>
        <w:rPr/>
        <w:t>​</w:t>
      </w:r>
    </w:p>
    <w:tbl>
      <w:tblPr>
        <w:tblW w:w="4364" w:type="dxa"/>
        <w:jc w:val="left"/>
        <w:tblInd w:w="0" w:type="dxa"/>
        <w:tblLayout w:type="fixed"/>
        <w:tblCellMar>
          <w:top w:w="0" w:type="dxa"/>
          <w:left w:w="0" w:type="dxa"/>
          <w:bottom w:w="0" w:type="dxa"/>
          <w:right w:w="0" w:type="dxa"/>
        </w:tblCellMar>
      </w:tblPr>
      <w:tblGrid>
        <w:gridCol w:w="2686"/>
        <w:gridCol w:w="326"/>
        <w:gridCol w:w="211"/>
        <w:gridCol w:w="114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05610" cy="175260"/>
                      <wp:effectExtent l="0" t="0" r="0" b="0"/>
                      <wp:wrapNone/>
                      <wp:docPr id="177" name="Frame177"/>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24535" cy="175260"/>
                      <wp:effectExtent l="0" t="0" r="0" b="0"/>
                      <wp:wrapNone/>
                      <wp:docPr id="180" name="Frame1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42,499,184</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13,943,363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28,555,821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future minimum lease obligation under ASC 842 as of September 30, 2023:</w:t>
      </w:r>
    </w:p>
    <w:p>
      <w:pPr>
        <w:pStyle w:val="TextBody"/>
        <w:bidi w:val="0"/>
        <w:spacing w:before="0" w:after="240"/>
        <w:ind w:left="0" w:right="0" w:hanging="0"/>
        <w:jc w:val="both"/>
        <w:rPr/>
      </w:pPr>
      <w:r>
        <w:rPr/>
        <w:t>​</w:t>
      </w:r>
    </w:p>
    <w:tbl>
      <w:tblPr>
        <w:tblW w:w="2624" w:type="dxa"/>
        <w:jc w:val="left"/>
        <w:tblInd w:w="0" w:type="dxa"/>
        <w:tblLayout w:type="fixed"/>
        <w:tblCellMar>
          <w:top w:w="0" w:type="dxa"/>
          <w:left w:w="0" w:type="dxa"/>
          <w:bottom w:w="0" w:type="dxa"/>
          <w:right w:w="0" w:type="dxa"/>
        </w:tblCellMar>
      </w:tblPr>
      <w:tblGrid>
        <w:gridCol w:w="946"/>
        <w:gridCol w:w="326"/>
        <w:gridCol w:w="211"/>
        <w:gridCol w:w="114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00710" cy="175260"/>
                      <wp:effectExtent l="0" t="0" r="0" b="0"/>
                      <wp:wrapNone/>
                      <wp:docPr id="181" name="Frame18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24535" cy="175260"/>
                      <wp:effectExtent l="0" t="0" r="0" b="0"/>
                      <wp:wrapNone/>
                      <wp:docPr id="184" name="Frame18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2,123,963</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7,399,326</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6,127,958</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5,516,090</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4,325,564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17,006,284</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42,499,184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Stockholders’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two classes of stock, Preferred Stock and 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number of shares of Series A Cumulative Preferred Stock, par value $0.001 per share (“Preferred Stock”) authorized is 10,000,000. The Preferred Stock may be divided into such number or series as the Board may determine. The Board is authorized to determine and alter the rights, preferences, privileges, and restrictions granted and imposed upon any wholly unissued series of preferred stock, and to fix the number and designation of shares of any series of preferred stock. The Board, within limits and restrictions stated in any resolution of the Board, originally fixing the number of shares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constituting any series may increase or decrease, but not below the number of such series then outstanding, the shares of any subsequent series.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86,494 shares of Preferred Stock issued which includes 944 shares of Preferred Stock in escrow as of September 30, 2023 and December 31, 2022. Among other terms, each share of Preferred Stock (i) earns an annual dividend of 8% on the “preference amount,” which initially is equal to the $1,000 per-share purchase price and subject to increase, by having such dividends automatically accrete to, and increase, the outstanding preference 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 Accumulated Preferred Stock dividends were $2,353,883 and $4,383,277 for the three and nine months ended September 30, 2023, and $1,766,575 and $5,294,132 for the three and nine months ended September 30, 2022,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250,000,000 shares of Common Stock, par value $0.001 per share. The Company had 72,607,621 shares of Common Stock issued, 72,591,605 shares of Common Stock outstanding, 920,150 shares of Common Stock in treasury, and 219,848 shares of Common Stock in escrow as of September 30, 2023, and 56,352,545 shares of Common Stock issued, 55,212,547 shares of Common Stock outstanding, 920,150 shares of Common Stock in treasury, and 219,848 shares of Common Stock in escrow as of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previously adopted the Medicine Man Technologies, Inc. 2017 Equity Incentive Plan, as amended (the “Equity Plan”), which permits the Company to grant stock awards, incentive stock option awards (“ISO Awards”), non-statutory stock options, restricted stock, restricted stock units (“RSUs”), and performance stock units (“PSUs”) to certain qualifying employees and individuals. ISO Awards granted under the Equity Plan are generally granted with an exercise price equal to the market price of the Company’s stock at the date of grant, and the ISO Awards generally vest in four equal installments starting on the first anniversary of the grant date, subject to continuous service at the Company. ISO Awards under the Equity Plan generally have 10-year contractual terms and remain outstanding during the contractual life of the award unless forfeited prior to exercise, subject to the terms of the Equity Plan and the applicable award agreement. Effective May 3, 2023, the Company adopted and implemented the Medicine Man Technologies, Inc. 2023 Long-Term Incentive Plan (the “LTIP”), pursuant to which the Company awarded ISO Awards and PSUs to certain employees and management of the Company (the “LTIP Awards”). The LTIP Awards will vest over four years, with the ISO Awards vesting on each anniversary of the grant date and the PSU Awards to vest over four years on each anniversary of the grant date subject to satisfaction or completion of performance criteria set annually by the Board. The first installment of PSUs included in the LTIP Awards have assumed performance criteria has been met for the 2023 fiscal year, and 25% of the PSUs awarded in the LTIP Awards will vest on May 3,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($2,438,073) and $662,162 in expense for stock-based compensation from Common Stock options and Common Stock issued to employees, officers, and directors during the three and nine months ended September 30, 2023,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$99,898 and $1,788,823 in expense for stock-based compensation from Common Stock options and Common Stock issued to employees, officers, and directors during the three and nine months ended September 30, 2022,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32" w:name="Tc_3-oE_IUNFk2MP1hCcuX43g_7_4"/>
      <w:bookmarkStart w:id="1333" w:name="Tc_zG8eHNRNLEK87GBjPFwFAA_7_0"/>
      <w:bookmarkStart w:id="1334" w:name="Tc_9OHbbYdgqUefmorPbnFBDg_6_5"/>
      <w:bookmarkStart w:id="1335" w:name="Tc_nyjfpU-z9k2Acq7u7US3xg_6_2"/>
      <w:bookmarkStart w:id="1336" w:name="Tc_tibPjOx86UK39ZVezRX9DQ_6_0"/>
      <w:bookmarkStart w:id="1337" w:name="Tc_5iCF_GWfDkuKFJ6V_H0LVg_5_0"/>
      <w:bookmarkStart w:id="1338" w:name="Tc_PtCxoTN380uelrwl6aC9MA_4_5"/>
      <w:bookmarkStart w:id="1339" w:name="Tc__bFxXQCJIEagdvgD4pOIqQ_4_2"/>
      <w:bookmarkStart w:id="1340" w:name="Tc_Uir-_GhkyE2IPnUrgSgTzA_4_0"/>
      <w:bookmarkStart w:id="1341" w:name="Tc_NOhAF1IYQE6N4Tm261BGAQ_3_0"/>
      <w:bookmarkStart w:id="1342" w:name="Tc_zre9sGUgrUutxIZPF_kzSw_2_5"/>
      <w:bookmarkStart w:id="1343" w:name="Tc_48o6unYCU0eq79cH5DruMg_2_4"/>
      <w:bookmarkStart w:id="1344" w:name="Tc_8SML9C_cR02GhOMpswEdng_2_2"/>
      <w:bookmarkStart w:id="1345" w:name="Tc_iFBBN5ciOE2FPhEPg41YFQ_2_0"/>
      <w:bookmarkStart w:id="1346" w:name="Tc_YnwrR7MorUegLuKhH0U-Mg_1_4"/>
      <w:bookmarkStart w:id="1347" w:name="Tc_YZe5AghsxUi_Dm4w6P2qMA_1_2"/>
      <w:bookmarkStart w:id="1348" w:name="Tc_QspeU-QZlkugrdVlX4F6Ow_1_0"/>
      <w:bookmarkStart w:id="1349" w:name="Tc_9MxHovVC0UOQw8qnEy55jQ_7_4"/>
      <w:bookmarkStart w:id="1350" w:name="Tc_Myori__SAEa4qAyRLf63jg_7_0"/>
      <w:bookmarkStart w:id="1351" w:name="Tc_Q0hNdBVqeUaGCuSACPLRmw_6_0"/>
      <w:bookmarkStart w:id="1352" w:name="Tc_LEeCataW70iOXfY9YQTD7Q_5_5"/>
      <w:bookmarkStart w:id="1353" w:name="Tc_nNKWKcrSJEej89p8qT0DaA_5_2"/>
      <w:bookmarkStart w:id="1354" w:name="Tc_t4ihTjDos0iMfI_ptyZWxQ_5_0"/>
      <w:bookmarkStart w:id="1355" w:name="Tc_hoI1wCBiVUOENG0H32xojw_4_5"/>
      <w:bookmarkStart w:id="1356" w:name="Tc_ZgSVghiqBk-PmiyuFdwSew_4_2"/>
      <w:bookmarkStart w:id="1357" w:name="Tc_xbQwXnOYSEKdJXiQ4Gnq9Q_4_0"/>
      <w:bookmarkStart w:id="1358" w:name="Tc_cjEvEY8WLU-LC3cIQyMslw_3_0"/>
      <w:bookmarkStart w:id="1359" w:name="Tc_H6JwCgbO80iVRYtQWjLF_g_2_5"/>
      <w:bookmarkStart w:id="1360" w:name="Tc_94qiEKdX_kaqAEhcmYaUsg_2_4"/>
      <w:bookmarkStart w:id="1361" w:name="Tc_JhNIBjxguE-Y8sYvgr-mSQ_2_2"/>
      <w:bookmarkStart w:id="1362" w:name="Tc_gM0VqZxNekyXfxB53y59sg_2_0"/>
      <w:bookmarkStart w:id="1363" w:name="Tc_2kzqxSo3-UGWofMijqJzIQ_1_4"/>
      <w:bookmarkStart w:id="1364" w:name="Tc_rrjLSh3jBke6mD_aSMaApw_1_2"/>
      <w:bookmarkStart w:id="1365" w:name="Tc_qJVcJ6adfEyX8pB4G4OiQA_1_0"/>
      <w:bookmarkStart w:id="1366" w:name="Tc_kabOPWll3UuszgrDj-NnBg_5_5"/>
      <w:bookmarkStart w:id="1367" w:name="Tc_AJVS7YGUXUKvfP9oPTkLVw_5_2"/>
      <w:bookmarkStart w:id="1368" w:name="Tc_VetywwaOTU67M534y5m1lg_5_0"/>
      <w:bookmarkStart w:id="1369" w:name="Tc_lbN9w7ayIkSGHmG9LZzL_Q_4_0"/>
      <w:bookmarkStart w:id="1370" w:name="Tc_0-cVWJS2nUSMgT93VzjZzA_3_0"/>
      <w:bookmarkStart w:id="1371" w:name="Tc_S6_oKGu_8kyu_vadwHYOYg_2_0"/>
      <w:bookmarkStart w:id="1372" w:name="Tc_QpMyv_ve0kOnnZFdpRmSJQ_1_5"/>
      <w:bookmarkStart w:id="1373" w:name="Tc_ixP_Q2h5skCUYKUhc0wSyQ_1_2"/>
      <w:bookmarkStart w:id="1374" w:name="Tc_vsCeQIAtVkWDKJp7I7jqQQ_8_11"/>
      <w:bookmarkStart w:id="1375" w:name="Tc_VwETT7MbIk2itjhlpQIUhw_8_4"/>
      <w:bookmarkStart w:id="1376" w:name="Tc_hTt4n_gnYkuWJ7G__3_KJA_8_0"/>
      <w:bookmarkStart w:id="1377" w:name="Tc_goGArg_MZEKHIlMJzHTbSw_7_11"/>
      <w:bookmarkStart w:id="1378" w:name="Tc_Q3RC3twEPUa9mv0kHX80GA_7_8"/>
      <w:bookmarkStart w:id="1379" w:name="Tc_FaQilVv_RUyFj7IrkbmhCg_7_5"/>
      <w:bookmarkStart w:id="1380" w:name="Tc_daQPrYVAckmgq2LyP12FHw_7_2"/>
      <w:bookmarkStart w:id="1381" w:name="Tc_r5Z_ooe8zUOtkvaa7td2fA_7_0"/>
      <w:bookmarkStart w:id="1382" w:name="Tc_DItT6Duh4Ee39miPuWCN-Q_6_11"/>
      <w:bookmarkStart w:id="1383" w:name="Tc_ZYvVQ1kzskOPOXMKiSWgxQ_6_10"/>
      <w:bookmarkStart w:id="1384" w:name="Tc_uFy2MDX-KUGKN3ACHBXplA_6_4"/>
      <w:bookmarkStart w:id="1385" w:name="Tc_svtZT7Y6NUSgQEPdXEq0MQ_6_0"/>
      <w:bookmarkStart w:id="1386" w:name="Tc_yZu6zZ0Uv0WIwDnWrVA_PQ_5_11"/>
      <w:bookmarkStart w:id="1387" w:name="Tc_Iy7-v4A2KEmnNHLp6XSGCw_5_8"/>
      <w:bookmarkStart w:id="1388" w:name="Tc_RyKQNd_fVkyBH0hc1A8q2A_5_0"/>
      <w:bookmarkStart w:id="1389" w:name="Tc_ZnHPmma9dEKYJ2L-jYnutw_4_11"/>
      <w:bookmarkStart w:id="1390" w:name="Tc_W-4K7oEr1kWHWbWcwucH3Q_4_8"/>
      <w:bookmarkStart w:id="1391" w:name="Tc_p6YKMBeJ90if7kyd59bW-g_4_0"/>
      <w:bookmarkStart w:id="1392" w:name="Tc_rarZppK5mEe-99bjcfTInQ_3_11"/>
      <w:bookmarkStart w:id="1393" w:name="Tc_GeQg7zV9DEKfBynGo060QQ_3_0"/>
      <w:bookmarkStart w:id="1394" w:name="Tc_H0JtWYJ9Ck-DCGqnDeajQg_2_10"/>
      <w:bookmarkStart w:id="1395" w:name="Tc_QFY4DVmX-0aU0UnRyzSvcA_2_4"/>
      <w:bookmarkStart w:id="1396" w:name="Tc_PwC1T1SuQ0ilCmjPav71Fw_2_0"/>
      <w:bookmarkStart w:id="1397" w:name="Tc_0R0bLYkenESsoh1AEcsIqA_1_10"/>
      <w:bookmarkStart w:id="1398" w:name="Tc_Ad_fSxhgjEOC9xqPS6e51Q_1_7"/>
      <w:bookmarkStart w:id="1399" w:name="Tc_Lj_LtwUO-EORDDE3CStROQ_1_4"/>
      <w:bookmarkStart w:id="1400" w:name="Tc_mCdX3LoKPUq7YDER7vmjMA_1_2"/>
      <w:bookmarkStart w:id="1401" w:name="Tc_9-6LvLV1bEeJLm1DpTX3tA_1_0"/>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r>
        <w:rPr>
          <w:rFonts w:ascii="Times New Roman;Times;serif" w:hAnsi="Times New Roman;Times;serif"/>
          <w:sz w:val="20"/>
        </w:rPr>
        <w:t xml:space="preserve">The following table summarizes the ISO Awards activity granted under the Equity Plan as of September 30, 2023 and December 31, 2022, and the changes during the nine months ended September 30, 2023: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49"/>
        <w:gridCol w:w="109"/>
        <w:gridCol w:w="934"/>
        <w:gridCol w:w="109"/>
        <w:gridCol w:w="703"/>
        <w:gridCol w:w="1512"/>
        <w:gridCol w:w="109"/>
        <w:gridCol w:w="612"/>
        <w:gridCol w:w="2374"/>
        <w:gridCol w:w="109"/>
        <w:gridCol w:w="353"/>
        <w:gridCol w:w="1332"/>
      </w:tblGrid>
      <w:tr>
        <w:trPr/>
        <w:tc>
          <w:tcPr>
            <w:tcW w:w="1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37615" cy="175895"/>
                      <wp:effectExtent l="0" t="0" r="0" b="0"/>
                      <wp:wrapNone/>
                      <wp:docPr id="185" name="Frame185"/>
                      <a:graphic xmlns:a="http://schemas.openxmlformats.org/drawingml/2006/main">
                        <a:graphicData uri="http://schemas.microsoft.com/office/word/2010/wordprocessingShape">
                          <wps:wsp>
                            <wps:cNvSpPr txBox="1"/>
                            <wps:spPr>
                              <a:xfrm>
                                <a:off x="0" y="0"/>
                                <a:ext cx="12376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895"/>
                      <wp:effectExtent l="0" t="0" r="0" b="0"/>
                      <wp:wrapNone/>
                      <wp:docPr id="186" name="Frame18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3090" cy="175895"/>
                      <wp:effectExtent l="0" t="0" r="0" b="0"/>
                      <wp:wrapNone/>
                      <wp:docPr id="187" name="Frame187"/>
                      <a:graphic xmlns:a="http://schemas.openxmlformats.org/drawingml/2006/main">
                        <a:graphicData uri="http://schemas.microsoft.com/office/word/2010/wordprocessingShape">
                          <wps:wsp>
                            <wps:cNvSpPr txBox="1"/>
                            <wps:spPr>
                              <a:xfrm>
                                <a:off x="0" y="0"/>
                                <a:ext cx="5930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895"/>
                      <wp:effectExtent l="0" t="0" r="0" b="0"/>
                      <wp:wrapNone/>
                      <wp:docPr id="188" name="Frame18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46405" cy="175895"/>
                      <wp:effectExtent l="0" t="0" r="0" b="0"/>
                      <wp:wrapNone/>
                      <wp:docPr id="189" name="Frame189"/>
                      <a:graphic xmlns:a="http://schemas.openxmlformats.org/drawingml/2006/main">
                        <a:graphicData uri="http://schemas.microsoft.com/office/word/2010/wordprocessingShape">
                          <wps:wsp>
                            <wps:cNvSpPr txBox="1"/>
                            <wps:spPr>
                              <a:xfrm>
                                <a:off x="0" y="0"/>
                                <a:ext cx="4464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60120" cy="175895"/>
                      <wp:effectExtent l="0" t="0" r="0" b="0"/>
                      <wp:wrapNone/>
                      <wp:docPr id="190" name="Frame190"/>
                      <a:graphic xmlns:a="http://schemas.openxmlformats.org/drawingml/2006/main">
                        <a:graphicData uri="http://schemas.microsoft.com/office/word/2010/wordprocessingShape">
                          <wps:wsp>
                            <wps:cNvSpPr txBox="1"/>
                            <wps:spPr>
                              <a:xfrm>
                                <a:off x="0" y="0"/>
                                <a:ext cx="9601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895"/>
                      <wp:effectExtent l="0" t="0" r="0" b="0"/>
                      <wp:wrapNone/>
                      <wp:docPr id="191" name="Frame19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88620" cy="175895"/>
                      <wp:effectExtent l="0" t="0" r="0" b="0"/>
                      <wp:wrapNone/>
                      <wp:docPr id="192" name="Frame192"/>
                      <a:graphic xmlns:a="http://schemas.openxmlformats.org/drawingml/2006/main">
                        <a:graphicData uri="http://schemas.microsoft.com/office/word/2010/wordprocessingShape">
                          <wps:wsp>
                            <wps:cNvSpPr txBox="1"/>
                            <wps:spPr>
                              <a:xfrm>
                                <a:off x="0" y="0"/>
                                <a:ext cx="388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07490" cy="175895"/>
                      <wp:effectExtent l="0" t="0" r="0" b="0"/>
                      <wp:wrapNone/>
                      <wp:docPr id="193" name="Frame193"/>
                      <a:graphic xmlns:a="http://schemas.openxmlformats.org/drawingml/2006/main">
                        <a:graphicData uri="http://schemas.microsoft.com/office/word/2010/wordprocessingShape">
                          <wps:wsp>
                            <wps:cNvSpPr txBox="1"/>
                            <wps:spPr>
                              <a:xfrm>
                                <a:off x="0" y="0"/>
                                <a:ext cx="15074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895"/>
                      <wp:effectExtent l="0" t="0" r="0" b="0"/>
                      <wp:wrapNone/>
                      <wp:docPr id="194" name="Frame19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4155" cy="175895"/>
                      <wp:effectExtent l="0" t="0" r="0" b="0"/>
                      <wp:wrapNone/>
                      <wp:docPr id="195" name="Frame195"/>
                      <a:graphic xmlns:a="http://schemas.openxmlformats.org/drawingml/2006/main">
                        <a:graphicData uri="http://schemas.microsoft.com/office/word/2010/wordprocessingShape">
                          <wps:wsp>
                            <wps:cNvSpPr txBox="1"/>
                            <wps:spPr>
                              <a:xfrm>
                                <a:off x="0" y="0"/>
                                <a:ext cx="2241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45820" cy="175895"/>
                      <wp:effectExtent l="0" t="0" r="0" b="0"/>
                      <wp:wrapNone/>
                      <wp:docPr id="196" name="Frame196"/>
                      <a:graphic xmlns:a="http://schemas.openxmlformats.org/drawingml/2006/main">
                        <a:graphicData uri="http://schemas.microsoft.com/office/word/2010/wordprocessingShape">
                          <wps:wsp>
                            <wps:cNvSpPr txBox="1"/>
                            <wps:spPr>
                              <a:xfrm>
                                <a:off x="0" y="0"/>
                                <a:ext cx="8458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949"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109" w:type="dxa"/>
            <w:tcBorders/>
            <w:vAlign w:val="center"/>
          </w:tcPr>
          <w:p>
            <w:pPr>
              <w:pStyle w:val="TableContents"/>
              <w:bidi w:val="0"/>
              <w:spacing w:before="1" w:after="1"/>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vAlign w:val="center"/>
          </w:tcPr>
          <w:p>
            <w:pPr>
              <w:pStyle w:val="TableContents"/>
              <w:bidi w:val="0"/>
              <w:spacing w:before="1" w:after="1"/>
              <w:ind w:left="0" w:right="0" w:hanging="0"/>
              <w:jc w:val="center"/>
              <w:rPr/>
            </w:pPr>
            <w:r>
              <w:rPr/>
              <w:t>​</w:t>
            </w:r>
          </w:p>
        </w:tc>
        <w:tc>
          <w:tcPr>
            <w:tcW w:w="22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Exercise Price</w:t>
            </w:r>
          </w:p>
        </w:tc>
        <w:tc>
          <w:tcPr>
            <w:tcW w:w="109" w:type="dxa"/>
            <w:tcBorders/>
            <w:vAlign w:val="center"/>
          </w:tcPr>
          <w:p>
            <w:pPr>
              <w:pStyle w:val="TableContents"/>
              <w:bidi w:val="0"/>
              <w:spacing w:before="1" w:after="1"/>
              <w:ind w:left="0" w:right="0" w:hanging="0"/>
              <w:jc w:val="left"/>
              <w:rPr/>
            </w:pPr>
            <w:r>
              <w:rPr/>
              <w:t>​</w:t>
            </w:r>
          </w:p>
        </w:tc>
        <w:tc>
          <w:tcPr>
            <w:tcW w:w="298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Remaining Contractual Term</w:t>
            </w:r>
          </w:p>
        </w:tc>
        <w:tc>
          <w:tcPr>
            <w:tcW w:w="109" w:type="dxa"/>
            <w:tcBorders/>
            <w:vAlign w:val="center"/>
          </w:tcPr>
          <w:p>
            <w:pPr>
              <w:pStyle w:val="TableContents"/>
              <w:bidi w:val="0"/>
              <w:spacing w:before="1" w:after="1"/>
              <w:ind w:left="0" w:right="0" w:hanging="0"/>
              <w:jc w:val="center"/>
              <w:rPr/>
            </w:pPr>
            <w:r>
              <w:rPr/>
              <w:t>​</w:t>
            </w:r>
          </w:p>
        </w:tc>
        <w:tc>
          <w:tcPr>
            <w:tcW w:w="168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Aggregate Intrinsic Value</w:t>
            </w:r>
          </w:p>
        </w:tc>
      </w:tr>
      <w:tr>
        <w:trPr/>
        <w:tc>
          <w:tcPr>
            <w:tcW w:w="1949"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Outstanding at January 1, 2023</w:t>
            </w:r>
          </w:p>
        </w:tc>
        <w:tc>
          <w:tcPr>
            <w:tcW w:w="109" w:type="dxa"/>
            <w:tcBorders/>
            <w:shd w:fill="CCEEFF" w:val="clear"/>
            <w:vAlign w:val="center"/>
          </w:tcPr>
          <w:p>
            <w:pPr>
              <w:pStyle w:val="TableContents"/>
              <w:bidi w:val="0"/>
              <w:spacing w:before="1" w:after="1"/>
              <w:ind w:left="0" w:right="0" w:hanging="0"/>
              <w:jc w:val="left"/>
              <w:rPr/>
            </w:pPr>
            <w:r>
              <w:rPr/>
              <w:t>​</w:t>
            </w:r>
          </w:p>
        </w:tc>
        <w:tc>
          <w:tcPr>
            <w:tcW w:w="934"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10,356,500</w:t>
            </w:r>
          </w:p>
        </w:tc>
        <w:tc>
          <w:tcPr>
            <w:tcW w:w="109" w:type="dxa"/>
            <w:tcBorders/>
            <w:shd w:fill="CCEEFF" w:val="clear"/>
            <w:vAlign w:val="center"/>
          </w:tcPr>
          <w:p>
            <w:pPr>
              <w:pStyle w:val="TableContents"/>
              <w:bidi w:val="0"/>
              <w:spacing w:before="1" w:after="1"/>
              <w:ind w:left="0" w:right="0" w:hanging="0"/>
              <w:jc w:val="left"/>
              <w:rPr/>
            </w:pPr>
            <w:r>
              <w:rPr/>
              <w:t>​</w:t>
            </w:r>
          </w:p>
        </w:tc>
        <w:tc>
          <w:tcPr>
            <w:tcW w:w="703"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2"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2.13</w:t>
            </w:r>
          </w:p>
        </w:tc>
        <w:tc>
          <w:tcPr>
            <w:tcW w:w="109" w:type="dxa"/>
            <w:tcBorders/>
            <w:shd w:fill="CCEEFF" w:val="clear"/>
            <w:vAlign w:val="center"/>
          </w:tcPr>
          <w:p>
            <w:pPr>
              <w:pStyle w:val="TableContents"/>
              <w:bidi w:val="0"/>
              <w:spacing w:before="1" w:after="1"/>
              <w:ind w:left="0" w:right="0" w:hanging="0"/>
              <w:jc w:val="left"/>
              <w:rPr/>
            </w:pPr>
            <w:r>
              <w:rPr/>
              <w:t>​</w:t>
            </w:r>
          </w:p>
        </w:tc>
        <w:tc>
          <w:tcPr>
            <w:tcW w:w="612" w:type="dxa"/>
            <w:tcBorders/>
            <w:shd w:fill="CCEEFF" w:val="clear"/>
            <w:vAlign w:val="center"/>
          </w:tcPr>
          <w:p>
            <w:pPr>
              <w:pStyle w:val="TableContents"/>
              <w:bidi w:val="0"/>
              <w:spacing w:before="1" w:after="1"/>
              <w:ind w:left="0" w:right="0" w:hanging="0"/>
              <w:jc w:val="left"/>
              <w:rPr/>
            </w:pPr>
            <w:r>
              <w:rPr/>
              <w:t>​</w:t>
            </w:r>
          </w:p>
        </w:tc>
        <w:tc>
          <w:tcPr>
            <w:tcW w:w="2374"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109" w:type="dxa"/>
            <w:tcBorders/>
            <w:shd w:fill="CCEEFF" w:val="clear"/>
            <w:vAlign w:val="center"/>
          </w:tcPr>
          <w:p>
            <w:pPr>
              <w:pStyle w:val="TableContents"/>
              <w:bidi w:val="0"/>
              <w:spacing w:before="1" w:after="1"/>
              <w:ind w:left="0" w:right="0" w:hanging="0"/>
              <w:jc w:val="left"/>
              <w:rPr/>
            </w:pPr>
            <w:r>
              <w:rPr/>
              <w:t>​</w:t>
            </w:r>
          </w:p>
        </w:tc>
        <w:tc>
          <w:tcPr>
            <w:tcW w:w="353"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772,996</w:t>
            </w:r>
          </w:p>
        </w:tc>
      </w:tr>
      <w:tr>
        <w:trPr/>
        <w:tc>
          <w:tcPr>
            <w:tcW w:w="1949"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1" w:after="1"/>
              <w:ind w:left="0" w:right="0" w:hanging="0"/>
              <w:jc w:val="left"/>
              <w:rPr/>
            </w:pPr>
            <w:r>
              <w:rPr/>
              <w:t>​</w:t>
            </w:r>
          </w:p>
        </w:tc>
        <w:tc>
          <w:tcPr>
            <w:tcW w:w="934"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4,275,000</w:t>
            </w:r>
          </w:p>
        </w:tc>
        <w:tc>
          <w:tcPr>
            <w:tcW w:w="109" w:type="dxa"/>
            <w:tcBorders/>
            <w:vAlign w:val="center"/>
          </w:tcPr>
          <w:p>
            <w:pPr>
              <w:pStyle w:val="TableContents"/>
              <w:bidi w:val="0"/>
              <w:spacing w:before="1" w:after="1"/>
              <w:ind w:left="0" w:right="0" w:hanging="0"/>
              <w:jc w:val="left"/>
              <w:rPr/>
            </w:pPr>
            <w:r>
              <w:rPr/>
              <w:t>​</w:t>
            </w:r>
          </w:p>
        </w:tc>
        <w:tc>
          <w:tcPr>
            <w:tcW w:w="703" w:type="dxa"/>
            <w:tcBorders/>
            <w:vAlign w:val="center"/>
          </w:tcPr>
          <w:p>
            <w:pPr>
              <w:pStyle w:val="TableContents"/>
              <w:bidi w:val="0"/>
              <w:spacing w:before="1" w:after="1"/>
              <w:ind w:left="0" w:right="0" w:hanging="0"/>
              <w:jc w:val="left"/>
              <w:rPr/>
            </w:pPr>
            <w:r>
              <w:rPr/>
              <w:t>​</w:t>
            </w:r>
          </w:p>
        </w:tc>
        <w:tc>
          <w:tcPr>
            <w:tcW w:w="1512"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1.19</w:t>
            </w:r>
          </w:p>
        </w:tc>
        <w:tc>
          <w:tcPr>
            <w:tcW w:w="109" w:type="dxa"/>
            <w:tcBorders/>
            <w:vAlign w:val="center"/>
          </w:tcPr>
          <w:p>
            <w:pPr>
              <w:pStyle w:val="TableContents"/>
              <w:bidi w:val="0"/>
              <w:spacing w:before="1" w:after="1"/>
              <w:ind w:left="0" w:right="0" w:hanging="0"/>
              <w:jc w:val="left"/>
              <w:rPr/>
            </w:pPr>
            <w:r>
              <w:rPr/>
              <w:t>​</w:t>
            </w:r>
          </w:p>
        </w:tc>
        <w:tc>
          <w:tcPr>
            <w:tcW w:w="612" w:type="dxa"/>
            <w:tcBorders/>
            <w:vAlign w:val="center"/>
          </w:tcPr>
          <w:p>
            <w:pPr>
              <w:pStyle w:val="TableContents"/>
              <w:bidi w:val="0"/>
              <w:spacing w:before="1" w:after="1"/>
              <w:ind w:left="0" w:right="0" w:hanging="0"/>
              <w:jc w:val="left"/>
              <w:rPr/>
            </w:pPr>
            <w:r>
              <w:rPr/>
              <w:t>​</w:t>
            </w:r>
          </w:p>
        </w:tc>
        <w:tc>
          <w:tcPr>
            <w:tcW w:w="2374"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9.42</w:t>
            </w:r>
          </w:p>
        </w:tc>
        <w:tc>
          <w:tcPr>
            <w:tcW w:w="109" w:type="dxa"/>
            <w:tcBorders/>
            <w:vAlign w:val="center"/>
          </w:tcPr>
          <w:p>
            <w:pPr>
              <w:pStyle w:val="TableContents"/>
              <w:bidi w:val="0"/>
              <w:spacing w:before="1" w:after="1"/>
              <w:ind w:left="0" w:right="0" w:hanging="0"/>
              <w:jc w:val="left"/>
              <w:rPr/>
            </w:pPr>
            <w:r>
              <w:rPr/>
              <w:t>​</w:t>
            </w:r>
          </w:p>
        </w:tc>
        <w:tc>
          <w:tcPr>
            <w:tcW w:w="353" w:type="dxa"/>
            <w:tcBorders/>
            <w:vAlign w:val="center"/>
          </w:tcPr>
          <w:p>
            <w:pPr>
              <w:pStyle w:val="TableContents"/>
              <w:bidi w:val="0"/>
              <w:spacing w:before="1" w:after="1"/>
              <w:ind w:left="0" w:right="0" w:hanging="0"/>
              <w:jc w:val="left"/>
              <w:rPr/>
            </w:pPr>
            <w:r>
              <w:rPr/>
              <w:t>​</w:t>
            </w:r>
          </w:p>
        </w:tc>
        <w:tc>
          <w:tcPr>
            <w:tcW w:w="1332" w:type="dxa"/>
            <w:tcBorders/>
            <w:vAlign w:val="center"/>
          </w:tcPr>
          <w:p>
            <w:pPr>
              <w:pStyle w:val="TableContents"/>
              <w:bidi w:val="0"/>
              <w:spacing w:before="1" w:after="1"/>
              <w:ind w:left="0" w:right="0" w:hanging="0"/>
              <w:jc w:val="right"/>
              <w:rPr/>
            </w:pPr>
            <w:r>
              <w:rPr/>
              <w:t>—</w:t>
            </w:r>
          </w:p>
        </w:tc>
      </w:tr>
      <w:tr>
        <w:trPr/>
        <w:tc>
          <w:tcPr>
            <w:tcW w:w="1949"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109" w:type="dxa"/>
            <w:tcBorders/>
            <w:shd w:fill="CCEEFF" w:val="clear"/>
            <w:vAlign w:val="center"/>
          </w:tcPr>
          <w:p>
            <w:pPr>
              <w:pStyle w:val="TableContents"/>
              <w:bidi w:val="0"/>
              <w:spacing w:before="1" w:after="1"/>
              <w:ind w:left="0" w:right="0" w:hanging="0"/>
              <w:jc w:val="left"/>
              <w:rPr/>
            </w:pPr>
            <w:r>
              <w:rPr/>
              <w:t>​</w:t>
            </w:r>
          </w:p>
        </w:tc>
        <w:tc>
          <w:tcPr>
            <w:tcW w:w="934"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(630,250)</w:t>
            </w:r>
          </w:p>
        </w:tc>
        <w:tc>
          <w:tcPr>
            <w:tcW w:w="109" w:type="dxa"/>
            <w:tcBorders/>
            <w:shd w:fill="CCEEFF" w:val="clear"/>
            <w:vAlign w:val="center"/>
          </w:tcPr>
          <w:p>
            <w:pPr>
              <w:pStyle w:val="TableContents"/>
              <w:bidi w:val="0"/>
              <w:spacing w:before="1" w:after="1"/>
              <w:ind w:left="0" w:right="0" w:hanging="0"/>
              <w:jc w:val="left"/>
              <w:rPr/>
            </w:pPr>
            <w:r>
              <w:rPr/>
              <w:t>​</w:t>
            </w:r>
          </w:p>
        </w:tc>
        <w:tc>
          <w:tcPr>
            <w:tcW w:w="703" w:type="dxa"/>
            <w:tcBorders/>
            <w:shd w:fill="CCEEFF" w:val="clear"/>
            <w:vAlign w:val="center"/>
          </w:tcPr>
          <w:p>
            <w:pPr>
              <w:pStyle w:val="TableContents"/>
              <w:bidi w:val="0"/>
              <w:spacing w:before="1" w:after="1"/>
              <w:ind w:left="0" w:right="0" w:hanging="0"/>
              <w:jc w:val="left"/>
              <w:rPr/>
            </w:pPr>
            <w:r>
              <w:rPr/>
              <w:t>​</w:t>
            </w:r>
          </w:p>
        </w:tc>
        <w:tc>
          <w:tcPr>
            <w:tcW w:w="1512"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bidi w:val="0"/>
              <w:spacing w:before="1" w:after="1"/>
              <w:ind w:left="0" w:right="0" w:hanging="0"/>
              <w:jc w:val="left"/>
              <w:rPr/>
            </w:pPr>
            <w:r>
              <w:rPr/>
              <w:t>​</w:t>
            </w:r>
          </w:p>
        </w:tc>
        <w:tc>
          <w:tcPr>
            <w:tcW w:w="612" w:type="dxa"/>
            <w:tcBorders/>
            <w:shd w:fill="CCEEFF" w:val="clear"/>
            <w:vAlign w:val="center"/>
          </w:tcPr>
          <w:p>
            <w:pPr>
              <w:pStyle w:val="TableContents"/>
              <w:bidi w:val="0"/>
              <w:spacing w:before="1" w:after="1"/>
              <w:ind w:left="0" w:right="0" w:hanging="0"/>
              <w:jc w:val="left"/>
              <w:rPr/>
            </w:pPr>
            <w:r>
              <w:rPr/>
              <w:t>​</w:t>
            </w:r>
          </w:p>
        </w:tc>
        <w:tc>
          <w:tcPr>
            <w:tcW w:w="2374"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353" w:type="dxa"/>
            <w:tcBorders/>
            <w:shd w:fill="CCEEFF" w:val="clear"/>
            <w:vAlign w:val="center"/>
          </w:tcPr>
          <w:p>
            <w:pPr>
              <w:pStyle w:val="TableContents"/>
              <w:bidi w:val="0"/>
              <w:spacing w:before="1" w:after="1"/>
              <w:ind w:left="0" w:right="0" w:hanging="0"/>
              <w:jc w:val="left"/>
              <w:rPr/>
            </w:pPr>
            <w:r>
              <w:rPr/>
              <w:t>​</w:t>
            </w:r>
          </w:p>
        </w:tc>
        <w:tc>
          <w:tcPr>
            <w:tcW w:w="1332" w:type="dxa"/>
            <w:tcBorders/>
            <w:shd w:fill="CCEEFF" w:val="clear"/>
            <w:vAlign w:val="center"/>
          </w:tcPr>
          <w:p>
            <w:pPr>
              <w:pStyle w:val="TableContents"/>
              <w:bidi w:val="0"/>
              <w:spacing w:before="1" w:after="1"/>
              <w:ind w:left="0" w:right="0" w:hanging="0"/>
              <w:jc w:val="right"/>
              <w:rPr/>
            </w:pPr>
            <w:r>
              <w:rPr/>
              <w:t>—</w:t>
            </w:r>
          </w:p>
        </w:tc>
      </w:tr>
      <w:tr>
        <w:trPr/>
        <w:tc>
          <w:tcPr>
            <w:tcW w:w="1949"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vAlign w:val="center"/>
          </w:tcPr>
          <w:p>
            <w:pPr>
              <w:pStyle w:val="TableContents"/>
              <w:bidi w:val="0"/>
              <w:spacing w:before="1" w:after="1"/>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(1,762,500)</w:t>
            </w:r>
          </w:p>
        </w:tc>
        <w:tc>
          <w:tcPr>
            <w:tcW w:w="109" w:type="dxa"/>
            <w:tcBorders/>
            <w:vAlign w:val="center"/>
          </w:tcPr>
          <w:p>
            <w:pPr>
              <w:pStyle w:val="TableContents"/>
              <w:bidi w:val="0"/>
              <w:spacing w:before="1"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1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1" w:after="1"/>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374"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3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1949"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Balance at September 30, 2023</w:t>
            </w:r>
          </w:p>
        </w:tc>
        <w:tc>
          <w:tcPr>
            <w:tcW w:w="109" w:type="dxa"/>
            <w:tcBorders/>
            <w:shd w:fill="CCEEFF" w:val="clear"/>
            <w:vAlign w:val="center"/>
          </w:tcPr>
          <w:p>
            <w:pPr>
              <w:pStyle w:val="TableContents"/>
              <w:bidi w:val="0"/>
              <w:spacing w:before="1" w:after="1"/>
              <w:ind w:left="0" w:right="0" w:hanging="0"/>
              <w:jc w:val="left"/>
              <w:rPr/>
            </w:pPr>
            <w:r>
              <w:rPr/>
              <w:t>​</w:t>
            </w:r>
          </w:p>
        </w:tc>
        <w:tc>
          <w:tcPr>
            <w:tcW w:w="934"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12,238,750</w:t>
            </w:r>
          </w:p>
        </w:tc>
        <w:tc>
          <w:tcPr>
            <w:tcW w:w="109" w:type="dxa"/>
            <w:tcBorders/>
            <w:shd w:fill="CCEEFF" w:val="clear"/>
            <w:vAlign w:val="center"/>
          </w:tcPr>
          <w:p>
            <w:pPr>
              <w:pStyle w:val="TableContents"/>
              <w:bidi w:val="0"/>
              <w:spacing w:before="1" w:after="1"/>
              <w:ind w:left="0" w:right="0" w:hanging="0"/>
              <w:jc w:val="left"/>
              <w:rPr/>
            </w:pPr>
            <w:r>
              <w:rPr/>
              <w:t>​</w:t>
            </w:r>
          </w:p>
        </w:tc>
        <w:tc>
          <w:tcPr>
            <w:tcW w:w="703"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2"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109" w:type="dxa"/>
            <w:tcBorders/>
            <w:shd w:fill="CCEEFF" w:val="clear"/>
            <w:vAlign w:val="center"/>
          </w:tcPr>
          <w:p>
            <w:pPr>
              <w:pStyle w:val="TableContents"/>
              <w:bidi w:val="0"/>
              <w:spacing w:before="1" w:after="1"/>
              <w:ind w:left="0" w:right="0" w:hanging="0"/>
              <w:jc w:val="left"/>
              <w:rPr/>
            </w:pPr>
            <w:r>
              <w:rPr/>
              <w:t>​</w:t>
            </w:r>
          </w:p>
        </w:tc>
        <w:tc>
          <w:tcPr>
            <w:tcW w:w="612" w:type="dxa"/>
            <w:tcBorders/>
            <w:shd w:fill="CCEEFF" w:val="clear"/>
            <w:vAlign w:val="center"/>
          </w:tcPr>
          <w:p>
            <w:pPr>
              <w:pStyle w:val="TableContents"/>
              <w:bidi w:val="0"/>
              <w:spacing w:before="1" w:after="1"/>
              <w:ind w:left="0" w:right="0" w:hanging="0"/>
              <w:jc w:val="left"/>
              <w:rPr/>
            </w:pPr>
            <w:r>
              <w:rPr/>
              <w:t>​</w:t>
            </w:r>
          </w:p>
        </w:tc>
        <w:tc>
          <w:tcPr>
            <w:tcW w:w="2374"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109" w:type="dxa"/>
            <w:tcBorders/>
            <w:shd w:fill="CCEEFF" w:val="clear"/>
            <w:vAlign w:val="center"/>
          </w:tcPr>
          <w:p>
            <w:pPr>
              <w:pStyle w:val="TableContents"/>
              <w:bidi w:val="0"/>
              <w:spacing w:before="1" w:after="1"/>
              <w:ind w:left="0" w:right="0" w:hanging="0"/>
              <w:jc w:val="left"/>
              <w:rPr/>
            </w:pPr>
            <w:r>
              <w:rPr/>
              <w:t>​</w:t>
            </w:r>
          </w:p>
        </w:tc>
        <w:tc>
          <w:tcPr>
            <w:tcW w:w="353"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1" w:after="1"/>
              <w:ind w:left="0" w:right="0" w:hanging="0"/>
              <w:jc w:val="right"/>
              <w:rPr/>
            </w:pPr>
            <w:r>
              <w:rPr/>
              <w:t>—</w:t>
            </w:r>
          </w:p>
        </w:tc>
      </w:tr>
      <w:tr>
        <w:trPr/>
        <w:tc>
          <w:tcPr>
            <w:tcW w:w="1949"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9" w:type="dxa"/>
            <w:tcBorders/>
            <w:vAlign w:val="center"/>
          </w:tcPr>
          <w:p>
            <w:pPr>
              <w:pStyle w:val="TableContents"/>
              <w:bidi w:val="0"/>
              <w:spacing w:before="1" w:after="1"/>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1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374"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3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1949"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Exercisable at September 30,2023</w:t>
            </w:r>
          </w:p>
        </w:tc>
        <w:tc>
          <w:tcPr>
            <w:tcW w:w="109" w:type="dxa"/>
            <w:tcBorders/>
            <w:shd w:fill="CCEEFF" w:val="clear"/>
            <w:vAlign w:val="center"/>
          </w:tcPr>
          <w:p>
            <w:pPr>
              <w:pStyle w:val="TableContents"/>
              <w:bidi w:val="0"/>
              <w:spacing w:before="1" w:after="1"/>
              <w:ind w:left="0" w:right="0" w:hanging="0"/>
              <w:jc w:val="left"/>
              <w:rPr/>
            </w:pPr>
            <w:r>
              <w:rPr/>
              <w:t>​</w:t>
            </w:r>
          </w:p>
        </w:tc>
        <w:tc>
          <w:tcPr>
            <w:tcW w:w="934"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12,238,750</w:t>
            </w:r>
          </w:p>
        </w:tc>
        <w:tc>
          <w:tcPr>
            <w:tcW w:w="109" w:type="dxa"/>
            <w:tcBorders/>
            <w:shd w:fill="CCEEFF" w:val="clear"/>
            <w:vAlign w:val="center"/>
          </w:tcPr>
          <w:p>
            <w:pPr>
              <w:pStyle w:val="TableContents"/>
              <w:bidi w:val="0"/>
              <w:spacing w:before="1" w:after="1"/>
              <w:ind w:left="0" w:right="0" w:hanging="0"/>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109" w:type="dxa"/>
            <w:tcBorders/>
            <w:shd w:fill="CCEEFF" w:val="clear"/>
            <w:vAlign w:val="center"/>
          </w:tcPr>
          <w:p>
            <w:pPr>
              <w:pStyle w:val="TableContents"/>
              <w:bidi w:val="0"/>
              <w:spacing w:before="1" w:after="1"/>
              <w:ind w:left="0" w:right="0" w:hanging="0"/>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374"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109" w:type="dxa"/>
            <w:tcBorders/>
            <w:shd w:fill="CCEEFF" w:val="clear"/>
            <w:vAlign w:val="center"/>
          </w:tcPr>
          <w:p>
            <w:pPr>
              <w:pStyle w:val="TableContents"/>
              <w:bidi w:val="0"/>
              <w:spacing w:before="1" w:after="1"/>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332"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aggregate intrinsic value in the table above represents the total pre-tax intrinsic value (the difference between the Company’s closing stock price on September 30, 2023 and December 31, 2022, respectively, and the exercise price, multiplied by the number of in-the-money options) that would have been received by the option holders had all option holders exercised their in-the-money options on September 30, 2023 and December 31, 2022. This amount will change in future periods based on the fair market value of the Company’s shares and the number of options outstanding.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Black-Scholes option pricing model to estimate the fair value of the options granted during the nine months ended September 30, 2023 and the year ended December 31, 2022, using the following ranges of assumptions:</w:t>
      </w:r>
    </w:p>
    <w:p>
      <w:pPr>
        <w:pStyle w:val="TextBody"/>
        <w:bidi w:val="0"/>
        <w:spacing w:before="0" w:after="0"/>
        <w:ind w:left="0" w:right="0" w:hanging="0"/>
        <w:jc w:val="left"/>
        <w:rPr/>
      </w:pPr>
      <w:r>
        <w:rPr/>
        <w:t>​</w:t>
      </w:r>
    </w:p>
    <w:tbl>
      <w:tblPr>
        <w:tblW w:w="5340" w:type="dxa"/>
        <w:jc w:val="left"/>
        <w:tblInd w:w="0" w:type="dxa"/>
        <w:tblLayout w:type="fixed"/>
        <w:tblCellMar>
          <w:top w:w="0" w:type="dxa"/>
          <w:left w:w="0" w:type="dxa"/>
          <w:bottom w:w="0" w:type="dxa"/>
          <w:right w:w="0" w:type="dxa"/>
        </w:tblCellMar>
      </w:tblPr>
      <w:tblGrid>
        <w:gridCol w:w="1816"/>
        <w:gridCol w:w="109"/>
        <w:gridCol w:w="1606"/>
        <w:gridCol w:w="109"/>
        <w:gridCol w:w="109"/>
        <w:gridCol w:w="15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53160" cy="175895"/>
                      <wp:effectExtent l="0" t="0" r="0" b="0"/>
                      <wp:wrapNone/>
                      <wp:docPr id="197" name="Frame197"/>
                      <a:graphic xmlns:a="http://schemas.openxmlformats.org/drawingml/2006/main">
                        <a:graphicData uri="http://schemas.microsoft.com/office/word/2010/wordprocessingShape">
                          <wps:wsp>
                            <wps:cNvSpPr txBox="1"/>
                            <wps:spPr>
                              <a:xfrm>
                                <a:off x="0" y="0"/>
                                <a:ext cx="1153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895"/>
                      <wp:effectExtent l="0" t="0" r="0" b="0"/>
                      <wp:wrapNone/>
                      <wp:docPr id="198" name="Frame19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019810" cy="175895"/>
                      <wp:effectExtent l="0" t="0" r="0" b="0"/>
                      <wp:wrapNone/>
                      <wp:docPr id="199" name="Frame199"/>
                      <a:graphic xmlns:a="http://schemas.openxmlformats.org/drawingml/2006/main">
                        <a:graphicData uri="http://schemas.microsoft.com/office/word/2010/wordprocessingShape">
                          <wps:wsp>
                            <wps:cNvSpPr txBox="1"/>
                            <wps:spPr>
                              <a:xfrm>
                                <a:off x="0" y="0"/>
                                <a:ext cx="1019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895"/>
                      <wp:effectExtent l="0" t="0" r="0" b="0"/>
                      <wp:wrapNone/>
                      <wp:docPr id="200" name="Frame20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895"/>
                      <wp:effectExtent l="0" t="0" r="0" b="0"/>
                      <wp:wrapNone/>
                      <wp:docPr id="201" name="Frame20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010285" cy="175895"/>
                      <wp:effectExtent l="0" t="0" r="0" b="0"/>
                      <wp:wrapNone/>
                      <wp:docPr id="202" name="Frame202"/>
                      <a:graphic xmlns:a="http://schemas.openxmlformats.org/drawingml/2006/main">
                        <a:graphicData uri="http://schemas.microsoft.com/office/word/2010/wordprocessingShape">
                          <wps:wsp>
                            <wps:cNvSpPr txBox="1"/>
                            <wps:spPr>
                              <a:xfrm>
                                <a:off x="0" y="0"/>
                                <a:ext cx="1010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September 30, 2023</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18"/>
              </w:rPr>
            </w:pPr>
            <w:r>
              <w:rPr>
                <w:rFonts w:ascii="Times New Roman;Times;serif" w:hAnsi="Times New Roman;Times;serif"/>
                <w:b/>
                <w:sz w:val="18"/>
              </w:rPr>
              <w:t>December 31, 2022</w:t>
            </w:r>
          </w:p>
        </w:tc>
      </w:tr>
      <w:tr>
        <w:trPr/>
        <w:tc>
          <w:tcPr>
            <w:tcW w:w="1816"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Risk free rate</w:t>
            </w:r>
          </w:p>
        </w:tc>
        <w:tc>
          <w:tcPr>
            <w:tcW w:w="109" w:type="dxa"/>
            <w:tcBorders/>
            <w:shd w:fill="CCEEFF" w:val="clear"/>
            <w:vAlign w:val="center"/>
          </w:tcPr>
          <w:p>
            <w:pPr>
              <w:pStyle w:val="TableContents"/>
              <w:bidi w:val="0"/>
              <w:spacing w:before="1" w:after="1"/>
              <w:ind w:left="0" w:right="0" w:hanging="0"/>
              <w:jc w:val="left"/>
              <w:rPr/>
            </w:pPr>
            <w:r>
              <w:rPr/>
              <w:t>​</w:t>
            </w:r>
          </w:p>
        </w:tc>
        <w:tc>
          <w:tcPr>
            <w:tcW w:w="160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4.61%</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59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1816"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Expected dividend yield</w:t>
            </w:r>
          </w:p>
        </w:tc>
        <w:tc>
          <w:tcPr>
            <w:tcW w:w="109" w:type="dxa"/>
            <w:tcBorders/>
            <w:vAlign w:val="center"/>
          </w:tcPr>
          <w:p>
            <w:pPr>
              <w:pStyle w:val="TableContents"/>
              <w:bidi w:val="0"/>
              <w:spacing w:before="1" w:after="1"/>
              <w:ind w:left="0" w:right="0" w:hanging="0"/>
              <w:jc w:val="left"/>
              <w:rPr/>
            </w:pPr>
            <w:r>
              <w:rPr/>
              <w:t>​</w:t>
            </w:r>
          </w:p>
        </w:tc>
        <w:tc>
          <w:tcPr>
            <w:tcW w:w="160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0%</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59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1816"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109" w:type="dxa"/>
            <w:tcBorders/>
            <w:shd w:fill="CCEEFF" w:val="clear"/>
            <w:vAlign w:val="center"/>
          </w:tcPr>
          <w:p>
            <w:pPr>
              <w:pStyle w:val="TableContents"/>
              <w:bidi w:val="0"/>
              <w:spacing w:before="1" w:after="1"/>
              <w:ind w:left="0" w:right="0" w:hanging="0"/>
              <w:jc w:val="left"/>
              <w:rPr/>
            </w:pPr>
            <w:r>
              <w:rPr/>
              <w:t>​</w:t>
            </w:r>
          </w:p>
        </w:tc>
        <w:tc>
          <w:tcPr>
            <w:tcW w:w="160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75.97%</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59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78.97%</w:t>
            </w:r>
          </w:p>
        </w:tc>
      </w:tr>
      <w:tr>
        <w:trPr/>
        <w:tc>
          <w:tcPr>
            <w:tcW w:w="1816"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Expected option life</w:t>
            </w:r>
          </w:p>
        </w:tc>
        <w:tc>
          <w:tcPr>
            <w:tcW w:w="109" w:type="dxa"/>
            <w:tcBorders/>
            <w:vAlign w:val="center"/>
          </w:tcPr>
          <w:p>
            <w:pPr>
              <w:pStyle w:val="TableContents"/>
              <w:bidi w:val="0"/>
              <w:spacing w:before="1" w:after="1"/>
              <w:ind w:left="0" w:right="0" w:hanging="0"/>
              <w:jc w:val="left"/>
              <w:rPr/>
            </w:pPr>
            <w:r>
              <w:rPr/>
              <w:t>​</w:t>
            </w:r>
          </w:p>
        </w:tc>
        <w:tc>
          <w:tcPr>
            <w:tcW w:w="16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18"/>
              </w:rPr>
              <w:t>4.75</w:t>
            </w:r>
            <w:r>
              <w:rPr>
                <w:rFonts w:ascii="Times New Roman;Times;serif" w:hAnsi="Times New Roman;Times;serif"/>
                <w:sz w:val="20"/>
              </w:rPr>
              <w:t xml:space="preserve"> </w:t>
            </w:r>
            <w:r>
              <w:rPr>
                <w:rFonts w:ascii="Times New Roman;Times;serif" w:hAnsi="Times New Roman;Times;serif"/>
                <w:sz w:val="18"/>
              </w:rPr>
              <w:t>to 6.25</w:t>
            </w:r>
            <w:r>
              <w:rPr>
                <w:rFonts w:ascii="Times New Roman;Times;serif" w:hAnsi="Times New Roman;Times;serif"/>
                <w:sz w:val="20"/>
              </w:rPr>
              <w:t xml:space="preserve"> </w:t>
            </w:r>
            <w:r>
              <w:rPr>
                <w:rFonts w:ascii="Times New Roman;Times;serif" w:hAnsi="Times New Roman;Times;serif"/>
                <w:sz w:val="18"/>
              </w:rPr>
              <w:t>years</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591" w:type="dxa"/>
            <w:tcBorders/>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18"/>
              </w:rPr>
              <w:t>4.75</w:t>
            </w:r>
            <w:r>
              <w:rPr>
                <w:rFonts w:ascii="Times New Roman;Times;serif" w:hAnsi="Times New Roman;Times;serif"/>
                <w:sz w:val="20"/>
              </w:rPr>
              <w:t xml:space="preserve"> </w:t>
            </w:r>
            <w:r>
              <w:rPr>
                <w:rFonts w:ascii="Times New Roman;Times;serif" w:hAnsi="Times New Roman;Times;serif"/>
                <w:sz w:val="18"/>
              </w:rPr>
              <w:t>to 6.25</w:t>
            </w:r>
            <w:r>
              <w:rPr>
                <w:rFonts w:ascii="Times New Roman;Times;serif" w:hAnsi="Times New Roman;Times;serif"/>
                <w:sz w:val="20"/>
              </w:rPr>
              <w:t xml:space="preserve"> </w:t>
            </w:r>
            <w:r>
              <w:rPr>
                <w:rFonts w:ascii="Times New Roman;Times;serif" w:hAnsi="Times New Roman;Times;serif"/>
                <w:sz w:val="18"/>
              </w:rPr>
              <w:t>years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summarizes the number of unvested RSU awards under the LTIP as of September 30, 2023 and December 31, 2022, and the changes during the nine months ended September  30, 2023: </w:t>
      </w:r>
    </w:p>
    <w:p>
      <w:pPr>
        <w:pStyle w:val="TextBody"/>
        <w:bidi w:val="0"/>
        <w:spacing w:before="0" w:after="0"/>
        <w:ind w:left="0" w:right="0" w:hanging="0"/>
        <w:jc w:val="left"/>
        <w:rPr/>
      </w:pPr>
      <w:r>
        <w:rPr/>
        <w:t>​</w:t>
      </w:r>
    </w:p>
    <w:tbl>
      <w:tblPr>
        <w:tblW w:w="7330" w:type="dxa"/>
        <w:jc w:val="left"/>
        <w:tblInd w:w="0" w:type="dxa"/>
        <w:tblLayout w:type="fixed"/>
        <w:tblCellMar>
          <w:top w:w="0" w:type="dxa"/>
          <w:left w:w="0" w:type="dxa"/>
          <w:bottom w:w="0" w:type="dxa"/>
          <w:right w:w="0" w:type="dxa"/>
        </w:tblCellMar>
      </w:tblPr>
      <w:tblGrid>
        <w:gridCol w:w="2956"/>
        <w:gridCol w:w="109"/>
        <w:gridCol w:w="931"/>
        <w:gridCol w:w="109"/>
        <w:gridCol w:w="870"/>
        <w:gridCol w:w="2355"/>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77060" cy="175260"/>
                      <wp:effectExtent l="0" t="0" r="0" b="0"/>
                      <wp:wrapNone/>
                      <wp:docPr id="203" name="Frame203"/>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1185" cy="175260"/>
                      <wp:effectExtent l="0" t="0" r="0" b="0"/>
                      <wp:wrapNone/>
                      <wp:docPr id="205" name="Frame2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52450" cy="175260"/>
                      <wp:effectExtent l="0" t="0" r="0" b="0"/>
                      <wp:wrapNone/>
                      <wp:docPr id="207" name="Frame207"/>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95425" cy="175260"/>
                      <wp:effectExtent l="0" t="0" r="0" b="0"/>
                      <wp:wrapNone/>
                      <wp:docPr id="208" name="Frame208"/>
                      <a:graphic xmlns:a="http://schemas.openxmlformats.org/drawingml/2006/main">
                        <a:graphicData uri="http://schemas.microsoft.com/office/word/2010/wordprocessingShape">
                          <wps:wsp>
                            <wps:cNvSpPr txBox="1"/>
                            <wps:spPr>
                              <a:xfrm>
                                <a:off x="0" y="0"/>
                                <a:ext cx="149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09"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3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 Grant Date Fair Value</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5"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1,600,000</w:t>
            </w:r>
          </w:p>
        </w:tc>
        <w:tc>
          <w:tcPr>
            <w:tcW w:w="109"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2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70" w:type="dxa"/>
            <w:tcBorders/>
            <w:shd w:fill="CCEEFF" w:val="clear"/>
            <w:vAlign w:val="center"/>
          </w:tcPr>
          <w:p>
            <w:pPr>
              <w:pStyle w:val="TableContents"/>
              <w:bidi w:val="0"/>
              <w:spacing w:before="0" w:after="1"/>
              <w:ind w:left="0" w:right="0" w:hanging="0"/>
              <w:jc w:val="left"/>
              <w:rPr/>
            </w:pPr>
            <w:r>
              <w:rPr/>
              <w:t>​</w:t>
            </w:r>
          </w:p>
        </w:tc>
        <w:tc>
          <w:tcPr>
            <w:tcW w:w="2355"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2355" w:type="dxa"/>
            <w:tcBorders/>
            <w:vAlign w:val="center"/>
          </w:tcPr>
          <w:p>
            <w:pPr>
              <w:pStyle w:val="TableContents"/>
              <w:bidi w:val="0"/>
              <w:spacing w:before="0" w:after="1"/>
              <w:ind w:left="0" w:right="0" w:hanging="0"/>
              <w:jc w:val="right"/>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1"/>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September 30, 2023</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109" w:type="dxa"/>
            <w:tcBorders/>
            <w:vAlign w:val="center"/>
          </w:tcPr>
          <w:p>
            <w:pPr>
              <w:pStyle w:val="TableContents"/>
              <w:bidi w:val="0"/>
              <w:spacing w:before="0" w:after="1"/>
              <w:ind w:left="0" w:right="0" w:hanging="0"/>
              <w:jc w:val="left"/>
              <w:rPr/>
            </w:pPr>
            <w:r>
              <w:rPr/>
              <w:t>​</w:t>
            </w:r>
          </w:p>
        </w:tc>
        <w:tc>
          <w:tcPr>
            <w:tcW w:w="8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summarizes the number of unvested PSU awards under the LTIP as of September 30, 2023 and December 31, 2022, and the changes during the nine months ended September 30, 2023: </w:t>
      </w:r>
    </w:p>
    <w:p>
      <w:pPr>
        <w:pStyle w:val="TextBody"/>
        <w:bidi w:val="0"/>
        <w:spacing w:before="0" w:after="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2956"/>
        <w:gridCol w:w="109"/>
        <w:gridCol w:w="781"/>
        <w:gridCol w:w="109"/>
        <w:gridCol w:w="902"/>
        <w:gridCol w:w="2443"/>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77060" cy="175895"/>
                      <wp:effectExtent l="0" t="0" r="0" b="0"/>
                      <wp:wrapNone/>
                      <wp:docPr id="209" name="Frame209"/>
                      <a:graphic xmlns:a="http://schemas.openxmlformats.org/drawingml/2006/main">
                        <a:graphicData uri="http://schemas.microsoft.com/office/word/2010/wordprocessingShape">
                          <wps:wsp>
                            <wps:cNvSpPr txBox="1"/>
                            <wps:spPr>
                              <a:xfrm>
                                <a:off x="0" y="0"/>
                                <a:ext cx="18770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895"/>
                      <wp:effectExtent l="0" t="0" r="0" b="0"/>
                      <wp:wrapNone/>
                      <wp:docPr id="210" name="Frame21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895"/>
                      <wp:effectExtent l="0" t="0" r="0" b="0"/>
                      <wp:wrapNone/>
                      <wp:docPr id="211" name="Frame21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895"/>
                      <wp:effectExtent l="0" t="0" r="0" b="0"/>
                      <wp:wrapNone/>
                      <wp:docPr id="212" name="Frame21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72770" cy="175895"/>
                      <wp:effectExtent l="0" t="0" r="0" b="0"/>
                      <wp:wrapNone/>
                      <wp:docPr id="213" name="Frame213"/>
                      <a:graphic xmlns:a="http://schemas.openxmlformats.org/drawingml/2006/main">
                        <a:graphicData uri="http://schemas.microsoft.com/office/word/2010/wordprocessingShape">
                          <wps:wsp>
                            <wps:cNvSpPr txBox="1"/>
                            <wps:spPr>
                              <a:xfrm>
                                <a:off x="0" y="0"/>
                                <a:ext cx="5727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51305" cy="175895"/>
                      <wp:effectExtent l="0" t="0" r="0" b="0"/>
                      <wp:wrapNone/>
                      <wp:docPr id="214" name="Frame214"/>
                      <a:graphic xmlns:a="http://schemas.openxmlformats.org/drawingml/2006/main">
                        <a:graphicData uri="http://schemas.microsoft.com/office/word/2010/wordprocessingShape">
                          <wps:wsp>
                            <wps:cNvSpPr txBox="1"/>
                            <wps:spPr>
                              <a:xfrm>
                                <a:off x="0" y="0"/>
                                <a:ext cx="15513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Performance Share Units</w:t>
            </w:r>
          </w:p>
        </w:tc>
        <w:tc>
          <w:tcPr>
            <w:tcW w:w="109" w:type="dxa"/>
            <w:tcBorders/>
            <w:vAlign w:val="center"/>
          </w:tcPr>
          <w:p>
            <w:pPr>
              <w:pStyle w:val="TableContents"/>
              <w:bidi w:val="0"/>
              <w:spacing w:before="1"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1" w:after="1"/>
              <w:ind w:left="0" w:right="0" w:hanging="0"/>
              <w:jc w:val="center"/>
              <w:rPr/>
            </w:pPr>
            <w:r>
              <w:rPr/>
              <w:t>​</w:t>
            </w:r>
          </w:p>
        </w:tc>
        <w:tc>
          <w:tcPr>
            <w:tcW w:w="33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Grant Date Fair Value</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Unvested shares at January 1, 2023</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1" w:after="1"/>
              <w:ind w:left="0" w:right="0" w:hanging="0"/>
              <w:jc w:val="left"/>
              <w:rPr/>
            </w:pPr>
            <w:r>
              <w:rPr/>
              <w:t>​</w:t>
            </w:r>
          </w:p>
        </w:tc>
        <w:tc>
          <w:tcPr>
            <w:tcW w:w="90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2443"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702,432</w:t>
            </w:r>
          </w:p>
        </w:tc>
        <w:tc>
          <w:tcPr>
            <w:tcW w:w="109" w:type="dxa"/>
            <w:tcBorders/>
            <w:vAlign w:val="center"/>
          </w:tcPr>
          <w:p>
            <w:pPr>
              <w:pStyle w:val="TableContents"/>
              <w:bidi w:val="0"/>
              <w:spacing w:before="1" w:after="1"/>
              <w:ind w:left="0" w:right="0" w:hanging="0"/>
              <w:jc w:val="left"/>
              <w:rPr/>
            </w:pPr>
            <w:r>
              <w:rPr/>
              <w:t>​</w:t>
            </w:r>
          </w:p>
        </w:tc>
        <w:tc>
          <w:tcPr>
            <w:tcW w:w="902" w:type="dxa"/>
            <w:tcBorders/>
            <w:vAlign w:val="center"/>
          </w:tcPr>
          <w:p>
            <w:pPr>
              <w:pStyle w:val="TableContents"/>
              <w:bidi w:val="0"/>
              <w:spacing w:before="1" w:after="1"/>
              <w:ind w:left="0" w:right="0" w:hanging="0"/>
              <w:jc w:val="left"/>
              <w:rPr/>
            </w:pPr>
            <w:r>
              <w:rPr/>
              <w:t>​</w:t>
            </w:r>
          </w:p>
        </w:tc>
        <w:tc>
          <w:tcPr>
            <w:tcW w:w="2443"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1" w:after="1"/>
              <w:ind w:left="0" w:right="0" w:hanging="0"/>
              <w:jc w:val="left"/>
              <w:rPr/>
            </w:pPr>
            <w:r>
              <w:rPr/>
              <w:t>​</w:t>
            </w:r>
          </w:p>
        </w:tc>
        <w:tc>
          <w:tcPr>
            <w:tcW w:w="902" w:type="dxa"/>
            <w:tcBorders/>
            <w:shd w:fill="CCEEFF" w:val="clear"/>
            <w:vAlign w:val="center"/>
          </w:tcPr>
          <w:p>
            <w:pPr>
              <w:pStyle w:val="TableContents"/>
              <w:bidi w:val="0"/>
              <w:spacing w:before="1" w:after="1"/>
              <w:ind w:left="0" w:right="0" w:hanging="0"/>
              <w:jc w:val="left"/>
              <w:rPr/>
            </w:pPr>
            <w:r>
              <w:rPr/>
              <w:t>​</w:t>
            </w:r>
          </w:p>
        </w:tc>
        <w:tc>
          <w:tcPr>
            <w:tcW w:w="2443"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109"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(25,976)</w:t>
            </w:r>
          </w:p>
        </w:tc>
        <w:tc>
          <w:tcPr>
            <w:tcW w:w="109" w:type="dxa"/>
            <w:tcBorders/>
            <w:vAlign w:val="center"/>
          </w:tcPr>
          <w:p>
            <w:pPr>
              <w:pStyle w:val="TableContents"/>
              <w:bidi w:val="0"/>
              <w:spacing w:before="1" w:after="1"/>
              <w:ind w:left="0" w:right="0" w:hanging="0"/>
              <w:jc w:val="left"/>
              <w:rPr/>
            </w:pPr>
            <w:r>
              <w:rPr/>
              <w:t>​</w:t>
            </w:r>
          </w:p>
        </w:tc>
        <w:tc>
          <w:tcPr>
            <w:tcW w:w="902" w:type="dxa"/>
            <w:tcBorders/>
            <w:vAlign w:val="center"/>
          </w:tcPr>
          <w:p>
            <w:pPr>
              <w:pStyle w:val="TableContents"/>
              <w:bidi w:val="0"/>
              <w:spacing w:before="1" w:after="1"/>
              <w:ind w:left="0" w:right="0" w:hanging="0"/>
              <w:jc w:val="left"/>
              <w:rPr/>
            </w:pPr>
            <w:r>
              <w:rPr/>
              <w:t>​</w:t>
            </w:r>
          </w:p>
        </w:tc>
        <w:tc>
          <w:tcPr>
            <w:tcW w:w="2443"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1"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44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Unvested at September 30, 2023</w:t>
            </w:r>
          </w:p>
        </w:tc>
        <w:tc>
          <w:tcPr>
            <w:tcW w:w="109" w:type="dxa"/>
            <w:tcBorders/>
            <w:vAlign w:val="center"/>
          </w:tcPr>
          <w:p>
            <w:pPr>
              <w:pStyle w:val="TableContents"/>
              <w:bidi w:val="0"/>
              <w:spacing w:before="1"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676,456</w:t>
            </w:r>
          </w:p>
        </w:tc>
        <w:tc>
          <w:tcPr>
            <w:tcW w:w="109" w:type="dxa"/>
            <w:tcBorders/>
            <w:vAlign w:val="center"/>
          </w:tcPr>
          <w:p>
            <w:pPr>
              <w:pStyle w:val="TableContents"/>
              <w:bidi w:val="0"/>
              <w:spacing w:before="1" w:after="1"/>
              <w:ind w:left="0" w:right="0" w:hanging="0"/>
              <w:jc w:val="left"/>
              <w:rPr/>
            </w:pPr>
            <w:r>
              <w:rPr/>
              <w:t>​</w:t>
            </w:r>
          </w:p>
        </w:tc>
        <w:tc>
          <w:tcPr>
            <w:tcW w:w="902"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443"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02" w:name="Tc_vVR_C1bEr02eTLU-RWJ7Mw_8_11"/>
      <w:bookmarkStart w:id="1403" w:name="Tc_G_Ypk5c1B0uONEYw5rIY0w_8_4"/>
      <w:bookmarkStart w:id="1404" w:name="Tc_oh0Hcg0FbEqsuo0IAUq-gg_8_0"/>
      <w:bookmarkStart w:id="1405" w:name="Tc_ZcrQRMmV-0eL3oxToITvsQ_7_11"/>
      <w:bookmarkStart w:id="1406" w:name="Tc_RNABHMEIqkWehMSH68wq1Q_7_8"/>
      <w:bookmarkStart w:id="1407" w:name="Tc_ddmdPV9vX02Ct9iIRhLe9g_7_5"/>
      <w:bookmarkStart w:id="1408" w:name="Tc_Wo2S8i4EtkCa9h6QmzPZjw_7_2"/>
      <w:bookmarkStart w:id="1409" w:name="Tc_W9yDchGzX0Kpgg7-uw2YHw_7_0"/>
      <w:bookmarkStart w:id="1410" w:name="Tc_R5RkcroBJUWqNGEkLO62zw_6_11"/>
      <w:bookmarkStart w:id="1411" w:name="Tc_ul8H70cKR0WK-Z4z7dNiEA_6_10"/>
      <w:bookmarkStart w:id="1412" w:name="Tc_vurUUxFAdECngZfkwxyFPQ_6_4"/>
      <w:bookmarkStart w:id="1413" w:name="Tc_RBX5i0iM9Ua0kpiye4lWCw_6_0"/>
      <w:bookmarkStart w:id="1414" w:name="Tc_c0vs0xBe0UmzKvZ8pHwIJQ_5_11"/>
      <w:bookmarkStart w:id="1415" w:name="Tc_tPZ8juf-rUKSVAADLT9zOg_5_8"/>
      <w:bookmarkStart w:id="1416" w:name="Tc_carajcIXW0qZE-mayrDohA_5_5"/>
      <w:bookmarkStart w:id="1417" w:name="Tc_1kkxJkWEM02QA1BPIawHpQ_5_2"/>
      <w:bookmarkStart w:id="1418" w:name="Tc_hz5fwNqqpESsFAdgpmEFNA_5_0"/>
      <w:bookmarkStart w:id="1419" w:name="Tc_G2xvvgUH7U6pjN7235V-OA_4_11"/>
      <w:bookmarkStart w:id="1420" w:name="Tc_64G-Jb_0GU2kqo8tq6aGhQ_4_8"/>
      <w:bookmarkStart w:id="1421" w:name="Tc_tauuzY-3FE2hmtjKv-hxEg_4_0"/>
      <w:bookmarkStart w:id="1422" w:name="Tc_L54RtBqPIk6oxOMUtEl4AA_3_11"/>
      <w:bookmarkStart w:id="1423" w:name="Tc_l-aVEjtUQkShI8l7z57D-g_3_0"/>
      <w:bookmarkStart w:id="1424" w:name="Tc_qFKTQEnRFEy4rdjHqdEIjA_2_11"/>
      <w:bookmarkStart w:id="1425" w:name="Tc_i0j5DMvtPUW3Rmp7Oa9ZVg_2_10"/>
      <w:bookmarkStart w:id="1426" w:name="Tc_Iw_w5edj5Ey5dyA6pcYZIA_2_8"/>
      <w:bookmarkStart w:id="1427" w:name="Tc_VrQ57o_T3U2rnAaofMJuTQ_2_5"/>
      <w:bookmarkStart w:id="1428" w:name="Tc_2sKSyrK6fkiDbMpPtNKJyw_2_4"/>
      <w:bookmarkStart w:id="1429" w:name="Tc_4yLqWKlJd0CJJgOwWetFXw_2_2"/>
      <w:bookmarkStart w:id="1430" w:name="Tc_R1PfVSDXFEWSUvtfimPx2w_2_0"/>
      <w:bookmarkStart w:id="1431" w:name="Tc_r-Lv-SNpuk64dDWEIakTrw_1_10"/>
      <w:bookmarkStart w:id="1432" w:name="Tc_m0MUxrY3Rkij4jTBmb1bew_1_7"/>
      <w:bookmarkStart w:id="1433" w:name="Tc_jNhMHXCSnUWp9BFhxg9hcQ_1_4"/>
      <w:bookmarkStart w:id="1434" w:name="Tc_P7-_vmebTU6Q-WQuKThttA_1_2"/>
      <w:bookmarkStart w:id="1435" w:name="Tc_3R9mXIfzOkyy5n8wk5c4Uw_1_0"/>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Times New Roman;Times;serif" w:hAnsi="Times New Roman;Times;serif"/>
          <w:sz w:val="20"/>
        </w:rPr>
        <w:t>The following table summarizes the ISO Awards activity granted under the LTIP as of September 30, 2023 and December 31, 2022, and the changes during the nine months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5"/>
        <w:gridCol w:w="109"/>
        <w:gridCol w:w="710"/>
        <w:gridCol w:w="109"/>
        <w:gridCol w:w="715"/>
        <w:gridCol w:w="1540"/>
        <w:gridCol w:w="109"/>
        <w:gridCol w:w="629"/>
        <w:gridCol w:w="2441"/>
        <w:gridCol w:w="109"/>
        <w:gridCol w:w="522"/>
        <w:gridCol w:w="1207"/>
      </w:tblGrid>
      <w:tr>
        <w:trPr/>
        <w:tc>
          <w:tcPr>
            <w:tcW w:w="2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73175" cy="175895"/>
                      <wp:effectExtent l="0" t="0" r="0" b="0"/>
                      <wp:wrapNone/>
                      <wp:docPr id="215" name="Frame215"/>
                      <a:graphic xmlns:a="http://schemas.openxmlformats.org/drawingml/2006/main">
                        <a:graphicData uri="http://schemas.microsoft.com/office/word/2010/wordprocessingShape">
                          <wps:wsp>
                            <wps:cNvSpPr txBox="1"/>
                            <wps:spPr>
                              <a:xfrm>
                                <a:off x="0" y="0"/>
                                <a:ext cx="12731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895"/>
                      <wp:effectExtent l="0" t="0" r="0" b="0"/>
                      <wp:wrapNone/>
                      <wp:docPr id="216" name="Frame21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50850" cy="175895"/>
                      <wp:effectExtent l="0" t="0" r="0" b="0"/>
                      <wp:wrapNone/>
                      <wp:docPr id="217" name="Frame217"/>
                      <a:graphic xmlns:a="http://schemas.openxmlformats.org/drawingml/2006/main">
                        <a:graphicData uri="http://schemas.microsoft.com/office/word/2010/wordprocessingShape">
                          <wps:wsp>
                            <wps:cNvSpPr txBox="1"/>
                            <wps:spPr>
                              <a:xfrm>
                                <a:off x="0" y="0"/>
                                <a:ext cx="4508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895"/>
                      <wp:effectExtent l="0" t="0" r="0" b="0"/>
                      <wp:wrapNone/>
                      <wp:docPr id="218" name="Frame21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54025" cy="175895"/>
                      <wp:effectExtent l="0" t="0" r="0" b="0"/>
                      <wp:wrapNone/>
                      <wp:docPr id="219" name="Frame219"/>
                      <a:graphic xmlns:a="http://schemas.openxmlformats.org/drawingml/2006/main">
                        <a:graphicData uri="http://schemas.microsoft.com/office/word/2010/wordprocessingShape">
                          <wps:wsp>
                            <wps:cNvSpPr txBox="1"/>
                            <wps:spPr>
                              <a:xfrm>
                                <a:off x="0" y="0"/>
                                <a:ext cx="454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977900" cy="175895"/>
                      <wp:effectExtent l="0" t="0" r="0" b="0"/>
                      <wp:wrapNone/>
                      <wp:docPr id="220" name="Frame220"/>
                      <a:graphic xmlns:a="http://schemas.openxmlformats.org/drawingml/2006/main">
                        <a:graphicData uri="http://schemas.microsoft.com/office/word/2010/wordprocessingShape">
                          <wps:wsp>
                            <wps:cNvSpPr txBox="1"/>
                            <wps:spPr>
                              <a:xfrm>
                                <a:off x="0" y="0"/>
                                <a:ext cx="9779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895"/>
                      <wp:effectExtent l="0" t="0" r="0" b="0"/>
                      <wp:wrapNone/>
                      <wp:docPr id="221" name="Frame22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99415" cy="175895"/>
                      <wp:effectExtent l="0" t="0" r="0" b="0"/>
                      <wp:wrapNone/>
                      <wp:docPr id="222" name="Frame222"/>
                      <a:graphic xmlns:a="http://schemas.openxmlformats.org/drawingml/2006/main">
                        <a:graphicData uri="http://schemas.microsoft.com/office/word/2010/wordprocessingShape">
                          <wps:wsp>
                            <wps:cNvSpPr txBox="1"/>
                            <wps:spPr>
                              <a:xfrm>
                                <a:off x="0" y="0"/>
                                <a:ext cx="3994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550035" cy="175895"/>
                      <wp:effectExtent l="0" t="0" r="0" b="0"/>
                      <wp:wrapNone/>
                      <wp:docPr id="223" name="Frame223"/>
                      <a:graphic xmlns:a="http://schemas.openxmlformats.org/drawingml/2006/main">
                        <a:graphicData uri="http://schemas.microsoft.com/office/word/2010/wordprocessingShape">
                          <wps:wsp>
                            <wps:cNvSpPr txBox="1"/>
                            <wps:spPr>
                              <a:xfrm>
                                <a:off x="0" y="0"/>
                                <a:ext cx="1550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895"/>
                      <wp:effectExtent l="0" t="0" r="0" b="0"/>
                      <wp:wrapNone/>
                      <wp:docPr id="224" name="Frame22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31470" cy="175895"/>
                      <wp:effectExtent l="0" t="0" r="0" b="0"/>
                      <wp:wrapNone/>
                      <wp:docPr id="225" name="Frame225"/>
                      <a:graphic xmlns:a="http://schemas.openxmlformats.org/drawingml/2006/main">
                        <a:graphicData uri="http://schemas.microsoft.com/office/word/2010/wordprocessingShape">
                          <wps:wsp>
                            <wps:cNvSpPr txBox="1"/>
                            <wps:spPr>
                              <a:xfrm>
                                <a:off x="0" y="0"/>
                                <a:ext cx="3314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66445" cy="175895"/>
                      <wp:effectExtent l="0" t="0" r="0" b="0"/>
                      <wp:wrapNone/>
                      <wp:docPr id="226" name="Frame226"/>
                      <a:graphic xmlns:a="http://schemas.openxmlformats.org/drawingml/2006/main">
                        <a:graphicData uri="http://schemas.microsoft.com/office/word/2010/wordprocessingShape">
                          <wps:wsp>
                            <wps:cNvSpPr txBox="1"/>
                            <wps:spPr>
                              <a:xfrm>
                                <a:off x="0" y="0"/>
                                <a:ext cx="7664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05"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109" w:type="dxa"/>
            <w:tcBorders/>
            <w:vAlign w:val="center"/>
          </w:tcPr>
          <w:p>
            <w:pPr>
              <w:pStyle w:val="TableContents"/>
              <w:bidi w:val="0"/>
              <w:spacing w:before="1" w:after="1"/>
              <w:ind w:left="0" w:right="0" w:hanging="0"/>
              <w:jc w:val="center"/>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vAlign w:val="center"/>
          </w:tcPr>
          <w:p>
            <w:pPr>
              <w:pStyle w:val="TableContents"/>
              <w:bidi w:val="0"/>
              <w:spacing w:before="1" w:after="1"/>
              <w:ind w:left="0" w:right="0" w:hanging="0"/>
              <w:jc w:val="center"/>
              <w:rPr/>
            </w:pPr>
            <w:r>
              <w:rPr/>
              <w:t>​</w:t>
            </w:r>
          </w:p>
        </w:tc>
        <w:tc>
          <w:tcPr>
            <w:tcW w:w="22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Exercise Price</w:t>
            </w:r>
          </w:p>
        </w:tc>
        <w:tc>
          <w:tcPr>
            <w:tcW w:w="109" w:type="dxa"/>
            <w:tcBorders/>
            <w:vAlign w:val="center"/>
          </w:tcPr>
          <w:p>
            <w:pPr>
              <w:pStyle w:val="TableContents"/>
              <w:bidi w:val="0"/>
              <w:spacing w:before="1" w:after="1"/>
              <w:ind w:left="0" w:right="0" w:hanging="0"/>
              <w:jc w:val="left"/>
              <w:rPr/>
            </w:pPr>
            <w:r>
              <w:rPr/>
              <w:t>​</w:t>
            </w:r>
          </w:p>
        </w:tc>
        <w:tc>
          <w:tcPr>
            <w:tcW w:w="307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Remaining Contractual Term</w:t>
            </w:r>
          </w:p>
        </w:tc>
        <w:tc>
          <w:tcPr>
            <w:tcW w:w="109" w:type="dxa"/>
            <w:tcBorders/>
            <w:vAlign w:val="center"/>
          </w:tcPr>
          <w:p>
            <w:pPr>
              <w:pStyle w:val="TableContents"/>
              <w:bidi w:val="0"/>
              <w:spacing w:before="1" w:after="1"/>
              <w:ind w:left="0" w:right="0" w:hanging="0"/>
              <w:jc w:val="center"/>
              <w:rPr/>
            </w:pPr>
            <w:r>
              <w:rPr/>
              <w:t>​</w:t>
            </w:r>
          </w:p>
        </w:tc>
        <w:tc>
          <w:tcPr>
            <w:tcW w:w="172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Aggregate Intrinsic Value</w:t>
            </w:r>
          </w:p>
        </w:tc>
      </w:tr>
      <w:tr>
        <w:trPr/>
        <w:tc>
          <w:tcPr>
            <w:tcW w:w="200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Outstanding at January 1, 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629" w:type="dxa"/>
            <w:tcBorders/>
            <w:shd w:fill="CCEEFF" w:val="clear"/>
            <w:vAlign w:val="center"/>
          </w:tcPr>
          <w:p>
            <w:pPr>
              <w:pStyle w:val="TableContents"/>
              <w:bidi w:val="0"/>
              <w:spacing w:before="1" w:after="1"/>
              <w:ind w:left="0" w:right="0" w:hanging="0"/>
              <w:jc w:val="left"/>
              <w:rPr/>
            </w:pPr>
            <w:r>
              <w:rPr/>
              <w:t>​</w:t>
            </w:r>
          </w:p>
        </w:tc>
        <w:tc>
          <w:tcPr>
            <w:tcW w:w="244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shd w:fill="CCEEFF" w:val="clear"/>
            <w:vAlign w:val="center"/>
          </w:tcPr>
          <w:p>
            <w:pPr>
              <w:pStyle w:val="TableContents"/>
              <w:bidi w:val="0"/>
              <w:spacing w:before="1" w:after="1"/>
              <w:ind w:left="0" w:right="0" w:hanging="0"/>
              <w:jc w:val="right"/>
              <w:rPr/>
            </w:pPr>
            <w:r>
              <w:rPr/>
              <w:t>—</w:t>
            </w:r>
          </w:p>
        </w:tc>
      </w:tr>
      <w:tr>
        <w:trPr/>
        <w:tc>
          <w:tcPr>
            <w:tcW w:w="2005"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1" w:after="1"/>
              <w:ind w:left="0" w:right="0" w:hanging="0"/>
              <w:jc w:val="left"/>
              <w:rPr/>
            </w:pPr>
            <w:r>
              <w:rPr/>
              <w:t>​</w:t>
            </w:r>
          </w:p>
        </w:tc>
        <w:tc>
          <w:tcPr>
            <w:tcW w:w="710"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702,432</w:t>
            </w:r>
          </w:p>
        </w:tc>
        <w:tc>
          <w:tcPr>
            <w:tcW w:w="109" w:type="dxa"/>
            <w:tcBorders/>
            <w:vAlign w:val="center"/>
          </w:tcPr>
          <w:p>
            <w:pPr>
              <w:pStyle w:val="TableContents"/>
              <w:bidi w:val="0"/>
              <w:spacing w:before="1" w:after="1"/>
              <w:ind w:left="0" w:right="0" w:hanging="0"/>
              <w:jc w:val="left"/>
              <w:rPr/>
            </w:pPr>
            <w:r>
              <w:rPr/>
              <w:t>​</w:t>
            </w:r>
          </w:p>
        </w:tc>
        <w:tc>
          <w:tcPr>
            <w:tcW w:w="715" w:type="dxa"/>
            <w:tcBorders/>
            <w:vAlign w:val="center"/>
          </w:tcPr>
          <w:p>
            <w:pPr>
              <w:pStyle w:val="TableContents"/>
              <w:bidi w:val="0"/>
              <w:spacing w:before="1" w:after="1"/>
              <w:ind w:left="0" w:right="0" w:hanging="0"/>
              <w:jc w:val="left"/>
              <w:rPr/>
            </w:pPr>
            <w:r>
              <w:rPr/>
              <w:t>​</w:t>
            </w:r>
          </w:p>
        </w:tc>
        <w:tc>
          <w:tcPr>
            <w:tcW w:w="1540"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1" w:after="1"/>
              <w:ind w:left="0" w:right="0" w:hanging="0"/>
              <w:jc w:val="left"/>
              <w:rPr/>
            </w:pPr>
            <w:r>
              <w:rPr/>
              <w:t>​</w:t>
            </w:r>
          </w:p>
        </w:tc>
        <w:tc>
          <w:tcPr>
            <w:tcW w:w="629" w:type="dxa"/>
            <w:tcBorders/>
            <w:vAlign w:val="center"/>
          </w:tcPr>
          <w:p>
            <w:pPr>
              <w:pStyle w:val="TableContents"/>
              <w:bidi w:val="0"/>
              <w:spacing w:before="1" w:after="1"/>
              <w:ind w:left="0" w:right="0" w:hanging="0"/>
              <w:jc w:val="left"/>
              <w:rPr/>
            </w:pPr>
            <w:r>
              <w:rPr/>
              <w:t>​</w:t>
            </w:r>
          </w:p>
        </w:tc>
        <w:tc>
          <w:tcPr>
            <w:tcW w:w="244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9.60</w:t>
            </w:r>
          </w:p>
        </w:tc>
        <w:tc>
          <w:tcPr>
            <w:tcW w:w="109" w:type="dxa"/>
            <w:tcBorders/>
            <w:vAlign w:val="center"/>
          </w:tcPr>
          <w:p>
            <w:pPr>
              <w:pStyle w:val="TableContents"/>
              <w:bidi w:val="0"/>
              <w:spacing w:before="1" w:after="1"/>
              <w:ind w:left="0" w:right="0" w:hanging="0"/>
              <w:jc w:val="left"/>
              <w:rPr/>
            </w:pPr>
            <w:r>
              <w:rPr/>
              <w:t>​</w:t>
            </w:r>
          </w:p>
        </w:tc>
        <w:tc>
          <w:tcPr>
            <w:tcW w:w="522" w:type="dxa"/>
            <w:tcBorders/>
            <w:vAlign w:val="center"/>
          </w:tcPr>
          <w:p>
            <w:pPr>
              <w:pStyle w:val="TableContents"/>
              <w:bidi w:val="0"/>
              <w:spacing w:before="1" w:after="1"/>
              <w:ind w:left="0" w:right="0" w:hanging="0"/>
              <w:jc w:val="left"/>
              <w:rPr/>
            </w:pPr>
            <w:r>
              <w:rPr/>
              <w:t>​</w:t>
            </w:r>
          </w:p>
        </w:tc>
        <w:tc>
          <w:tcPr>
            <w:tcW w:w="1207" w:type="dxa"/>
            <w:tcBorders/>
            <w:vAlign w:val="center"/>
          </w:tcPr>
          <w:p>
            <w:pPr>
              <w:pStyle w:val="TableContents"/>
              <w:bidi w:val="0"/>
              <w:spacing w:before="1" w:after="1"/>
              <w:ind w:left="0" w:right="0" w:hanging="0"/>
              <w:jc w:val="right"/>
              <w:rPr/>
            </w:pPr>
            <w:r>
              <w:rPr/>
              <w:t>—</w:t>
            </w:r>
          </w:p>
        </w:tc>
      </w:tr>
      <w:tr>
        <w:trPr/>
        <w:tc>
          <w:tcPr>
            <w:tcW w:w="200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(25,976)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pPr>
            <w:r>
              <w:rPr/>
              <w:t>​</w:t>
            </w:r>
          </w:p>
        </w:tc>
        <w:tc>
          <w:tcPr>
            <w:tcW w:w="154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9" w:type="dxa"/>
            <w:tcBorders/>
            <w:shd w:fill="CCEEFF" w:val="clear"/>
            <w:vAlign w:val="center"/>
          </w:tcPr>
          <w:p>
            <w:pPr>
              <w:pStyle w:val="TableContents"/>
              <w:bidi w:val="0"/>
              <w:spacing w:before="1" w:after="1"/>
              <w:ind w:left="0" w:right="0" w:hanging="0"/>
              <w:jc w:val="left"/>
              <w:rPr/>
            </w:pPr>
            <w:r>
              <w:rPr/>
              <w:t>​</w:t>
            </w:r>
          </w:p>
        </w:tc>
        <w:tc>
          <w:tcPr>
            <w:tcW w:w="244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pPr>
            <w:r>
              <w:rPr/>
              <w:t>​</w:t>
            </w:r>
          </w:p>
        </w:tc>
        <w:tc>
          <w:tcPr>
            <w:tcW w:w="1207" w:type="dxa"/>
            <w:tcBorders/>
            <w:shd w:fill="CCEEFF" w:val="clear"/>
            <w:vAlign w:val="center"/>
          </w:tcPr>
          <w:p>
            <w:pPr>
              <w:pStyle w:val="TableContents"/>
              <w:bidi w:val="0"/>
              <w:spacing w:before="1" w:after="1"/>
              <w:ind w:left="0" w:right="0" w:hanging="0"/>
              <w:jc w:val="right"/>
              <w:rPr/>
            </w:pPr>
            <w:r>
              <w:rPr/>
              <w:t>—</w:t>
            </w:r>
          </w:p>
        </w:tc>
      </w:tr>
      <w:tr>
        <w:trPr/>
        <w:tc>
          <w:tcPr>
            <w:tcW w:w="2005"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vAlign w:val="center"/>
          </w:tcPr>
          <w:p>
            <w:pPr>
              <w:pStyle w:val="TableContents"/>
              <w:bidi w:val="0"/>
              <w:spacing w:before="1"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4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4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00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Balance at September 30, 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676,456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9" w:type="dxa"/>
            <w:tcBorders/>
            <w:shd w:fill="CCEEFF" w:val="clear"/>
            <w:vAlign w:val="center"/>
          </w:tcPr>
          <w:p>
            <w:pPr>
              <w:pStyle w:val="TableContents"/>
              <w:bidi w:val="0"/>
              <w:spacing w:before="1" w:after="1"/>
              <w:ind w:left="0" w:right="0" w:hanging="0"/>
              <w:jc w:val="left"/>
              <w:rPr/>
            </w:pPr>
            <w:r>
              <w:rPr/>
              <w:t>​</w:t>
            </w:r>
          </w:p>
        </w:tc>
        <w:tc>
          <w:tcPr>
            <w:tcW w:w="244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9.60</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shd w:fill="CCEEFF" w:val="clear"/>
            <w:vAlign w:val="center"/>
          </w:tcPr>
          <w:p>
            <w:pPr>
              <w:pStyle w:val="TableContents"/>
              <w:bidi w:val="0"/>
              <w:spacing w:before="1" w:after="1"/>
              <w:ind w:left="0" w:right="0" w:hanging="0"/>
              <w:jc w:val="right"/>
              <w:rPr/>
            </w:pPr>
            <w:r>
              <w:rPr/>
              <w:t>—</w:t>
            </w:r>
          </w:p>
        </w:tc>
      </w:tr>
      <w:tr>
        <w:trPr/>
        <w:tc>
          <w:tcPr>
            <w:tcW w:w="2005"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9" w:type="dxa"/>
            <w:tcBorders/>
            <w:vAlign w:val="center"/>
          </w:tcPr>
          <w:p>
            <w:pPr>
              <w:pStyle w:val="TableContents"/>
              <w:bidi w:val="0"/>
              <w:spacing w:before="1"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4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44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00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Exercisable at September 30,2023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676,456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4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44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9.60</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207"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permitted under ASC 718, the Company has an accounting policy to account for forfeitures when they occur.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 Issued as Compensation to Employees, Officers, and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2022, the Company issued 717,546 shares of Common Stock valued at $1,027,288 as compensation to its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nine months ended September 30, 2023, the Company issued 748,210 shares of Common Stock valued at $682,946 as compensation to its directors.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Beginning on December 31, 2023, the company will issue Common Stock to Directors as compensation for its services on the Board on a quarterly basis in arrears.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and Preferred Stock Issued as Payment for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issued an aggregate of 1,146,099 shares of Common Stock valued at $1,948,620 in connection with the acquisition of the assets of Drift during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9, 2022, the Company issued 7,116,564 shares of Common Stock valued at $11,600,000 for the acquisition of MCG. The Company also issued 29,160 shares of Common Stock valued at $47,531 following closing for a purchase price adjustment required by the MCG Merger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issued 1,450,381 shares of Common Stock valued at $1,900,000, of which 219,847 shares valued at $288,000 were placed in escrow, for the acquisition of Urban Dispensary.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11, 2023, the Company issued 2,884,615 shares of Common Stock valued at $3,150,000 for the acquisition of Smokey’s.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 2023, the Company issued 7,619,047 shares of Common Stock valued at $8,000,000 for the acquisition of Everest.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15, 2023, the Company issued 4,488,691 shares of Common Stock valued at $4,488,692 for the acquisition of Standing Akimbo.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Common Stock purchase warrants in accordance with ASC 480, </w:t>
      </w:r>
      <w:r>
        <w:rPr>
          <w:rFonts w:ascii="Times New Roman;Times;serif" w:hAnsi="Times New Roman;Times;serif"/>
          <w:i/>
          <w:sz w:val="20"/>
        </w:rPr>
        <w:t>Accounting for Derivative Financial Instruments Indexed to, and Potentially Settled in, a Company’s Own Stock, Distinguishing Liabilities from Equity</w:t>
      </w:r>
      <w:r>
        <w:rPr>
          <w:rFonts w:ascii="Times New Roman;Times;serif" w:hAnsi="Times New Roman;Times;serif"/>
          <w:sz w:val="20"/>
        </w:rPr>
        <w:t xml:space="preserve">. The Company estimates the fair value of warrants at date of grant using the Black-Scholes option pricing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36" w:name="Tc_aTlb2Em88EuQKUvzbijVpQ_6_4"/>
      <w:bookmarkStart w:id="1437" w:name="Tc_czPMO5D83Eal_bM9ySNNOg_6_0"/>
      <w:bookmarkStart w:id="1438" w:name="Tc_ggsWx4AmW02EQSCYvFVBfA_5_7"/>
      <w:bookmarkStart w:id="1439" w:name="Tc_SkOf0p2Jx0eETZLzZL3Jfw_5_5"/>
      <w:bookmarkStart w:id="1440" w:name="Tc_aD7YbGj8XEOZTpH3Arx8cA_5_2"/>
      <w:bookmarkStart w:id="1441" w:name="Tc_IuKM1XqceECjAfBSdljlOA_5_0"/>
      <w:bookmarkStart w:id="1442" w:name="Tc_WejN6NiT70eRB2JgUgiPxQ_4_7"/>
      <w:bookmarkStart w:id="1443" w:name="Tc_Ua3YICiNQkqXn3sS5K_OZg_4_5"/>
      <w:bookmarkStart w:id="1444" w:name="Tc_2SgqJILDjk6r640w5Y7S7Q_4_0"/>
      <w:bookmarkStart w:id="1445" w:name="Tc_G1g57e-uT0yhUaOGp4fg0w_3_7"/>
      <w:bookmarkStart w:id="1446" w:name="Tc_pi9pQPOWxkyksj5Vev9mnw_3_5"/>
      <w:bookmarkStart w:id="1447" w:name="Tc_bjeP1i95GUiMPFBUMgbrlA_3_2"/>
      <w:bookmarkStart w:id="1448" w:name="Tc_6wPBXLCT1EOUq1BgQTmwaw_3_0"/>
      <w:bookmarkStart w:id="1449" w:name="Tc_c9ngh_390E2jUOqR4VkDzg_2_4"/>
      <w:bookmarkStart w:id="1450" w:name="Tc_Tef4c6DMzU-Nhle8yhdSPw_2_0"/>
      <w:bookmarkStart w:id="1451" w:name="Tc_PcRR_MN8LUCNDyp4wLVpqQ_1_7"/>
      <w:bookmarkStart w:id="1452" w:name="Tc_0QLVP4IbWEq2z4gGuTIUdA_1_5"/>
      <w:bookmarkStart w:id="1453" w:name="Tc_7IycEv9zm0eFtSVat0kUHw_1_2"/>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sz w:val="20"/>
        </w:rPr>
        <w:t>There is a moderate degree of subjectivity involved when using option pricing models to estimate the warrants, and the assumptions used in the Black Scholes option-pricing model are moderately judgmental.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2021, the Company issued warrants to purchase an aggregate of 5,531,250 shares of Common Stock as consideration for the Star Buds Acquisition. These warrants have an exercise price of $1.20 per share and expiration dates five years from the dates of issuance. In addition, the Company issued a warrant to purchase an aggregate of 1,500,000 shares of Common Stock to Altmore in connection with entering into a loan agreement. This warrant has an exercise price of $2.50 per share and expires five years from the date of issuance. The Company estimated the fair value of these warrants at date of grant using the Black-Scholes option pricing model using the following inputs: (i) stock price on the date of grant of $1.20 and $2.50, respectively, (ii) the contractual term of the warrant of five years, (iii) a risk-free interest rate ranging between 0.21% - 1.84% and (iv) an expected volatility of the price of the underlying Common Stock ranging between 157.60% - 194.56%. No new warrants were issued as of September 30,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reflects the change in Common Stock purchase warrants for the period ended September 30, 2023: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87"/>
        <w:gridCol w:w="326"/>
        <w:gridCol w:w="1879"/>
        <w:gridCol w:w="146"/>
        <w:gridCol w:w="196"/>
        <w:gridCol w:w="2167"/>
        <w:gridCol w:w="109"/>
        <w:gridCol w:w="3095"/>
      </w:tblGrid>
      <w:tr>
        <w:trPr/>
        <w:tc>
          <w:tcPr>
            <w:tcW w:w="2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52245" cy="175260"/>
                      <wp:effectExtent l="0" t="0" r="0" b="0"/>
                      <wp:wrapNone/>
                      <wp:docPr id="227" name="Frame227"/>
                      <a:graphic xmlns:a="http://schemas.openxmlformats.org/drawingml/2006/main">
                        <a:graphicData uri="http://schemas.microsoft.com/office/word/2010/wordprocessingShape">
                          <wps:wsp>
                            <wps:cNvSpPr txBox="1"/>
                            <wps:spPr>
                              <a:xfrm>
                                <a:off x="0" y="0"/>
                                <a:ext cx="145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193165" cy="175260"/>
                      <wp:effectExtent l="0" t="0" r="0" b="0"/>
                      <wp:wrapNone/>
                      <wp:docPr id="229" name="Frame229"/>
                      <a:graphic xmlns:a="http://schemas.openxmlformats.org/drawingml/2006/main">
                        <a:graphicData uri="http://schemas.microsoft.com/office/word/2010/wordprocessingShape">
                          <wps:wsp>
                            <wps:cNvSpPr txBox="1"/>
                            <wps:spPr>
                              <a:xfrm>
                                <a:off x="0" y="0"/>
                                <a:ext cx="1193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92710" cy="175260"/>
                      <wp:effectExtent l="0" t="0" r="0" b="0"/>
                      <wp:wrapNone/>
                      <wp:docPr id="230" name="Frame2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4460" cy="175260"/>
                      <wp:effectExtent l="0" t="0" r="0" b="0"/>
                      <wp:wrapNone/>
                      <wp:docPr id="231" name="Frame2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76045" cy="175260"/>
                      <wp:effectExtent l="0" t="0" r="0" b="0"/>
                      <wp:wrapNone/>
                      <wp:docPr id="232" name="Frame232"/>
                      <a:graphic xmlns:a="http://schemas.openxmlformats.org/drawingml/2006/main">
                        <a:graphicData uri="http://schemas.microsoft.com/office/word/2010/wordprocessingShape">
                          <wps:wsp>
                            <wps:cNvSpPr txBox="1"/>
                            <wps:spPr>
                              <a:xfrm>
                                <a:off x="0" y="0"/>
                                <a:ext cx="1376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965325" cy="175260"/>
                      <wp:effectExtent l="0" t="0" r="0" b="0"/>
                      <wp:wrapNone/>
                      <wp:docPr id="234" name="Frame234"/>
                      <a:graphic xmlns:a="http://schemas.openxmlformats.org/drawingml/2006/main">
                        <a:graphicData uri="http://schemas.microsoft.com/office/word/2010/wordprocessingShape">
                          <wps:wsp>
                            <wps:cNvSpPr txBox="1"/>
                            <wps:spPr>
                              <a:xfrm>
                                <a:off x="0" y="0"/>
                                <a:ext cx="196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 Classified Warrants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2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Exercise Price</w:t>
            </w:r>
          </w:p>
        </w:tc>
        <w:tc>
          <w:tcPr>
            <w:tcW w:w="109" w:type="dxa"/>
            <w:tcBorders/>
            <w:vAlign w:val="center"/>
          </w:tcPr>
          <w:p>
            <w:pPr>
              <w:pStyle w:val="TableContents"/>
              <w:bidi w:val="0"/>
              <w:spacing w:before="0" w:after="0"/>
              <w:ind w:left="0" w:right="0" w:hanging="0"/>
              <w:jc w:val="center"/>
              <w:rPr/>
            </w:pPr>
            <w:r>
              <w:rPr/>
              <w:t>​</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Remaining Contractual Life</w:t>
            </w:r>
          </w:p>
        </w:tc>
      </w:tr>
      <w:tr>
        <w:trPr/>
        <w:tc>
          <w:tcPr>
            <w:tcW w:w="22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7,218,750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30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r>
      <w:tr>
        <w:trPr/>
        <w:tc>
          <w:tcPr>
            <w:tcW w:w="228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exercised</w:t>
            </w:r>
          </w:p>
        </w:tc>
        <w:tc>
          <w:tcPr>
            <w:tcW w:w="326" w:type="dxa"/>
            <w:tcBorders/>
            <w:vAlign w:val="center"/>
          </w:tcPr>
          <w:p>
            <w:pPr>
              <w:pStyle w:val="TableContents"/>
              <w:bidi w:val="0"/>
              <w:spacing w:before="0" w:after="0"/>
              <w:ind w:left="0" w:right="0" w:hanging="0"/>
              <w:jc w:val="left"/>
              <w:rPr/>
            </w:pPr>
            <w:r>
              <w:rPr/>
              <w:t> </w:t>
            </w:r>
          </w:p>
        </w:tc>
        <w:tc>
          <w:tcPr>
            <w:tcW w:w="187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1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95" w:type="dxa"/>
            <w:tcBorders/>
            <w:vAlign w:val="center"/>
          </w:tcPr>
          <w:p>
            <w:pPr>
              <w:pStyle w:val="TableContents"/>
              <w:bidi w:val="0"/>
              <w:spacing w:before="0" w:after="0"/>
              <w:ind w:left="0" w:right="0" w:hanging="0"/>
              <w:jc w:val="right"/>
              <w:rPr/>
            </w:pPr>
            <w:r>
              <w:rPr/>
              <w:t>—</w:t>
            </w:r>
          </w:p>
        </w:tc>
      </w:tr>
      <w:tr>
        <w:trPr/>
        <w:tc>
          <w:tcPr>
            <w:tcW w:w="22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forfeited/expired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8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(187,500)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21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95" w:type="dxa"/>
            <w:tcBorders/>
            <w:shd w:fill="CCEEFF" w:val="clear"/>
            <w:vAlign w:val="center"/>
          </w:tcPr>
          <w:p>
            <w:pPr>
              <w:pStyle w:val="TableContents"/>
              <w:bidi w:val="0"/>
              <w:spacing w:before="0" w:after="0"/>
              <w:ind w:left="0" w:right="0" w:hanging="0"/>
              <w:jc w:val="right"/>
              <w:rPr/>
            </w:pPr>
            <w:r>
              <w:rPr/>
              <w:t>—</w:t>
            </w:r>
          </w:p>
        </w:tc>
      </w:tr>
      <w:tr>
        <w:trPr/>
        <w:tc>
          <w:tcPr>
            <w:tcW w:w="228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issued</w:t>
            </w:r>
          </w:p>
        </w:tc>
        <w:tc>
          <w:tcPr>
            <w:tcW w:w="326" w:type="dxa"/>
            <w:tcBorders/>
            <w:vAlign w:val="center"/>
          </w:tcPr>
          <w:p>
            <w:pPr>
              <w:pStyle w:val="TableContents"/>
              <w:bidi w:val="0"/>
              <w:spacing w:before="0" w:after="0"/>
              <w:ind w:left="0" w:right="0" w:hanging="0"/>
              <w:jc w:val="left"/>
              <w:rPr/>
            </w:pPr>
            <w:r>
              <w:rPr/>
              <w:t> </w:t>
            </w:r>
          </w:p>
        </w:tc>
        <w:tc>
          <w:tcPr>
            <w:tcW w:w="18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1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7,031,250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30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2.37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Earnings per share (Basic and Dilutive)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computes net income (loss) per share in accordance with ASC 260, Earnings per Share. ASC 260 requires presentation of both basic and diluted Earnings Per Share (“EPS”) on the face of the income statement. Basic EPS is computed by dividing net income (loss) available to Common Stockholders (numerator) by the weighted average number of shares outstanding (denominator) during the period. Diluted EPS gives effect to all dilutive potential common shares outstanding during the period using the treasury stock method and convertible preferred stock using the if-converted method. In computing diluted EPS, the average stock price for the period is used in determining the number of shares assumed to be purchased from the exercise of stock options or warrants. Diluted EPS excludes all dilutive potential shares if their effect is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54" w:name="Tc_U4M74zsCfk6ybKJopUbqyA_29_11"/>
      <w:bookmarkStart w:id="1455" w:name="Tc_gUoOW6_rtEm8r_oSBSY4-Q_29_8"/>
      <w:bookmarkStart w:id="1456" w:name="Tc_py7CCEoSJkiHFYBy260KhA_29_5"/>
      <w:bookmarkStart w:id="1457" w:name="Tc_wKZBNMgLbEKtCYtUT3D-Rw_29_2"/>
      <w:bookmarkStart w:id="1458" w:name="Tc_yOcrHSgz0UuSll15k6WeDw_29_0"/>
      <w:bookmarkStart w:id="1459" w:name="Tc_e9ktya-GWkClHeES6lOs2w_27_0"/>
      <w:bookmarkStart w:id="1460" w:name="Tc_p_sEVWDEFkiBK4rbqRzIKA_26_9"/>
      <w:bookmarkStart w:id="1461" w:name="Tc_0jcGaRl-70OoJPnzQOHtNw_26_3"/>
      <w:bookmarkStart w:id="1462" w:name="Tc_Cf0F11bn5kqhjc5d0eSjNg_26_0"/>
      <w:bookmarkStart w:id="1463" w:name="Tc_P234OAuMrUy95fVIrx3NBQ_25_9"/>
      <w:bookmarkStart w:id="1464" w:name="Tc_aqwFSpr90UaErkX87khIlg_25_3"/>
      <w:bookmarkStart w:id="1465" w:name="Tc_DDc976ib_EmJnf9AWV7vkg_25_0"/>
      <w:bookmarkStart w:id="1466" w:name="Tc_ZY49IYz2OUi0F1gXz_9q0w_24_9"/>
      <w:bookmarkStart w:id="1467" w:name="Tc_0vEboy-ulEOK_3PJacP1hA_24_3"/>
      <w:bookmarkStart w:id="1468" w:name="Tc_q3l41R1Nz0iUZKqNC9c5PQ_24_0"/>
      <w:bookmarkStart w:id="1469" w:name="Tc_oYtZlkcDB0Cra-a6tCwyFw_23_12"/>
      <w:bookmarkStart w:id="1470" w:name="Tc_NMQTWd8vxEWZhYkDcRJT8A_23_6"/>
      <w:bookmarkStart w:id="1471" w:name="Tc__Zb0EBDtLEuFBvFubnu87Q_23_0"/>
      <w:bookmarkStart w:id="1472" w:name="Tc_ANSaxJXWzki3N7REXkFsIw_22_0"/>
      <w:bookmarkStart w:id="1473" w:name="Tc_8ayjdDnd8UKmlFYXg01Rqw_21_0"/>
      <w:bookmarkStart w:id="1474" w:name="Tc_8pQidM9H_E6_sWQ5bgBRsg_19_11"/>
      <w:bookmarkStart w:id="1475" w:name="Tc_voncw1YmwE6sQQbVo2Gvwg_19_8"/>
      <w:bookmarkStart w:id="1476" w:name="Tc_9Tjm-8_i40S3w6OBjqijjw_19_5"/>
      <w:bookmarkStart w:id="1477" w:name="Tc_fBNgs6ZylE6rUaWhzuIuYw_19_2"/>
      <w:bookmarkStart w:id="1478" w:name="Tc_IDhD8Qz8I0-rXiJvQfw7tA_19_0"/>
      <w:bookmarkStart w:id="1479" w:name="Tc_WzvyHFqyKUKS8WTZ9lOhuw_18_12"/>
      <w:bookmarkStart w:id="1480" w:name="Tc_a_Atmoj3K0eepaJjkO29dg_18_6"/>
      <w:bookmarkStart w:id="1481" w:name="Tc_D-NZYQ_xSUWk5L7VDDsXGQ_18_0"/>
      <w:bookmarkStart w:id="1482" w:name="Tc_5UH9Tm6Bx0qBk4zfXM6ANg_17_12"/>
      <w:bookmarkStart w:id="1483" w:name="Tc_MtuCuJ3Qn0WnUWcgkZ1lrg_17_6"/>
      <w:bookmarkStart w:id="1484" w:name="Tc_09zawU358EaoSyaA2dCf7g_17_0"/>
      <w:bookmarkStart w:id="1485" w:name="Tc_7YnrExUoiEK3ES0DJLYuBQ_16_12"/>
      <w:bookmarkStart w:id="1486" w:name="Tc_i406ACk1y0KkDqIL7azI2w_16_6"/>
      <w:bookmarkStart w:id="1487" w:name="Tc_r5YXbQHaokKEMM0zztF5pA_16_0"/>
      <w:bookmarkStart w:id="1488" w:name="Tc_yaQJWeSN5E6WgRCGVq980Q_15_0"/>
      <w:bookmarkStart w:id="1489" w:name="Tc_m_028vzUL0-d3YPDkEvMWA_14_0"/>
      <w:bookmarkStart w:id="1490" w:name="Tc_huepD7IPCU6enYOk9Ww-Zw_12_11"/>
      <w:bookmarkStart w:id="1491" w:name="Tc_PpyI3cVs40ySbusxMFkZuw_12_8"/>
      <w:bookmarkStart w:id="1492" w:name="Tc_n34UHYZWzka3cchOYdaetg_12_5"/>
      <w:bookmarkStart w:id="1493" w:name="Tc_k1P-A2ibFUe7s844HNMRwA_12_2"/>
      <w:bookmarkStart w:id="1494" w:name="Tc_xVKcOZmt40yTMOoUrpSOEg_12_0"/>
      <w:bookmarkStart w:id="1495" w:name="Tc_fforhBKLVUOaLQhbGQnJEw_10_0"/>
      <w:bookmarkStart w:id="1496" w:name="Tc_3i4mmL5pV0-9cUCl4mvJ8w_9_0"/>
      <w:bookmarkStart w:id="1497" w:name="Tc_G_AE2kPzS0GXT6ybcpDmVw_7_11"/>
      <w:bookmarkStart w:id="1498" w:name="Tc_3bDLtfSTAkasjPK_wabSbA_7_8"/>
      <w:bookmarkStart w:id="1499" w:name="Tc__BaCCMKsOECUIZAqh4LP8w_7_5"/>
      <w:bookmarkStart w:id="1500" w:name="Tc_dtwxImfqBkGWTakilNk9FA_7_2"/>
      <w:bookmarkStart w:id="1501" w:name="Tc_lEUz2fKIkkiuW3jYZtzJYA_7_0"/>
      <w:bookmarkStart w:id="1502" w:name="Tc_uYFNjcb5eUG7pQj_VEtniw_6_0"/>
      <w:bookmarkStart w:id="1503" w:name="Tc_L5uW2c5OD0aOSsdO-yHGeg_5_11"/>
      <w:bookmarkStart w:id="1504" w:name="Tc_LElWwwWsikOSFryUmBVGGg_5_8"/>
      <w:bookmarkStart w:id="1505" w:name="Tc_-c3txDU-zk6WCwgRtGMCGQ_5_5"/>
      <w:bookmarkStart w:id="1506" w:name="Tc_E2FhQxhvuUKTTeaWCj67Pw_5_2"/>
      <w:bookmarkStart w:id="1507" w:name="Tc_4ljliHUvgkGDiRQvFuUeUg_5_0"/>
      <w:bookmarkStart w:id="1508" w:name="Tc_NBwl-fhmE0WkkXKCPlbniQ_4_0"/>
      <w:bookmarkStart w:id="1509" w:name="Tc_f4e0eggdrUqyWgfSzdE-dg_3_11"/>
      <w:bookmarkStart w:id="1510" w:name="Tc_VYs1CEimFEqcJSXGiw2DzQ_3_8"/>
      <w:bookmarkStart w:id="1511" w:name="Tc_yQG_YC1930STt0ApWZbNUA_3_5"/>
      <w:bookmarkStart w:id="1512" w:name="Tc_NNV22CWbo0Gd52Rlq8XLbw_3_2"/>
      <w:bookmarkStart w:id="1513" w:name="Tc_fQEpyhM9xU2aKmrk1bIiQA_2_8"/>
      <w:bookmarkStart w:id="1514" w:name="Tc_BXN2nkA2MUGlwpNGouWOnQ_2_2"/>
      <w:bookmarkStart w:id="1515" w:name="Tc_LSQR8_JMuEywMVASQzARJw_1_8"/>
      <w:bookmarkStart w:id="1516" w:name="Tc_Ty58mnDaCEKxezw5-Pryrg_1_2"/>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ascii="Times New Roman;Times;serif" w:hAnsi="Times New Roman;Times;serif"/>
          <w:sz w:val="20"/>
        </w:rPr>
        <w:t>The following is a reconciliation of the numerator and denominator used in the basic and diluted EPS calculations for the three and nine months ended September 30, 2023 and 2022.</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01"/>
        <w:gridCol w:w="326"/>
        <w:gridCol w:w="196"/>
        <w:gridCol w:w="1006"/>
        <w:gridCol w:w="326"/>
        <w:gridCol w:w="196"/>
        <w:gridCol w:w="1006"/>
        <w:gridCol w:w="326"/>
        <w:gridCol w:w="196"/>
        <w:gridCol w:w="1026"/>
        <w:gridCol w:w="326"/>
        <w:gridCol w:w="196"/>
        <w:gridCol w:w="1006"/>
        <w:gridCol w:w="372"/>
      </w:tblGrid>
      <w:tr>
        <w:trPr/>
        <w:tc>
          <w:tcPr>
            <w:tcW w:w="3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50135" cy="175260"/>
                      <wp:effectExtent l="0" t="0" r="0" b="0"/>
                      <wp:wrapNone/>
                      <wp:docPr id="235" name="Frame235"/>
                      <a:graphic xmlns:a="http://schemas.openxmlformats.org/drawingml/2006/main">
                        <a:graphicData uri="http://schemas.microsoft.com/office/word/2010/wordprocessingShape">
                          <wps:wsp>
                            <wps:cNvSpPr txBox="1"/>
                            <wps:spPr>
                              <a:xfrm>
                                <a:off x="0" y="0"/>
                                <a:ext cx="235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7" name="Frame2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38810" cy="175260"/>
                      <wp:effectExtent l="0" t="0" r="0" b="0"/>
                      <wp:wrapNone/>
                      <wp:docPr id="238" name="Frame23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40"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38810" cy="175260"/>
                      <wp:effectExtent l="0" t="0" r="0" b="0"/>
                      <wp:wrapNone/>
                      <wp:docPr id="241" name="Frame24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243"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51510" cy="175260"/>
                      <wp:effectExtent l="0" t="0" r="0" b="0"/>
                      <wp:wrapNone/>
                      <wp:docPr id="244" name="Frame244"/>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24460" cy="175260"/>
                      <wp:effectExtent l="0" t="0" r="0" b="0"/>
                      <wp:wrapNone/>
                      <wp:docPr id="246"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38810" cy="175260"/>
                      <wp:effectExtent l="0" t="0" r="0" b="0"/>
                      <wp:wrapNone/>
                      <wp:docPr id="247" name="Frame24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6220" cy="175260"/>
                      <wp:effectExtent l="0" t="0" r="0" b="0"/>
                      <wp:wrapNone/>
                      <wp:docPr id="248" name="Frame24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3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Three Months Ended </w:t>
            </w:r>
          </w:p>
        </w:tc>
        <w:tc>
          <w:tcPr>
            <w:tcW w:w="326" w:type="dxa"/>
            <w:tcBorders/>
            <w:vAlign w:val="center"/>
          </w:tcPr>
          <w:p>
            <w:pPr>
              <w:pStyle w:val="TableContents"/>
              <w:bidi w:val="0"/>
              <w:spacing w:before="0" w:after="0"/>
              <w:ind w:left="0" w:right="0" w:hanging="0"/>
              <w:jc w:val="center"/>
              <w:rPr/>
            </w:pPr>
            <w:r>
              <w:rPr/>
              <w:t>    </w:t>
            </w:r>
          </w:p>
        </w:tc>
        <w:tc>
          <w:tcPr>
            <w:tcW w:w="275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Nine Months Ended </w:t>
            </w:r>
          </w:p>
        </w:tc>
        <w:tc>
          <w:tcPr>
            <w:tcW w:w="372" w:type="dxa"/>
            <w:tcBorders/>
            <w:vAlign w:val="center"/>
          </w:tcPr>
          <w:p>
            <w:pPr>
              <w:pStyle w:val="TableContents"/>
              <w:bidi w:val="0"/>
              <w:spacing w:before="0" w:after="0"/>
              <w:ind w:left="0" w:right="0" w:hanging="0"/>
              <w:jc w:val="left"/>
              <w:rPr/>
            </w:pPr>
            <w:r>
              <w:rPr/>
              <w:t>    </w: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center"/>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w:t>
            </w:r>
          </w:p>
        </w:tc>
        <w:tc>
          <w:tcPr>
            <w:tcW w:w="12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72" w:type="dxa"/>
            <w:tcBorders/>
            <w:vAlign w:val="center"/>
          </w:tcPr>
          <w:p>
            <w:pPr>
              <w:pStyle w:val="TableContents"/>
              <w:bidi w:val="0"/>
              <w:spacing w:before="0" w:after="0"/>
              <w:ind w:left="0" w:right="0" w:hanging="0"/>
              <w:jc w:val="left"/>
              <w:rPr/>
            </w:pPr>
            <w:r>
              <w:rPr/>
              <w:t>    </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Numerator: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1,809,237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(5,184,664)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8,871,518</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preferred stock dividends for the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(1,547,369)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(1,784,113)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(5,930,646)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(5,294,132)</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(1,869,831)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(11,115,310)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3,577,386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87,202,537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51,232,943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78,635,841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50,615,437</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(loss) per share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Numerator: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(1,869,831)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(11,115,310)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3,577,386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Investor note accrued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421,511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1,264,537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Investor note amortized debt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2,181,265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6,269,584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Loss on derivative liability related to investor note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(4,516,237)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(14,486,005)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 – dilutive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(3,783,292)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(18,067,194)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3,577,386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87,202,537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51,232,943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78,635,841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50,615,437</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investor notes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45,853,728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48,953,526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warrants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2,229,011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2,229,011</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1,187,124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1,187,124</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preferred stock</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83,305,454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83,305,454</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weighted-average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133,056,265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137,954,531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127,589,367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137,337,027</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37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7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by dividing reported net loss attributable to common stockholders by the weighted average number of common shares outstanding for the reported period. Note that for purposes of basic earnings (loss) per share calculation, shares of preferred stock, warrants, options, and restricted stock units are excluded from the calculation for the three and nine months ended September 30, 2023 and 2022, as the inclusion of the common share equivalents would be anti-dilutive.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17" w:name="Tc_F8nw9C9pbUu_CuYKJlEE2g_5_0"/>
      <w:bookmarkStart w:id="1518" w:name="Tc_vuD6ja5epUC-1oQb9aI2Dw_4_0"/>
      <w:bookmarkStart w:id="1519" w:name="Tc_rVKLGY5ZgUeNTJOrNxcffA_3_5"/>
      <w:bookmarkStart w:id="1520" w:name="Tc_nV6YFaxBQEe7xYmvOKjGAg_3_2"/>
      <w:bookmarkStart w:id="1521" w:name="Tc_54kxygsSmkWobhh7yS_yKg_3_0"/>
      <w:bookmarkStart w:id="1522" w:name="Tc_bT3jHHoJxU2x91JQPi5_Aw_2_5"/>
      <w:bookmarkStart w:id="1523" w:name="Tc_oQIzqhocoEChacNms3AJbg_2_2"/>
      <w:bookmarkStart w:id="1524" w:name="Tc_ysq5J-gbdkmhIJF1khbC7g_1_2"/>
      <w:bookmarkStart w:id="1525" w:name="_6e2bfa2f_c4ac_40c8_af78_4f01c2843f8f"/>
      <w:bookmarkStart w:id="1526" w:name="Tc_vTld026A0EW8lr4qZ3xDEg_5_0"/>
      <w:bookmarkStart w:id="1527" w:name="Tc_MuyPaq76fEWpDfC2_0L5rw_4_0"/>
      <w:bookmarkStart w:id="1528" w:name="Tc_kCWixUgXqE-XfqbljoeEbw_3_5"/>
      <w:bookmarkStart w:id="1529" w:name="Tc_P0iWoinQxkee4Zs0ON0FbQ_3_2"/>
      <w:bookmarkStart w:id="1530" w:name="Tc_sujzngNFRUi5OtWM17CQKg_3_0"/>
      <w:bookmarkStart w:id="1531" w:name="Tc_2w2GR_ZEbkuFPX6k1ObuLA_2_5"/>
      <w:bookmarkStart w:id="1532" w:name="Tc_owLi0K68L0K8nMmDDSVzHg_2_2"/>
      <w:bookmarkStart w:id="1533" w:name="Tc_zZQDFQNHwEqr8BGxiARgZA_1_2"/>
      <w:bookmarkStart w:id="1534" w:name="_24031537_89df_42e4_b208_66ecc8fa3d54"/>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r>
        <w:rPr>
          <w:rFonts w:ascii="Times New Roman;Times;serif" w:hAnsi="Times New Roman;Times;serif"/>
          <w:b/>
          <w:i w:val="false"/>
          <w:caps w:val="false"/>
          <w:smallCaps w:val="false"/>
          <w:sz w:val="20"/>
        </w:rPr>
        <w:t>15.</w:t>
      </w:r>
      <w:r>
        <w:rPr>
          <w:rFonts w:ascii="Times New Roman;Times;serif" w:hAnsi="Times New Roman;Times;serif"/>
          <w:b/>
          <w:sz w:val="20"/>
        </w:rPr>
        <w:t>Tax Provision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income tax expense and effective tax rates for three and nine months ended September 30, 2023 and September 30, 2022:</w:t>
      </w:r>
    </w:p>
    <w:p>
      <w:pPr>
        <w:pStyle w:val="TextBody"/>
        <w:bidi w:val="0"/>
        <w:spacing w:before="0" w:after="240"/>
        <w:ind w:left="0" w:right="0" w:hanging="0"/>
        <w:jc w:val="both"/>
        <w:rPr/>
      </w:pPr>
      <w:r>
        <w:rPr/>
        <w:t>​</w:t>
      </w:r>
    </w:p>
    <w:tbl>
      <w:tblPr>
        <w:tblW w:w="5485" w:type="dxa"/>
        <w:jc w:val="left"/>
        <w:tblInd w:w="0" w:type="dxa"/>
        <w:tblLayout w:type="fixed"/>
        <w:tblCellMar>
          <w:top w:w="0" w:type="dxa"/>
          <w:left w:w="0" w:type="dxa"/>
          <w:bottom w:w="0" w:type="dxa"/>
          <w:right w:w="0" w:type="dxa"/>
        </w:tblCellMar>
      </w:tblPr>
      <w:tblGrid>
        <w:gridCol w:w="2386"/>
        <w:gridCol w:w="326"/>
        <w:gridCol w:w="220"/>
        <w:gridCol w:w="973"/>
        <w:gridCol w:w="340"/>
        <w:gridCol w:w="220"/>
        <w:gridCol w:w="1020"/>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15110" cy="175260"/>
                      <wp:effectExtent l="0" t="0" r="0" b="0"/>
                      <wp:wrapNone/>
                      <wp:docPr id="249" name="Frame24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9700" cy="175260"/>
                      <wp:effectExtent l="0" t="0" r="0" b="0"/>
                      <wp:wrapNone/>
                      <wp:docPr id="251" name="Frame25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17855" cy="175260"/>
                      <wp:effectExtent l="0" t="0" r="0" b="0"/>
                      <wp:wrapNone/>
                      <wp:docPr id="252" name="Frame252"/>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5900" cy="175260"/>
                      <wp:effectExtent l="0" t="0" r="0" b="0"/>
                      <wp:wrapNone/>
                      <wp:docPr id="253" name="Frame25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9700" cy="175260"/>
                      <wp:effectExtent l="0" t="0" r="0" b="0"/>
                      <wp:wrapNone/>
                      <wp:docPr id="254" name="Frame2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7700" cy="175260"/>
                      <wp:effectExtent l="0" t="0" r="0" b="0"/>
                      <wp:wrapNone/>
                      <wp:docPr id="255" name="Frame255"/>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vAlign w:val="center"/>
          </w:tcPr>
          <w:p>
            <w:pPr>
              <w:pStyle w:val="TableContents"/>
              <w:bidi w:val="0"/>
              <w:spacing w:before="0" w:after="1"/>
              <w:ind w:left="0" w:right="0" w:hanging="0"/>
              <w:jc w:val="center"/>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5,119,347</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7,402,750</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5,441,809</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5,593,513</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106.30%</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75.56%</w:t>
            </w:r>
          </w:p>
        </w:tc>
      </w:tr>
    </w:tbl>
    <w:p>
      <w:pPr>
        <w:pStyle w:val="TextBody"/>
        <w:bidi w:val="0"/>
        <w:spacing w:before="0" w:after="240"/>
        <w:ind w:left="0" w:right="0" w:hanging="0"/>
        <w:jc w:val="both"/>
        <w:rPr/>
      </w:pPr>
      <w:r>
        <w:rPr/>
        <w:t>​</w:t>
      </w:r>
    </w:p>
    <w:tbl>
      <w:tblPr>
        <w:tblW w:w="5577" w:type="dxa"/>
        <w:jc w:val="left"/>
        <w:tblInd w:w="0" w:type="dxa"/>
        <w:tblLayout w:type="fixed"/>
        <w:tblCellMar>
          <w:top w:w="0" w:type="dxa"/>
          <w:left w:w="0" w:type="dxa"/>
          <w:bottom w:w="0" w:type="dxa"/>
          <w:right w:w="0" w:type="dxa"/>
        </w:tblCellMar>
      </w:tblPr>
      <w:tblGrid>
        <w:gridCol w:w="2386"/>
        <w:gridCol w:w="326"/>
        <w:gridCol w:w="211"/>
        <w:gridCol w:w="1036"/>
        <w:gridCol w:w="326"/>
        <w:gridCol w:w="211"/>
        <w:gridCol w:w="108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15110" cy="175260"/>
                      <wp:effectExtent l="0" t="0" r="0" b="0"/>
                      <wp:wrapNone/>
                      <wp:docPr id="256" name="Frame25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57860" cy="175260"/>
                      <wp:effectExtent l="0" t="0" r="0" b="0"/>
                      <wp:wrapNone/>
                      <wp:docPr id="259" name="Frame25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86435" cy="175260"/>
                      <wp:effectExtent l="0" t="0" r="0" b="0"/>
                      <wp:wrapNone/>
                      <wp:docPr id="262" name="Frame26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10,061,882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20,130,887</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15,246,546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11,259,369</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55.93%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Due to its cannabis operations, the Company is subject to the limitations of IRC Section 280E under which the Company is only allowed to deduct expenses directly related to sales of product. This results in permanent differences between ordinary and necessary business expenses deemed non-allowable under IRC Section 280E.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effective tax rate for the three months and nine months ended September 30, 2023 varies from the three months and nine months ended September 30, 2022 primarily due to the change in nondeductible expenses as a proportion of total expenses in the current year. The Company incurs expenses that are not deductible due to IRC Section 280E limitations which results in significant 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the deferred tax assets will not be realized. The Company’s valuation allowance represents the amount of tax benefits that are likely to not be realized. Management assesses the need for a valuation allowance each period and continues to have a full valuation allowance on its deferred tax assets as of September 30,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 few exceptions, the Company is no longer subject to income tax examinations by the U.S. federal, state, or local tax authorities for years before 2017.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Jonathan Berger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4, 2022, and June 14, 2022, the Company issued 40,463 shares of Common Stock valued at $70,001 and 22,728 shares of Common Stock valued at $35,001, respectively, to Mr. Berger as compensation for service on the Board. On June 24, 2022, the Company issued 19,085 shares of Common Stock valued at $25,001 to Mr. Berger as compensation for service as the Chair of the Audit Committee, Compensation Committee, and Nominating and Corporate Governance Committee of the Board. On September 22, 2022, the Company issued 102,355 shares of Common Stock valued at $100,000 to Mr. Berger as compensation for service as Lead Independent Director of the Board.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5, 2023, the Company issued 50,971 shares of Common Stock valued at $52,500 to Mr. Berger as compensation for services on the Board. On May 3, 2023, the Company issued 12,136 shares of Common Stock valued at $12,500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Mr. Berger as compensation for services as the Chair of the Audit Committee, Compensation Committee, and Nominating and Corporate Governance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40,900 shares of Common Stock valued at $32,311 to Mr. Berger as compensation for services on the Board and Audit Committee, and, for the period from July 1, 2023 to August 2, 2023, for services as Chair of the Compensation Committee, and Nominating and Corporate Governance Committee of the Board.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Jeffrey Cozad and Entities Affiliated with Jeffrey Cozad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a Securities Purchase Agreement (the “CRW SPA”) with CRW pursuant to which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On the same date,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 to common 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the final monitoring fee of $25,000 during 2022 and $0 monitoring fees during 2023. On March 14, 2021, the Board appointed Jeffrey A. Cozad as a director to fill a vacancy on the Board. Mr. Cozad is a co-manager and owns 50% of CRW Capital, LLC, and he shares voting and disposition power over the shares of Series A Preferred Stock held by CRW with Mr. Rubin. Mr. Cozad and his family members indirectly own membership interests in CRW.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Cozad Investments, L.P. pursuant to which the Company issued an Investor Note in the aggregate principal amount of $250,000 to Cozad Investments, L.P. for $245,000 in cash. The Investor Note bears interest at 13% per year payable quarterly commencing March 31, 2022 in cash for an amount equal to the amount payable on such date as if the Investor Note was subject to an annual interest rate of 9% with the remainder of the accrued interest payable as an increase to the principal amount of the Note. Mr. Cozad is the majority owner of Cozad Investments, L.P, and a member of the Board.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4, 2022, and June 14, 2022, the Company issued 40,463 shares of Common Stock valued at $70,001 and 22,728 shares of Common Stock valued at $35,001, respectively, to Mr. Cozad as compensation for service on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Cozad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34,253 shares of Common Stock valued at $27,060 to Mr. Cozad as compensation for service on the Board and, for the period from August 2, 2023 to September 30, 2023, for services as the Chair of the Nominating and Corporate Governance Committee of the Board.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Transactions with Justin Dye and Entities Affiliated with Justin Dye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participated in several transactions involving Dye Capital, Dye Capital Cann Holdings, LLC (“Dye Cann I”), Dye Capital Cann Holdings II, LLC (“Dye Cann II”), and Dye Capital LLLP (“Dye LLLP”). Justin Dye, the Company’s former Chief Executive Officer, current Chairman of the Board, and one of the largest beneficial owners of Common Stock and Preferred Stock, controls Dye LLLP and Dye Capital, and Dye Capital controls Dye Cann I and Dye Cann II. Dye Cann I is the largest holder of the Company’s outstanding Common Stock. Dye Cann II is a significant holder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our Preferred Stock. Mr. Dye has sole voting and dispositive power over the securities held by Dye Capital, Dye Cann I, and Dye Cann II.</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entered into a Securities Purchase Agreement with Dye Cann I on June 5, 2019, (as amended, the “Dye Cann I SPA”) pursuant to which the Company agreed to sell to Dye Cann I up to between 8,187,500 and 10,687,500 shares of Common Stock in several tranches at $2.00 per share and warrants to purchase 100% of the number of shares of Common Stock sold at a purchase price of $3.50 per share. At the initial closing on June 5, 2019, the Company sold to Dye Cann I 1,500,000 shares of Common Stock and warrants to purchase 1,500,000 shares of Common Stock for gross proceeds of $3,000,000, and the Company has consummated subsequent closings for an aggregate of 9,287,500 shares of Common Stock and warrants to purchase 9,287,500 shares of Common Stock for aggregate gross proceeds of $18,575,000 to the Company. The Company and Dye Cann I entered into a first amendment to the Dye Cann I SPA on July 15, 2019, a second amendment to the Dye Cann I SPA on May 20, 2020, and a Consent, Waiver and Amendment on December 16, 2020. At the time of the initial closing under the Dye Cann I SPA, Justin Dye became a director and the Company’s Chief Executive Officer.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Dye Cann I certain demand and piggyback registration rights with respect to the shares of Common Stock sold under the Dye Cann I SPA and issuable upon exercise of the warrants sold under the Dye Cann I SPA. The Company also granted Dye Cann I the right to designate one or two individuals for election or appointment to the Company’s board of directors (the “Board”) and Board observer rights. Further, under the Dye Cann I SPA, until June 5, 2022, if the Company desires to pursue debt or equity financing, the Company must first give Dye Cann I an opportunity to provide a proposal to the Company with the terms upon which Dye Cann I would be willing to provide or secure such financing. If the Company does not accept Dye Cann I’s proposal, the Company may pursue such debt or equity financing from other sources but Dye Cann I has a right to participate in such financing to the extent required to enable Dye Cann I to maintain the percentage of Common Stock (on a fully-diluted basis) that it then owns, in the case of equity securities, or, in the case of debt, a pro rata portion of such debt based on the percentage of Common Stock (on a fully-diluted basis) that it then owns. The warrants granted to Dye Cann I pursuant to the Dye Cann I SPA expired on June 5,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 Securities Purchase Agreement (as amended, the “Dye Cann II SPA”) with Dye Cann II on November 16, 2020, pursuant to which the Company agreed to sell to Dye Cann II shares of Preferred Stock in one or more tranches at a price of $1,000 per share. The Company and Dye Cann II entered into an amendment to the Dye Cann II SPA on December 16, 2020, a second amendment to the Dye Cann II SPA on February 3, 2021, and a third amendment to the Dye Cann II SPA on March 30, 2021. The Company issued and sold to Dye Cann II 7,700 shares of Preferred Stock on December 16, 2020, 1,450 shares of Preferred Stock on December 18, 2020, 1,300 shares of Series Preferred Stock on December 22, 2020, 3,100 shares of Preferred Stock on February 3, 2021, 1,300 shares of Preferred Stock on February 25, 2021, 2,500 shares of Preferred Stock on March 2, 2021 and 4,000 shares of Preferred Stock on March 30, 2021. As a result, the Company issued and sold an aggregate of 21,350 shares of Preferred Stock to Dye Cann II for aggregate gross proceeds of $21,350,000.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Dye Cann II certain demand and piggyback registration rights with respect to the shares of Common Stock issuable upon conversion of the Preferred Stock under the Dye Cann II SPA. Further, the Company granted Dye Can II the right to designate one or more individuals for election or appointment to the Board and Board observer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2020, the Company entered into a Secured Convertible Note Purchase Agreement with Dye Capital and issued and sold to Dye Capital a Convertible Note and Security Agreement in the principal amount of $5,000,000. On February 26, 2021, Dye Capital elected to convert the $5,000,000 principal amount and the $60,250 of accrued but unpaid interest under the Convertible Promissory Note and Security Agreement under its terms and Dye Capital and the Company entered into a Conversion Notice and Agreement pursuant to which the Company issued 5,060 shares of Preferred Stock to Dye Capital and also paid Dye Capital $230.97 in cash in lieu of issuing any fractional shares of Series Preferred Stock upon conversion.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27, 2023, the Company entered into an agreement with Mr. Dye to provide for the compensation of Mr. Dye as the Chairman of the Board (the “Chair Agreement”). The Chair Agreement provides that Mr. Dye will be entitled to annual compensation in the amount of $300,000, payable quarterly in accordance with the Company’s director compensation policy and schedule. Mr. Dye may, at his option, take payment in cash, common stock, or restricted stock units. The next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 is scheduled to occur on or around December 31, 2023. The Chair Agreement also contains a termination fee of $350,000, payable in cash, for which the Company will be liable in the event Mr. Dye is terminated as Chair of the Board other than for Cause (as defined in the Chair Agreement) on or before May 27, 2024. Pursuant to the Chair Agreement, the Company also accelerated the last vesting period of Mr. Dye’s outstanding stock option award granted in December 2019, and Mr. Dye has 2,000,000 stock option awards vested and outstanding as of September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2023, Dye Capital LLLP, an entity owned by Mr. Dye, indirectly provided a loan in the amount of approximately $2.3 million to Lakewood Wadsworth Partners, LLC (“Lakewood Landlord”) to acquire property in the Lakewood neighborhood of Denver, Colorado for the purpose of leasing such property to the Company. The Company is obligated to make monthly rental payments of $22,649 for the first five years of the lease term to Lakewood Landlord, and such rental payments will be used to pay down the loan. Rental payments pursuant to this lease commence in the third quarter of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acquires certain advertising and marketing services from Tella Digital, an on-premises digital experience solution, of which Mr. Dye is a partial owner and Chairman of the board of directors. For the three and nine months ended September 30, 2023, the Company recorded expenses of $104,417 and $394,913, respectively, with Tella Digital, as compared to $47,955 and $254,136 for the same periods in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130,801 shares of Common Stock valued at $103,333 to Mr. Dye for services as Chairman of the Board for the periods of May 27, 2023 to June 30, 2023, and through December 31,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Jeffrey Garwood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Jeff Garwood pursuant to which the Company issued an Investor Note in the aggregate principal amount of $300,000 to Mr. Garwood for $294,000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Garwood is a member of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Garwood as compensation for service on the Board. On May 4, 2022, and June 14, 2022, the Company issued 40,463 shares of Common Stock valued at $70,001 and 22,728 shares of Common Stock valued at $35,001, respectively, to Mr. Garwood,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22,152 shares of Common Stock valued at $17,500 to Mr. Garwood and $8,750 of cash as compensation for service on the Board.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Entities Affiliated with Nirup Krishnamurthy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acquires certain advertising and marketing services from Tella Digital, an on-premises digital experience solution, of which Mr. Krishnamurthy is a partial owner and serves as director on Tella Digital’s board. For the three and nine months ended September 30, 2023, the Company recorded expenses of $104,417 and $394,913, respectively, with Tella Digital, as compared to $47,955 and $254,136 for the same periods in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24, 2023, the Company entered into an Amended and Restated Employment Agreement with Mr. Krishnamurthy following his appointment as Chief Executive Officer (the “CEO Agreement”). Pursuant to the CEO Agreement, the Company granted Mr. Krishnamurthy an additional 800,000 stock options and 1,600,000 restricted stock units under the Equity Plan. The stock options vest in equal installments over four years starting on the first anniversary of the effective date of the CEO Agreement, and the restricted stock units vest in four equal installments, with the first tranche of 400,000 RSUs, valued at $412,000 vesting immediately upon execution of the CEO Agreement and the remainder to vest on each anniversary of the effective date of the CEO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Paul Montalbano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Montalbano as compensation for service on the Board. On May 4, 2022, and June 14, 2022, the Company issued 40,463 shares of Common Stock valued at $70,001 and 22,728 shares of Common Stock valued at $35,001, respectively, to Mr. Montalbano,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33,228 shares of Common Stock valued at $26,250 to Mr. Montalbano as compensation for service on the Board.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Pratap Mukharji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Pratap Mukharji pursuant to which the Company issued an Investor Note in the aggregate principal amount of $200,000 to Mr. Mukharji for $196,000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Mukharji is a member of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Mukharji as compensation for service on the Board. On May 4, 2022, and June 14, 2022, the Company issued 40,463 shares of Common Stock valued at $70,001 and 22,728 shares of Common Stock valued at $35,001, respectively, to Mr. Mukharji,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33,228 shares of Common Stock valued at $26,250 to Mr. Mukharji as compensation for service on the Board.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Marc Rubin and Entities Affiliated with Marc Rubin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26, 2021, the Company entered into the CRW SPA with CRW, of which Marc Rubin is a beneficial owner. Pursuant to the CRW SPA,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Effective February 4, 2022, the Company registered the resale of the shares of common stock issuable upon conversion of the Series A Preferred Stock on a Form S-3. Also on February 26, 2021,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as-converted-to-common-stock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the final monitoring fee of $25,000 during 2022 and $0 monitoring fees in 2023. Mr. Rubin is a co-manager and 50% owner of CRW Capital, LLC, and he shares voting and disposition power over the shares of Series A Preferred Stock held by CRW with Mr. Cozad.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7, 2021, the Company entered into a Securities Purchase Agreement with The Rubin Revocable Trust U/A/D 05/09/2011 (the “Rubin Revocable Trust”) pursuant to which the Company issued an Investor Note in the aggregate principal amount of $100,000 to the Rubin Revocable Trust for $98,000 in cash. The Investor Note bears interest at 13% per year payable quarterly commencing March 31, 2022 in cash for the amount equal to the amount payable on such date as if the Investor Note was subject to an annual interest rate of 9% with the remainder of the accrued interest payable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increase to the principal amount of the Note. Mr. Rubin is the majority owner of the Rubin Revocable Trust and a member of the Board. In October 2022, the Board appointed Mr. Rubin as a director to fill a vacancy on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5, 2023, the Company issued 69,125 shares of Common Stock valued at $71,200 to Mr. Rubin as compensation for service on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33,228 shares of Common Stock valued at $26,250 to Mr. Rubin as compensation for service on the Board.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Transactions with Bradley Stewart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5, 2023 and May 3, 2023, the Company issued 13,825 shares of Common Stock valued at $14,240 on each date to Mr. Stewart as compensation for service on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34,870 shares of Common Stock valued at $27,547 to Mr. Stewart as compensation for service on the Board and, for the period from August 2, 2023 to September 30, 2023, for service as Chair of the Compensation Committee of the Board.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Star Buds Parties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participated in several transactions involving entities owned or affiliated with one or more of its former directors that are affiliated with Star Buds and/or the Star Buds Acquisitions. These individuals include: (i) Brian Ruden, a former director of the Company as of October 2022, and (ii) Salim Wahdan, a former director of the Company as of March 2023 (hereinafter referred to as the “Star Buds Affiliates”). Both Brian Ruden and Salim Wahdan had an ownership stake in the Star Buds companies acquired by the Company between December 2020 and March 2021.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Between December 17, 2020 and March 2, 2021, the Company’s wholly-owned subsidiary SBUD LLC acquired the Star Buds assets. The aggregate purchase price for the Star Buds assets was $118,000,000, paid as follows: (i) $44,250,000 in cash at the applicable closings, (ii) $44,250,000 in deferred cash, also referred to in this report as “seller note(s),” (iii) 29,506 shares of Series A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 the sellers. Each party’s interests in the seller notes are as follows: (i) Brian Ruden: 31% and (ii) Salim Wahdan: 3.5%. The Company issued warrants to purchase an aggregate of (i) 1,715,936 shares of common stock to Mr. Ruden and (ii) 193,929 shares of commons stock to Mr. Wahdan.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2023 December 31, 2022, the Company owed an aggregate principal amount of $44,250,000 under the seller notes and held 944 shares of Series A Preferred Stock in escrow as collateral for potential indemnification obligations pursuant to the applicable purchase agreements. The Company paid $1,327,500 and $2,655,000 in interest pursuant to the seller notes for the three and six months ended June 30, 2023, respectively, and $1,082,694 and $2,165,387 for the three and nine months ended September 30, 2022. The Company has not paid any principal as of September 30, 2023 and December 31,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acquiring the Star Buds assets the Company also assumed and acquired a number of leases for which one or more of the Star Buds Affiliates serve as landlord or maintain an ownership interest in the landlord entity. The Company has entered into a lease with each of 428 S. McCulloch LLC, Colorado Real Estate Holdings LLC, 5844 Ventures LLC, 5238 W 44th LLC, 4690 Brighton Blvd LLC, 14655 Arapahoe LLC and Montview Real Estate LLC, on substantially the same terms. Each of the leases is for an initial three-year term. The lease with 428 S. McCulloch LLC is for the Company’s Pueblo West Star Buds location and was effective on December 17, 2020 (“Pueblo West Lease”). The leases with Colorado Real Estate Holdings LLC (“Niwot Lease”) and 5844 Ventures LLC (“Commerce City Lease”) are for the Company’s Niwot and Commerce City Star Buds location, respectively, and were effective on December 18, 2020. The lease with 5238 W 44th LLC is for the Company’s Lakeside Star Buds location and was effective on February 3, 2021 (“Lakeside Lease”). The lease with 4690 Brighton Blvd LLC is for the Company’s Brighton store in north Denver and was effective on February 3, 2021 (“Brighton Lease”). The leases with 14655 Arapahoe LLC (“Arapahoe Lease”)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Montview Real Estate LLC (“Aurora Lease”) are for the Company’s Arapahoe and Aurora locations, respectively, and were effective on March 2, 2021. The Pueblo West Lease, Lakeside Lease, and Commerce City Lease each provide for a monthly rent payment of $5,000 with an aggregate of $180,000 during the initial term of the leases. The Niwot Lease provides for a monthly rent payment of $6,779 with an aggregate of $244,044 during the initial term of the lease. The Arapahoe Lease provides for a monthly rent payment of $12,367 with an aggregate of $445,212 during the initial term of the lease. The Aurora Lease provides for a monthly rent of $6,250 with an aggregate of $225,000 during the initial term of the lease. The Brighton Lease provides for a monthly rent payment of $7,250 with an aggregate of $261,000 during the initial term of the lease. SBUD LLC made aggregate rental payments pursuant to these leases of $142,938 and $285,876 for the three and six months ended September 30, 2023 and 2022. In addition, SBUD LLC must pay each landlord’s expenses and disbursements incurred in connection with the ownership, operation, maintenance, repair and replacement of the premises. SBUD LLC has the option to renew each lease for two additional three-year terms with escalation. The Company has an option to purchase the premises at fair market value at any time during the lease term and also has a right of first refusal if the landlords desire to sell the premises to a third party.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17, 2020, SBUD LLC entered into a Trademark License Agreement with Star Brands LLC (“Star Brands”) under which Star Brands licenses certain trademarks to SBUD LLC effective as of the closing of the acquisitions of all of the Star Buds assets. SBUD LLC has no payment obligation under this agreement. On June 15, 2023, the Company entered into a Licensing Agreement with Star Brands pursuant to which Star Brands licenses additional trademarks to the Company for the exclusive right to sell such licensed products in New Mexico (the “Star Brands Agreement”). Pursuant to the Star Brands Agreement, the Company is required to make quarterly payments to Star Brands for use of such exclusive license. The Company has not made any payments pursuant to the Star Brands Agreement as of June 30, 2023. Mr. Ruden is a partial owner of Star Brands.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Star Buds Acquisitions, the Company granted Mr. Ruden and Naser Joudeh, another recipient of Preferred Stock from the Star Buds Acquisitions, the right to jointly designate two or three individuals for election or appointment to the Board, depending on the size of the Board and subject to ownership limitations.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Commitments and Contingencies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Everest Purchase Agreement, the Company may be required to make a potential “earn-out” payment of up to an additional $8 million, payable in Company common stock, based on the revenue performance of certain retail stores of Everest for 12 months following such stores opening for business. Management currently estimates the expected earn-out payment to equal approximately $2.1 million based on current projections.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535" w:name="Tc_3p2R-8uwkUenPcd2b76Ojg_7_0"/>
      <w:bookmarkStart w:id="1536" w:name="Tc_hfPIKGVmbEus0CqVD8g3QA_6_0"/>
      <w:bookmarkStart w:id="1537" w:name="Tc_mohvEc9s1Umepbg7UFrA6A_5_0"/>
      <w:bookmarkStart w:id="1538" w:name="Tc_3Xkk8ZjajEew8CLscqc9Rw_4_11"/>
      <w:bookmarkStart w:id="1539" w:name="Tc_9999fiCJr0WR2cHSA9MC5Q_4_8"/>
      <w:bookmarkStart w:id="1540" w:name="Tc_vBuew97m0UmwTsbtBYO65w_4_5"/>
      <w:bookmarkStart w:id="1541" w:name="Tc_kYLKRKfKJUy9ld2oXhFDfQ_4_2"/>
      <w:bookmarkStart w:id="1542" w:name="Tc_kEpyPP9aL0CXh2gZwit9_A_4_0"/>
      <w:bookmarkStart w:id="1543" w:name="Tc_ivPJpPnFcEynNUBWUhCyRA_3_11"/>
      <w:bookmarkStart w:id="1544" w:name="Tc_htkfU91nn0ul1ZxBkaL77w_3_8"/>
      <w:bookmarkStart w:id="1545" w:name="Tc_tN9fdjKXuUK8RSDoWkINDw_3_5"/>
      <w:bookmarkStart w:id="1546" w:name="Tc_A6Pkf4GscUWK6LDlCsGOTA_3_2"/>
      <w:bookmarkStart w:id="1547" w:name="Tc_Fd3jL8ofwE2Kqam_LvvEpQ_2_2"/>
      <w:bookmarkStart w:id="1548" w:name="Tc_zpaI3W1sg0GNDIg4exzLKQ_1_2"/>
      <w:bookmarkStart w:id="1549" w:name="_f1620bd3_7492_4cf4_acdd_36c0f7073ec8"/>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Pr>
          <w:rFonts w:ascii="Times New Roman;Times;serif" w:hAnsi="Times New Roman;Times;serif"/>
          <w:b/>
          <w:i w:val="false"/>
          <w:caps w:val="false"/>
          <w:smallCaps w:val="false"/>
          <w:sz w:val="20"/>
        </w:rPr>
        <w:t>18.</w:t>
      </w:r>
      <w:r>
        <w:rPr>
          <w:rFonts w:ascii="Times New Roman;Times;serif" w:hAnsi="Times New Roman;Times;serif"/>
          <w:b/>
          <w:sz w:val="20"/>
        </w:rPr>
        <w:t>Segment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three identifiable segments as of September 30, 2023; (i) Retail, (ii) Wholesale and (iii) and Other. Retail represents our dispensaries which sell merchandise directly to customers via retail locations and e-commerce portals. Wholesale represents our manufacturing, cultivation, and wholesale business which sells merchandise to customers via e-commerce portals, a retail location, and a manufacturing facility. Other derives its revenue from in-store advertisements and vendor promotions offered in the Company’s retail dispensaries.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information represents segment activity for the three months ended September 30, 2023:</w:t>
      </w:r>
    </w:p>
    <w:p>
      <w:pPr>
        <w:pStyle w:val="TextBody"/>
        <w:bidi w:val="0"/>
        <w:spacing w:before="0" w:after="240"/>
        <w:ind w:left="0" w:right="0" w:hanging="0"/>
        <w:jc w:val="both"/>
        <w:rPr/>
      </w:pPr>
      <w:r>
        <w:rPr/>
        <w:t>​</w:t>
      </w:r>
    </w:p>
    <w:tbl>
      <w:tblPr>
        <w:tblW w:w="9638" w:type="dxa"/>
        <w:jc w:val="left"/>
        <w:tblInd w:w="0" w:type="dxa"/>
        <w:tblLayout w:type="fixed"/>
        <w:tblCellMar>
          <w:top w:w="0" w:type="dxa"/>
          <w:left w:w="0" w:type="dxa"/>
          <w:bottom w:w="0" w:type="dxa"/>
          <w:right w:w="0" w:type="dxa"/>
        </w:tblCellMar>
      </w:tblPr>
      <w:tblGrid>
        <w:gridCol w:w="3481"/>
        <w:gridCol w:w="326"/>
        <w:gridCol w:w="196"/>
        <w:gridCol w:w="1006"/>
        <w:gridCol w:w="326"/>
        <w:gridCol w:w="196"/>
        <w:gridCol w:w="1006"/>
        <w:gridCol w:w="326"/>
        <w:gridCol w:w="196"/>
        <w:gridCol w:w="94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10435" cy="175260"/>
                      <wp:effectExtent l="0" t="0" r="0" b="0"/>
                      <wp:wrapNone/>
                      <wp:docPr id="263" name="Frame26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24460" cy="175260"/>
                      <wp:effectExtent l="0" t="0" r="0" b="0"/>
                      <wp:wrapNone/>
                      <wp:docPr id="265"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38810" cy="175260"/>
                      <wp:effectExtent l="0" t="0" r="0" b="0"/>
                      <wp:wrapNone/>
                      <wp:docPr id="266" name="Frame26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4460" cy="175260"/>
                      <wp:effectExtent l="0" t="0" r="0" b="0"/>
                      <wp:wrapNone/>
                      <wp:docPr id="268" name="Frame2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38810" cy="175260"/>
                      <wp:effectExtent l="0" t="0" r="0" b="0"/>
                      <wp:wrapNone/>
                      <wp:docPr id="269" name="Frame26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71"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00710" cy="175260"/>
                      <wp:effectExtent l="0" t="0" r="0" b="0"/>
                      <wp:wrapNone/>
                      <wp:docPr id="272" name="Frame2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74" name="Frame2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05485" cy="175260"/>
                      <wp:effectExtent l="0" t="0" r="0" b="0"/>
                      <wp:wrapNone/>
                      <wp:docPr id="275" name="Frame27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31" w:type="dxa"/>
            <w:gridSpan w:val="11"/>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3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Retail</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41,951,969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4,701,268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46,746,935</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3,496,179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1,137,469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232,302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4,865,950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14,785,153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243,097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(6,104,743)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8,923,507</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211,279,966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113,288,960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46,021,760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370,590,687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50" w:name="Tc_EhPEPiAcf0qsJPEvUHcFOQ_7_0"/>
      <w:bookmarkStart w:id="1551" w:name="Tc_YN3Vghegr0enyCoB4mMJtQ_6_0"/>
      <w:bookmarkStart w:id="1552" w:name="Tc_mke-PQpyxkKB6DF6UPOcqw_5_0"/>
      <w:bookmarkStart w:id="1553" w:name="Tc_0N7ErJU1iU6qRfqjTbIqdQ_4_11"/>
      <w:bookmarkStart w:id="1554" w:name="Tc_jlpsfCpDj02Il62mz63EYQ_4_8"/>
      <w:bookmarkStart w:id="1555" w:name="Tc_ayfjGHAsikSwmcItMrr8VA_4_5"/>
      <w:bookmarkStart w:id="1556" w:name="Tc_lrsGlvUxMkyapd18yRp81Q_4_2"/>
      <w:bookmarkStart w:id="1557" w:name="Tc_CdcOORUdTkKzsEnriaGRRA_4_0"/>
      <w:bookmarkStart w:id="1558" w:name="Tc_Ibn0SKXs9EC2ZTq34E5vrg_3_11"/>
      <w:bookmarkStart w:id="1559" w:name="Tc_axjQisIUhEKytdLqHUHehQ_3_8"/>
      <w:bookmarkStart w:id="1560" w:name="Tc_QkPD1VZftk-9Yi_os8JRkw_3_5"/>
      <w:bookmarkStart w:id="1561" w:name="Tc_Ih6g2LpAz0aajgVr7hmfnA_3_2"/>
      <w:bookmarkStart w:id="1562" w:name="Tc_A95hxVldYUKUN6gQQB71FQ_2_2"/>
      <w:bookmarkStart w:id="1563" w:name="Tc_xyTK1Y6BwkmftcH338J99Q_1_2"/>
      <w:bookmarkStart w:id="1564" w:name="_e46b49d3_5e98_46cf_8be0_7057e109fa09"/>
      <w:bookmarkStart w:id="1565" w:name="Tc_dEcB6OpK10ienFQIx9C21g_7_0"/>
      <w:bookmarkStart w:id="1566" w:name="Tc_0erj6fZU90ylTh9vYWG3lg_6_0"/>
      <w:bookmarkStart w:id="1567" w:name="Tc_tPc9njlkNU29ngtQvRO1DA_5_0"/>
      <w:bookmarkStart w:id="1568" w:name="Tc_zgvwERwuwkCgeQ0EmVLxlA_4_11"/>
      <w:bookmarkStart w:id="1569" w:name="Tc_vAxjxfAGCEiMeF21rAQrYw_4_8"/>
      <w:bookmarkStart w:id="1570" w:name="Tc_yuxevYpQYkmEpsmwBX4Rgw_4_5"/>
      <w:bookmarkStart w:id="1571" w:name="Tc_gEmJ2eVcKUCAC-4f833kcw_4_2"/>
      <w:bookmarkStart w:id="1572" w:name="Tc_ZGAXatsME0SYQTbj1SqWbQ_4_0"/>
      <w:bookmarkStart w:id="1573" w:name="Tc_PahMAX3wYUOMke2flg6uwg_3_11"/>
      <w:bookmarkStart w:id="1574" w:name="Tc_tzBHkKFjLE6u1M49oRw3HQ_3_8"/>
      <w:bookmarkStart w:id="1575" w:name="Tc_kokuJi5muk-hTg5QJHJqFw_3_5"/>
      <w:bookmarkStart w:id="1576" w:name="Tc_YUNE4T0UJ0GMnpibL7NKXA_3_2"/>
      <w:bookmarkStart w:id="1577" w:name="Tc_k9QHkJuN2kiqmtiCUE0QDA_2_2"/>
      <w:bookmarkStart w:id="1578" w:name="Tc_vD0-ql8wQUKluxjAPyxybQ_1_2"/>
      <w:bookmarkStart w:id="1579" w:name="_835b034c_d045_4818_a664_b688589c83e8"/>
      <w:bookmarkStart w:id="1580" w:name="Tc_5gYEMf_yEUa6jvLU9iddeA_7_0"/>
      <w:bookmarkStart w:id="1581" w:name="Tc_9GffxDTfQ0iALOznykp4CA_6_0"/>
      <w:bookmarkStart w:id="1582" w:name="Tc_TjkMtHcf-ESHoY9_z45qbQ_5_0"/>
      <w:bookmarkStart w:id="1583" w:name="Tc_pH2vm8hJ40Onq0cOxKgC8A_4_11"/>
      <w:bookmarkStart w:id="1584" w:name="Tc_9OINzYqqrEmrjtoHXLFkKQ_4_8"/>
      <w:bookmarkStart w:id="1585" w:name="Tc_W7McSsR-y0mW9u1axRiNmQ_4_5"/>
      <w:bookmarkStart w:id="1586" w:name="Tc_fUwdDKPQPk-sycpJI-MWjA_4_2"/>
      <w:bookmarkStart w:id="1587" w:name="Tc_tyBr-FwUF0aXj63xjfPrGA_4_0"/>
      <w:bookmarkStart w:id="1588" w:name="Tc_fAsgyA5D7EetLrkBm4RSqQ_3_11"/>
      <w:bookmarkStart w:id="1589" w:name="Tc_AVMEpiG_PECZD_Ng2ltksA_3_8"/>
      <w:bookmarkStart w:id="1590" w:name="Tc_qZ56fsftGECZxhmu9dMdaw_3_5"/>
      <w:bookmarkStart w:id="1591" w:name="Tc_NngXwfQqNk-ohHPU4ON9JA_3_2"/>
      <w:bookmarkStart w:id="1592" w:name="Tc_JKRLoQx-FkasYeWMOOt95Q_2_2"/>
      <w:bookmarkStart w:id="1593" w:name="Tc_4DCxQiKCfEGzzbM-8YU3nw_1_2"/>
      <w:bookmarkStart w:id="1594" w:name="_b0a72a69_13c4_4889_98f0_e125e0ef5ceb"/>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r>
        <w:rPr>
          <w:rFonts w:ascii="Times New Roman;Times;serif" w:hAnsi="Times New Roman;Times;serif"/>
          <w:sz w:val="20"/>
        </w:rPr>
        <w:t>The following information represents segment activity for the nine months ended September 30, 2023:</w:t>
      </w:r>
    </w:p>
    <w:p>
      <w:pPr>
        <w:pStyle w:val="TextBody"/>
        <w:bidi w:val="0"/>
        <w:spacing w:before="0" w:after="0"/>
        <w:ind w:left="0" w:right="0" w:hanging="0"/>
        <w:jc w:val="left"/>
        <w:rPr/>
      </w:pPr>
      <w:r>
        <w:rPr/>
        <w:t>​</w:t>
      </w:r>
    </w:p>
    <w:tbl>
      <w:tblPr>
        <w:tblW w:w="9511" w:type="dxa"/>
        <w:jc w:val="left"/>
        <w:tblInd w:w="0" w:type="dxa"/>
        <w:tblLayout w:type="fixed"/>
        <w:tblCellMar>
          <w:top w:w="0" w:type="dxa"/>
          <w:left w:w="0" w:type="dxa"/>
          <w:bottom w:w="0" w:type="dxa"/>
          <w:right w:w="0" w:type="dxa"/>
        </w:tblCellMar>
      </w:tblPr>
      <w:tblGrid>
        <w:gridCol w:w="3481"/>
        <w:gridCol w:w="326"/>
        <w:gridCol w:w="196"/>
        <w:gridCol w:w="1006"/>
        <w:gridCol w:w="109"/>
        <w:gridCol w:w="196"/>
        <w:gridCol w:w="1006"/>
        <w:gridCol w:w="326"/>
        <w:gridCol w:w="196"/>
        <w:gridCol w:w="103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210435" cy="175260"/>
                      <wp:effectExtent l="0" t="0" r="0" b="0"/>
                      <wp:wrapNone/>
                      <wp:docPr id="276" name="Frame27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8"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38810" cy="175260"/>
                      <wp:effectExtent l="0" t="0" r="0" b="0"/>
                      <wp:wrapNone/>
                      <wp:docPr id="279" name="Frame27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4460" cy="175260"/>
                      <wp:effectExtent l="0" t="0" r="0" b="0"/>
                      <wp:wrapNone/>
                      <wp:docPr id="281" name="Frame2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38810" cy="175260"/>
                      <wp:effectExtent l="0" t="0" r="0" b="0"/>
                      <wp:wrapNone/>
                      <wp:docPr id="282" name="Frame28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4" name="Frame2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57860" cy="175260"/>
                      <wp:effectExtent l="0" t="0" r="0" b="0"/>
                      <wp:wrapNone/>
                      <wp:docPr id="285" name="Frame2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4460" cy="175260"/>
                      <wp:effectExtent l="0" t="0" r="0" b="0"/>
                      <wp:wrapNone/>
                      <wp:docPr id="287" name="Frame2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05485" cy="175260"/>
                      <wp:effectExtent l="0" t="0" r="0" b="0"/>
                      <wp:wrapNone/>
                      <wp:docPr id="288" name="Frame28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04" w:type="dxa"/>
            <w:gridSpan w:val="11"/>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Nine Months Ended</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0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Retail</w:t>
            </w:r>
          </w:p>
        </w:tc>
        <w:tc>
          <w:tcPr>
            <w:tcW w:w="109" w:type="dxa"/>
            <w:tcBorders/>
            <w:vAlign w:val="center"/>
          </w:tcPr>
          <w:p>
            <w:pPr>
              <w:pStyle w:val="TableContents"/>
              <w:bidi w:val="0"/>
              <w:spacing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115,871,037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13,034,676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217,258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129,122,971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10,792,018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1,070,681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15,703,668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44,032,159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(1,720,029)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(22,781,378)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19,530,752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211,279,966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113,288,960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45,968,203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370,590,687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information represents segment activity for the three and nine months ended September 30, 2022:</w:t>
      </w:r>
    </w:p>
    <w:p>
      <w:pPr>
        <w:pStyle w:val="TextBody"/>
        <w:bidi w:val="0"/>
        <w:spacing w:before="0" w:after="240"/>
        <w:ind w:left="0" w:right="0" w:hanging="0"/>
        <w:jc w:val="both"/>
        <w:rPr/>
      </w:pPr>
      <w:r>
        <w:rPr/>
        <w:t>​</w:t>
      </w:r>
    </w:p>
    <w:tbl>
      <w:tblPr>
        <w:tblW w:w="9204" w:type="dxa"/>
        <w:jc w:val="left"/>
        <w:tblInd w:w="0" w:type="dxa"/>
        <w:tblLayout w:type="fixed"/>
        <w:tblCellMar>
          <w:top w:w="0" w:type="dxa"/>
          <w:left w:w="0" w:type="dxa"/>
          <w:bottom w:w="0" w:type="dxa"/>
          <w:right w:w="0" w:type="dxa"/>
        </w:tblCellMar>
      </w:tblPr>
      <w:tblGrid>
        <w:gridCol w:w="3481"/>
        <w:gridCol w:w="109"/>
        <w:gridCol w:w="196"/>
        <w:gridCol w:w="1006"/>
        <w:gridCol w:w="109"/>
        <w:gridCol w:w="196"/>
        <w:gridCol w:w="916"/>
        <w:gridCol w:w="326"/>
        <w:gridCol w:w="196"/>
        <w:gridCol w:w="103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10435" cy="175260"/>
                      <wp:effectExtent l="0" t="0" r="0" b="0"/>
                      <wp:wrapNone/>
                      <wp:docPr id="289" name="Frame28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4460" cy="175260"/>
                      <wp:effectExtent l="0" t="0" r="0" b="0"/>
                      <wp:wrapNone/>
                      <wp:docPr id="291" name="Frame2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38810" cy="175260"/>
                      <wp:effectExtent l="0" t="0" r="0" b="0"/>
                      <wp:wrapNone/>
                      <wp:docPr id="292" name="Frame29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4460" cy="175260"/>
                      <wp:effectExtent l="0" t="0" r="0" b="0"/>
                      <wp:wrapNone/>
                      <wp:docPr id="294" name="Frame2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81660" cy="175260"/>
                      <wp:effectExtent l="0" t="0" r="0" b="0"/>
                      <wp:wrapNone/>
                      <wp:docPr id="295" name="Frame29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7"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57860" cy="175260"/>
                      <wp:effectExtent l="0" t="0" r="0" b="0"/>
                      <wp:wrapNone/>
                      <wp:docPr id="298" name="Frame2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05485" cy="175260"/>
                      <wp:effectExtent l="0" t="0" r="0" b="0"/>
                      <wp:wrapNone/>
                      <wp:docPr id="301" name="Frame30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14" w:type="dxa"/>
            <w:gridSpan w:val="11"/>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Three Months Ended</w:t>
            </w:r>
          </w:p>
        </w:tc>
      </w:tr>
      <w:tr>
        <w:trPr/>
        <w:tc>
          <w:tcPr>
            <w:tcW w:w="3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61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2022</w:t>
            </w:r>
          </w:p>
        </w:tc>
      </w:tr>
      <w:tr>
        <w:trPr/>
        <w:tc>
          <w:tcPr>
            <w:tcW w:w="34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Retail</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1"/>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39,759,734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3,335,252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43,190,986</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1,728,764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850,313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249,290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2,828,367</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30,713,920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1,837,973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(21,437,036)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11,114,858</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188,486,331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74,042,877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67,981,863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330,511,071</w:t>
            </w:r>
          </w:p>
        </w:tc>
      </w:tr>
    </w:tbl>
    <w:p>
      <w:pPr>
        <w:pStyle w:val="TextBody"/>
        <w:bidi w:val="0"/>
        <w:spacing w:before="0" w:after="240"/>
        <w:ind w:left="0" w:right="0" w:hanging="0"/>
        <w:jc w:val="both"/>
        <w:rPr/>
      </w:pPr>
      <w:r>
        <w:rPr/>
        <w:t>​</w:t>
      </w:r>
    </w:p>
    <w:tbl>
      <w:tblPr>
        <w:tblW w:w="9638" w:type="dxa"/>
        <w:jc w:val="left"/>
        <w:tblInd w:w="0" w:type="dxa"/>
        <w:tblLayout w:type="fixed"/>
        <w:tblCellMar>
          <w:top w:w="0" w:type="dxa"/>
          <w:left w:w="0" w:type="dxa"/>
          <w:bottom w:w="0" w:type="dxa"/>
          <w:right w:w="0" w:type="dxa"/>
        </w:tblCellMar>
      </w:tblPr>
      <w:tblGrid>
        <w:gridCol w:w="3481"/>
        <w:gridCol w:w="326"/>
        <w:gridCol w:w="196"/>
        <w:gridCol w:w="1006"/>
        <w:gridCol w:w="326"/>
        <w:gridCol w:w="196"/>
        <w:gridCol w:w="916"/>
        <w:gridCol w:w="326"/>
        <w:gridCol w:w="196"/>
        <w:gridCol w:w="103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10435" cy="175260"/>
                      <wp:effectExtent l="0" t="0" r="0" b="0"/>
                      <wp:wrapNone/>
                      <wp:docPr id="302" name="Frame30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304" name="Frame3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38810" cy="175260"/>
                      <wp:effectExtent l="0" t="0" r="0" b="0"/>
                      <wp:wrapNone/>
                      <wp:docPr id="305" name="Frame30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7" name="Frame3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81660" cy="175260"/>
                      <wp:effectExtent l="0" t="0" r="0" b="0"/>
                      <wp:wrapNone/>
                      <wp:docPr id="308" name="Frame30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57860" cy="175260"/>
                      <wp:effectExtent l="0" t="0" r="0" b="0"/>
                      <wp:wrapNone/>
                      <wp:docPr id="311" name="Frame3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4460" cy="175260"/>
                      <wp:effectExtent l="0" t="0" r="0" b="0"/>
                      <wp:wrapNone/>
                      <wp:docPr id="313" name="Frame3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05485" cy="175260"/>
                      <wp:effectExtent l="0" t="0" r="0" b="0"/>
                      <wp:wrapNone/>
                      <wp:docPr id="314" name="Frame31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31" w:type="dxa"/>
            <w:gridSpan w:val="11"/>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Nine Months Ended</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3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2022</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Retail </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1"/>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104,386,464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14,661,268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184,200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119,231,932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6,029,035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1,598,931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701,801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8,329,767</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45,023,554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5,892,696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(35,556,282)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15,359,968</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188,486,331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74,042,877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67,981,863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330,511,071</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accordance with FASB ASC 855-10, </w:t>
      </w:r>
      <w:r>
        <w:rPr>
          <w:rFonts w:ascii="Times New Roman;Times;serif" w:hAnsi="Times New Roman;Times;serif"/>
          <w:i/>
          <w:sz w:val="20"/>
        </w:rPr>
        <w:t>Subsequent Events</w:t>
      </w:r>
      <w:r>
        <w:rPr>
          <w:rFonts w:ascii="Times New Roman;Times;serif" w:hAnsi="Times New Roman;Times;serif"/>
          <w:sz w:val="20"/>
        </w:rPr>
        <w:t>, the Company has analyzed its operations subsequent to September 30, 2023 to the date these condensed consolidated financial statements were issued and has determined that it does not have any material subsequent events to disclose in these consolidated financial statements.</w:t>
      </w:r>
    </w:p>
    <w:p>
      <w:pPr>
        <w:pStyle w:val="TextBody"/>
        <w:bidi w:val="0"/>
        <w:spacing w:before="0" w:after="240"/>
        <w:ind w:left="0" w:right="0" w:hanging="0"/>
        <w:jc w:val="left"/>
        <w:rPr/>
      </w:pPr>
      <w:bookmarkStart w:id="1595" w:name="_Item_2._Managements"/>
      <w:bookmarkEnd w:id="1595"/>
      <w:r>
        <w:rPr/>
        <w:t>​</w:t>
      </w:r>
    </w:p>
    <w:p>
      <w:pPr>
        <w:pStyle w:val="TextBody"/>
        <w:bidi w:val="0"/>
        <w:spacing w:before="0" w:after="240"/>
        <w:ind w:left="0" w:right="0" w:hanging="0"/>
        <w:jc w:val="left"/>
        <w:rPr>
          <w:rFonts w:ascii="Times New Roman;Times;serif" w:hAnsi="Times New Roman;Times;serif"/>
          <w:b/>
          <w:sz w:val="20"/>
        </w:rPr>
      </w:pPr>
      <w:bookmarkStart w:id="1596" w:name="MDA"/>
      <w:bookmarkStart w:id="1597" w:name="_e96e5933_7c97_45de_8744_069da8a32879"/>
      <w:bookmarkEnd w:id="1596"/>
      <w:bookmarkEnd w:id="1597"/>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should be read in conjunction with our unaudited consolidated financial statements and notes thereto included herein and with our audited consolidated financial statements included in our Annual Report on Form 10-K for the year ended December 31, 2022, as filed with the SEC. In addition to our historical unaudited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particularly in Part II, Item 1A, “Risk Factors.” See also, “CAUTIONARY NOTE ABOUT FORWARD-LOOKING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 OF THE COMPANY</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Established in 2014 and headquartered in Denver, Colorado, Medicine Man Technologies, Inc., is a vertically integrated cannabis company with experienced retail leadership and operations in Colorado and New Mexico. The Company is focused on building a premier, vertically integrated cannabis company by taking its retail operating playbook to other states where it can develop a differentiated leadership position focused on assortment, value, and service. The Company is actively building a house of brands that includes retail banners, proprietary products, and licensed brands, while also preserving the ability to control and maintain the quality of its brands through vertical integration. The Company fosters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high-performance culture that combines customer-centric thinking and data science to test, measure, and drive effective business decisions and outcomes.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Q3 Highlights and 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quarter of 2023, the Company continued to focus its efforts on strengthening operations, improving the customer experience, and increasing supply chain efficiencies while integrating its three new acquisitions in Colorado and New Mexico.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May 2023, the Company acquired two new retail dispensaries located in Fort Collins, Colorado, and Garden City, Colorado, from Smokey’s. In June 2023, the Company acquired the Standing Akimbo branded medical dispensary located in Denver, Colorado. Also in June 2023, the Company expanded its New Mexico operations with the acquisition of Everest Apothecary, which added 14 retail dispensaries, one cultivation facility and one manufacturing facility. Additionally, during the third quarter the Company acquired a medical marijuana license from Stellar in addition to the retail marijuana license it acquired from Stellar in June 2023. Since then, the Company has focused on integration synergies, assortment, strategic pricing and the customer experience.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2023, the Company also opened an additional Standing Akimbo branded medical dispensary located in Colorado Springs, Colorado and another retail dispensary operating under the Star Buds banner located in Lakewood, Colorado. In New Mexico, the Company opened a store located in Hobbs, New Mexico, under its R. Greenleaf banner. This brings the Company’s total retail footprint to 63 stores with 30 stores in Colorado and 33 stores in New Mexico.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fourth quarter of 2023 to date, the Company announced its store within a store concept in Fort Collins, whereby the Company has combined a Star Buds neighborhood dispensary with a Standing Akimbo medical dispensary operating out of the same location, bringing two recognized brands in the recreational and medical retail space together. Additionally, the Company continues to develop its brand strategy and expand its wholesale presence in Colorado and New Mexico, driving penetration in both states, and realizing 10% quarter over quarter growth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 2023, the Board appointed Bradley Stewart as a member and Chair of the Board’s Compensation Committee, and it removed Marc Rubin from the Board’s Compensation Committee. Additionally, the Board appointed Jeffrey Cozad as the Chair of the Board’s Nominating and Corporate Governance Committee, and it removed Jonathan Berger as the Chair of the Board’s Nominating and Corporate Governance Committee. Mr. Berger remains as the Chair of the Board’s Audit Committee and as well as our Lead Independent Director.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5, 2023, the Company relocated its corporate headquarters to 865 N. Albion Street, Denver, Colorado.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 CONSOLIDATED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Company’s selected consolidated financial results for the periods, and as of the dates, indicated. The (i) consolidated statements of operations for the three and nine months ended September 30, 2023 and September 30, 2022 and (ii) consolidated balance sheet as of September 30, 2023 and December 31, 2022 have been derived from and should be read in conjunction with the consolidated financial statements and accompanying notes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have been prepared in accordance with GAAP and on a going-concern basis that contemplates continuity of operations and realization of assets and liquidation of liabilities in the ordinary course of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Quarter Ended September 30, 2023 Compared to the Quarter Ended September 30, 2022</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215"/>
        <w:gridCol w:w="326"/>
        <w:gridCol w:w="211"/>
        <w:gridCol w:w="1045"/>
        <w:gridCol w:w="326"/>
        <w:gridCol w:w="211"/>
        <w:gridCol w:w="1141"/>
        <w:gridCol w:w="326"/>
        <w:gridCol w:w="211"/>
        <w:gridCol w:w="1029"/>
        <w:gridCol w:w="326"/>
        <w:gridCol w:w="519"/>
        <w:gridCol w:w="319"/>
      </w:tblGrid>
      <w:tr>
        <w:trPr/>
        <w:tc>
          <w:tcPr>
            <w:tcW w:w="4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676525" cy="175260"/>
                      <wp:effectExtent l="0" t="0" r="0" b="0"/>
                      <wp:wrapNone/>
                      <wp:docPr id="315" name="Frame315"/>
                      <a:graphic xmlns:a="http://schemas.openxmlformats.org/drawingml/2006/main">
                        <a:graphicData uri="http://schemas.microsoft.com/office/word/2010/wordprocessingShape">
                          <wps:wsp>
                            <wps:cNvSpPr txBox="1"/>
                            <wps:spPr>
                              <a:xfrm>
                                <a:off x="0" y="0"/>
                                <a:ext cx="267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63575" cy="175260"/>
                      <wp:effectExtent l="0" t="0" r="0" b="0"/>
                      <wp:wrapNone/>
                      <wp:docPr id="318" name="Frame318"/>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24535" cy="175260"/>
                      <wp:effectExtent l="0" t="0" r="0" b="0"/>
                      <wp:wrapNone/>
                      <wp:docPr id="321" name="Frame3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53415" cy="175260"/>
                      <wp:effectExtent l="0" t="0" r="0" b="0"/>
                      <wp:wrapNone/>
                      <wp:docPr id="324" name="Frame324"/>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29565" cy="175260"/>
                      <wp:effectExtent l="0" t="0" r="0" b="0"/>
                      <wp:wrapNone/>
                      <wp:docPr id="326" name="Frame326"/>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2565" cy="175260"/>
                      <wp:effectExtent l="0" t="0" r="0" b="0"/>
                      <wp:wrapNone/>
                      <wp:docPr id="327" name="Frame32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r>
      <w:tr>
        <w:trPr/>
        <w:tc>
          <w:tcPr>
            <w:tcW w:w="42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08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vs 2022</w:t>
            </w:r>
          </w:p>
        </w:tc>
        <w:tc>
          <w:tcPr>
            <w:tcW w:w="319" w:type="dxa"/>
            <w:tcBorders/>
            <w:vAlign w:val="center"/>
          </w:tcPr>
          <w:p>
            <w:pPr>
              <w:pStyle w:val="TableContents"/>
              <w:bidi w:val="0"/>
              <w:spacing w:before="0" w:after="0"/>
              <w:ind w:left="0" w:right="0" w:hanging="0"/>
              <w:jc w:val="left"/>
              <w:rPr/>
            </w:pPr>
            <w:r>
              <w:rPr/>
              <w:t>​</w:t>
            </w:r>
          </w:p>
        </w:tc>
      </w:tr>
      <w:tr>
        <w:trPr/>
        <w:tc>
          <w:tcPr>
            <w:tcW w:w="42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9" w:type="dxa"/>
            <w:tcBorders/>
            <w:vAlign w:val="center"/>
          </w:tcPr>
          <w:p>
            <w:pPr>
              <w:pStyle w:val="TableContents"/>
              <w:bidi w:val="0"/>
              <w:spacing w:before="0" w:after="0"/>
              <w:ind w:left="0" w:right="0" w:hanging="0"/>
              <w:jc w:val="left"/>
              <w:rPr/>
            </w:pPr>
            <w:r>
              <w:rPr/>
              <w:t> </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46,746,935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43,190,986</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3,555,949</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goods and 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25,308,972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20,715,192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4,593,780</w:t>
            </w:r>
          </w:p>
        </w:tc>
        <w:tc>
          <w:tcPr>
            <w:tcW w:w="326" w:type="dxa"/>
            <w:tcBorders/>
            <w:vAlign w:val="center"/>
          </w:tcPr>
          <w:p>
            <w:pPr>
              <w:pStyle w:val="TableContents"/>
              <w:bidi w:val="0"/>
              <w:spacing w:before="0" w:after="0"/>
              <w:ind w:left="0" w:right="0" w:hanging="0"/>
              <w:jc w:val="right"/>
              <w:rPr/>
            </w:pPr>
            <w:r>
              <w:rPr/>
              <w:t>​</w:t>
            </w:r>
          </w:p>
        </w:tc>
        <w:tc>
          <w:tcPr>
            <w:tcW w:w="5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21,437,963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22,475,794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(1,037,831)</w:t>
            </w:r>
          </w:p>
        </w:tc>
        <w:tc>
          <w:tcPr>
            <w:tcW w:w="326" w:type="dxa"/>
            <w:tcBorders/>
            <w:shd w:fill="CCEEFF" w:val="clear"/>
            <w:vAlign w:val="center"/>
          </w:tcPr>
          <w:p>
            <w:pPr>
              <w:pStyle w:val="TableContents"/>
              <w:bidi w:val="0"/>
              <w:spacing w:before="0" w:after="0"/>
              <w:ind w:left="0" w:right="0" w:hanging="0"/>
              <w:jc w:val="right"/>
              <w:rPr/>
            </w:pPr>
            <w:r>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12,514,456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11,360,936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1,153,520</w:t>
            </w:r>
          </w:p>
        </w:tc>
        <w:tc>
          <w:tcPr>
            <w:tcW w:w="326" w:type="dxa"/>
            <w:tcBorders/>
            <w:vAlign w:val="center"/>
          </w:tcPr>
          <w:p>
            <w:pPr>
              <w:pStyle w:val="TableContents"/>
              <w:bidi w:val="0"/>
              <w:spacing w:before="0" w:after="0"/>
              <w:ind w:left="0" w:right="0" w:hanging="0"/>
              <w:jc w:val="right"/>
              <w:rPr/>
            </w:pPr>
            <w:r>
              <w:rPr/>
              <w:t>​</w:t>
            </w:r>
          </w:p>
        </w:tc>
        <w:tc>
          <w:tcPr>
            <w:tcW w:w="5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8,923,507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11,114,858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(2,191,351)</w:t>
            </w:r>
          </w:p>
        </w:tc>
        <w:tc>
          <w:tcPr>
            <w:tcW w:w="326" w:type="dxa"/>
            <w:tcBorders/>
            <w:shd w:fill="CCEEFF" w:val="clear"/>
            <w:vAlign w:val="center"/>
          </w:tcPr>
          <w:p>
            <w:pPr>
              <w:pStyle w:val="TableContents"/>
              <w:bidi w:val="0"/>
              <w:spacing w:before="0" w:after="0"/>
              <w:ind w:left="0" w:right="0" w:hanging="0"/>
              <w:jc w:val="right"/>
              <w:rPr/>
            </w:pPr>
            <w:r>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(3,712,108)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(92,052)</w:t>
            </w:r>
          </w:p>
        </w:tc>
        <w:tc>
          <w:tcPr>
            <w:tcW w:w="326" w:type="dxa"/>
            <w:tcBorders/>
            <w:vAlign w:val="center"/>
          </w:tcPr>
          <w:p>
            <w:pPr>
              <w:pStyle w:val="TableContents"/>
              <w:bidi w:val="0"/>
              <w:spacing w:before="0" w:after="0"/>
              <w:ind w:left="0" w:right="0" w:hanging="0"/>
              <w:jc w:val="right"/>
              <w:rPr/>
            </w:pPr>
            <w:r>
              <w:rPr/>
              <w:t>​</w:t>
            </w:r>
          </w:p>
        </w:tc>
        <w:tc>
          <w:tcPr>
            <w:tcW w:w="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5,441,809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5,593,513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(151,704)</w:t>
            </w:r>
          </w:p>
        </w:tc>
        <w:tc>
          <w:tcPr>
            <w:tcW w:w="326" w:type="dxa"/>
            <w:tcBorders/>
            <w:shd w:fill="CCEEFF" w:val="clear"/>
            <w:vAlign w:val="center"/>
          </w:tcPr>
          <w:p>
            <w:pPr>
              <w:pStyle w:val="TableContents"/>
              <w:bidi w:val="0"/>
              <w:spacing w:before="0" w:after="0"/>
              <w:ind w:left="0" w:right="0" w:hanging="0"/>
              <w:jc w:val="righ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1,809,237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(2,131,699)</w:t>
            </w:r>
          </w:p>
        </w:tc>
        <w:tc>
          <w:tcPr>
            <w:tcW w:w="326" w:type="dxa"/>
            <w:tcBorders/>
            <w:vAlign w:val="center"/>
          </w:tcPr>
          <w:p>
            <w:pPr>
              <w:pStyle w:val="TableContents"/>
              <w:bidi w:val="0"/>
              <w:spacing w:before="0" w:after="0"/>
              <w:ind w:left="0" w:right="0" w:hanging="0"/>
              <w:jc w:val="right"/>
              <w:rPr/>
            </w:pPr>
            <w:r>
              <w:rPr/>
              <w:t>​</w:t>
            </w:r>
          </w:p>
        </w:tc>
        <w:tc>
          <w:tcPr>
            <w:tcW w:w="5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 attributable to common shareholders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righ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 attributable to common shareholders –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right"/>
              <w:rPr/>
            </w:pPr>
            <w:r>
              <w:rPr/>
              <w:t>​</w:t>
            </w:r>
          </w:p>
        </w:tc>
        <w:tc>
          <w:tcPr>
            <w:tcW w:w="5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51,232,943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9"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4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 –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87,202,537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137,954,532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for the three months ended September 30, 2023 totaled $46,746,935, including (i) Retail sales of $41,951,969 (ii) Wholesale sales of $4,701,268 and (iii) Other operating revenues of $93,698, compared to revenues of $43,190,986, including (i) Retail sales of $39,759,734, (ii) Wholesale sales of $3,335,252, and (iii) Other operating revenues of $96,000 during the three months ended September 30, 2022, representing an increase of $3,555,949 or 8%. The increase in revenue as compared to the prior periods is primarily driven by additional retail locations and a 10% increase in Wholesale revenue compared to the same period last year. While the Company is beginning to see signs of wholesale pricing stabilization in Colorado, New Mexico license count has increased 76% compared to the same period last year versus a 17% market revenue increase compared to the same period last year. In response to these events, the Company is increasing its efforts on strategic pricing, promotional effectiveness, and targeted loyalty programming for customer acquisition and retention.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Goods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goods and services for the three months ended September 30, 2023 totaled $25,308,972 compared to cost of goods and services of $20,715,192 during the three months ended September 30, 2022, representing an increase of $4,593,780 or 22%. Overall cost of goods and services increased over prior period due to the higher initial, one-time cost of acquired inventory associated with the Everest acquisition. During the third quarter of 2023, the Company consolidated manufacturing operations within the Everest Coronado facility for greater operating efficiencies and cost optimization.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for the three months ended September 30, 2023 totaled $12,514,456, compared to operating expenses of $11,360,936 during the three months ended September 30, 2022, representing an increase of $1,153,520 or 10%. This is primarily due to the increase in rent, wages, and other operating cost increases associated with the acquired and opened store base during the period. Compared to the same period last year, the Company increased store count from 35 to 63, accounting for the overall SG&amp;A increase.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expense, net for the three months ended September 30, 2023 totaled $3,804,160 compared to other expense, net of $3,712,108 during the three months ended September 30, 2022, representing an increase of $92,052 or 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factors discussed above, the Company generated net loss for the three months ended September 30, 2023 of $322,462, as compared to net income of $1,809,237 for the three months ended September 30,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Year to Date Ended September 30, 2023 Compared to Year to Date Ended September 30, 2022</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72"/>
        <w:gridCol w:w="326"/>
        <w:gridCol w:w="196"/>
        <w:gridCol w:w="1006"/>
        <w:gridCol w:w="326"/>
        <w:gridCol w:w="196"/>
        <w:gridCol w:w="1006"/>
        <w:gridCol w:w="326"/>
        <w:gridCol w:w="196"/>
        <w:gridCol w:w="1026"/>
        <w:gridCol w:w="326"/>
        <w:gridCol w:w="486"/>
        <w:gridCol w:w="317"/>
      </w:tblGrid>
      <w:tr>
        <w:trPr/>
        <w:tc>
          <w:tcPr>
            <w:tcW w:w="4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839720" cy="175260"/>
                      <wp:effectExtent l="0" t="0" r="0" b="0"/>
                      <wp:wrapNone/>
                      <wp:docPr id="328" name="Frame328"/>
                      <a:graphic xmlns:a="http://schemas.openxmlformats.org/drawingml/2006/main">
                        <a:graphicData uri="http://schemas.microsoft.com/office/word/2010/wordprocessingShape">
                          <wps:wsp>
                            <wps:cNvSpPr txBox="1"/>
                            <wps:spPr>
                              <a:xfrm>
                                <a:off x="0" y="0"/>
                                <a:ext cx="283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38810" cy="175260"/>
                      <wp:effectExtent l="0" t="0" r="0" b="0"/>
                      <wp:wrapNone/>
                      <wp:docPr id="331" name="Frame33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38810" cy="175260"/>
                      <wp:effectExtent l="0" t="0" r="0" b="0"/>
                      <wp:wrapNone/>
                      <wp:docPr id="334" name="Frame33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51510" cy="175260"/>
                      <wp:effectExtent l="0" t="0" r="0" b="0"/>
                      <wp:wrapNone/>
                      <wp:docPr id="337" name="Frame337"/>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08610" cy="175260"/>
                      <wp:effectExtent l="0" t="0" r="0" b="0"/>
                      <wp:wrapNone/>
                      <wp:docPr id="339" name="Frame33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1295" cy="175260"/>
                      <wp:effectExtent l="0" t="0" r="0" b="0"/>
                      <wp:wrapNone/>
                      <wp:docPr id="340" name="Frame3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Nine Months Ended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86"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left"/>
              <w:rPr/>
            </w:pPr>
            <w:r>
              <w:rPr/>
              <w:t> </w:t>
            </w:r>
          </w:p>
        </w:tc>
      </w:tr>
      <w:tr>
        <w:trPr/>
        <w:tc>
          <w:tcPr>
            <w:tcW w:w="44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center"/>
              <w:rPr/>
            </w:pPr>
            <w:r>
              <w:rPr/>
              <w:t>​</w:t>
            </w:r>
          </w:p>
        </w:tc>
        <w:tc>
          <w:tcPr>
            <w:tcW w:w="20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 vs 2022</w:t>
            </w:r>
          </w:p>
        </w:tc>
        <w:tc>
          <w:tcPr>
            <w:tcW w:w="317" w:type="dxa"/>
            <w:tcBorders/>
            <w:vAlign w:val="center"/>
          </w:tcPr>
          <w:p>
            <w:pPr>
              <w:pStyle w:val="TableContents"/>
              <w:bidi w:val="0"/>
              <w:spacing w:before="0" w:after="0"/>
              <w:ind w:left="0" w:right="0" w:hanging="0"/>
              <w:jc w:val="left"/>
              <w:rPr/>
            </w:pPr>
            <w:r>
              <w:rPr/>
              <w:t>​</w:t>
            </w:r>
          </w:p>
        </w:tc>
      </w:tr>
      <w:tr>
        <w:trPr/>
        <w:tc>
          <w:tcPr>
            <w:tcW w:w="44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26" w:type="dxa"/>
            <w:tcBorders/>
            <w:vAlign w:val="center"/>
          </w:tcPr>
          <w:p>
            <w:pPr>
              <w:pStyle w:val="TableContents"/>
              <w:bidi w:val="0"/>
              <w:spacing w:before="0" w:after="0"/>
              <w:ind w:left="0" w:right="0" w:hanging="0"/>
              <w:jc w:val="center"/>
              <w:rPr/>
            </w:pPr>
            <w:r>
              <w:rPr/>
              <w:t>    </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17" w:type="dxa"/>
            <w:tcBorders/>
            <w:vAlign w:val="center"/>
          </w:tcPr>
          <w:p>
            <w:pPr>
              <w:pStyle w:val="TableContents"/>
              <w:bidi w:val="0"/>
              <w:spacing w:before="0" w:after="0"/>
              <w:ind w:left="0" w:right="0" w:hanging="0"/>
              <w:jc w:val="left"/>
              <w:rPr/>
            </w:pPr>
            <w:r>
              <w:rPr/>
              <w:t> </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129,122,971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119,231,932</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9,891,039</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goods and services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60,133,091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60,661,933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(528,842)</w:t>
            </w:r>
          </w:p>
        </w:tc>
        <w:tc>
          <w:tcPr>
            <w:tcW w:w="326" w:type="dxa"/>
            <w:tcBorders/>
            <w:vAlign w:val="center"/>
          </w:tcPr>
          <w:p>
            <w:pPr>
              <w:pStyle w:val="TableContents"/>
              <w:bidi w:val="0"/>
              <w:spacing w:before="0" w:after="0"/>
              <w:ind w:left="0" w:right="0" w:hanging="0"/>
              <w:jc w:val="righ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68,989,880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58,569,999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10,419,881</w:t>
            </w:r>
          </w:p>
        </w:tc>
        <w:tc>
          <w:tcPr>
            <w:tcW w:w="326" w:type="dxa"/>
            <w:tcBorders/>
            <w:shd w:fill="CCEEFF" w:val="clear"/>
            <w:vAlign w:val="center"/>
          </w:tcPr>
          <w:p>
            <w:pPr>
              <w:pStyle w:val="TableContents"/>
              <w:bidi w:val="0"/>
              <w:spacing w:before="0" w:after="0"/>
              <w:ind w:left="0" w:right="0" w:hanging="0"/>
              <w:jc w:val="righ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49,459,128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43,210,031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6,249,097</w:t>
            </w:r>
          </w:p>
        </w:tc>
        <w:tc>
          <w:tcPr>
            <w:tcW w:w="326" w:type="dxa"/>
            <w:tcBorders/>
            <w:vAlign w:val="center"/>
          </w:tcPr>
          <w:p>
            <w:pPr>
              <w:pStyle w:val="TableContents"/>
              <w:bidi w:val="0"/>
              <w:spacing w:before="0" w:after="0"/>
              <w:ind w:left="0" w:right="0" w:hanging="0"/>
              <w:jc w:val="right"/>
              <w:rPr/>
            </w:pPr>
            <w:r>
              <w:rPr/>
              <w:t>​</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19,530,752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15,359,968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4,170,784</w:t>
            </w:r>
          </w:p>
        </w:tc>
        <w:tc>
          <w:tcPr>
            <w:tcW w:w="326" w:type="dxa"/>
            <w:tcBorders/>
            <w:shd w:fill="CCEEFF" w:val="clear"/>
            <w:vAlign w:val="center"/>
          </w:tcPr>
          <w:p>
            <w:pPr>
              <w:pStyle w:val="TableContents"/>
              <w:bidi w:val="0"/>
              <w:spacing w:before="0" w:after="0"/>
              <w:ind w:left="0" w:right="0" w:hanging="0"/>
              <w:jc w:val="righ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(9,468,870)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4,770,919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(14,239,789)</w:t>
            </w:r>
          </w:p>
        </w:tc>
        <w:tc>
          <w:tcPr>
            <w:tcW w:w="326" w:type="dxa"/>
            <w:tcBorders/>
            <w:vAlign w:val="center"/>
          </w:tcPr>
          <w:p>
            <w:pPr>
              <w:pStyle w:val="TableContents"/>
              <w:bidi w:val="0"/>
              <w:spacing w:before="0" w:after="0"/>
              <w:ind w:left="0" w:right="0" w:hanging="0"/>
              <w:jc w:val="right"/>
              <w:rPr/>
            </w:pPr>
            <w:r>
              <w:rPr/>
              <w:t>​</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taxes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15,246,546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11,259,369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3,987,177</w:t>
            </w:r>
          </w:p>
        </w:tc>
        <w:tc>
          <w:tcPr>
            <w:tcW w:w="326" w:type="dxa"/>
            <w:tcBorders/>
            <w:shd w:fill="CCEEFF" w:val="clear"/>
            <w:vAlign w:val="center"/>
          </w:tcPr>
          <w:p>
            <w:pPr>
              <w:pStyle w:val="TableContents"/>
              <w:bidi w:val="0"/>
              <w:spacing w:before="0" w:after="0"/>
              <w:ind w:left="0" w:right="0" w:hanging="0"/>
              <w:jc w:val="right"/>
              <w:rPr/>
            </w:pPr>
            <w:r>
              <w:rPr/>
              <w:t>​</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(5,184,664)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8,871,518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(14,056,182)</w:t>
            </w:r>
          </w:p>
        </w:tc>
        <w:tc>
          <w:tcPr>
            <w:tcW w:w="326" w:type="dxa"/>
            <w:tcBorders/>
            <w:vAlign w:val="center"/>
          </w:tcPr>
          <w:p>
            <w:pPr>
              <w:pStyle w:val="TableContents"/>
              <w:bidi w:val="0"/>
              <w:spacing w:before="0" w:after="0"/>
              <w:ind w:left="0" w:right="0" w:hanging="0"/>
              <w:jc w:val="right"/>
              <w:rPr/>
            </w:pPr>
            <w:r>
              <w:rPr/>
              <w:t>​</w:t>
            </w:r>
          </w:p>
        </w:tc>
        <w:tc>
          <w:tcPr>
            <w:tcW w:w="4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(loss) per share attributable to common shareholders – 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326" w:type="dxa"/>
            <w:tcBorders/>
            <w:shd w:fill="CCEEFF" w:val="clear"/>
            <w:vAlign w:val="center"/>
          </w:tcPr>
          <w:p>
            <w:pPr>
              <w:pStyle w:val="TableContents"/>
              <w:bidi w:val="0"/>
              <w:spacing w:before="0" w:after="0"/>
              <w:ind w:left="0" w:right="0" w:hanging="0"/>
              <w:jc w:val="right"/>
              <w:rPr/>
            </w:pPr>
            <w:r>
              <w:rPr/>
              <w:t>​</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(loss) per share attributable to common shareholders – 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vAlign w:val="center"/>
          </w:tcPr>
          <w:p>
            <w:pPr>
              <w:pStyle w:val="TableContents"/>
              <w:bidi w:val="0"/>
              <w:spacing w:before="0" w:after="0"/>
              <w:ind w:left="0" w:right="0" w:hanging="0"/>
              <w:jc w:val="right"/>
              <w:rPr/>
            </w:pPr>
            <w:r>
              <w:rPr/>
              <w:t>​</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78,635,841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50,615,437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44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shares outstanding – 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78,635,841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137,337,027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for the nine months ended September 30, 2023 totaled $129,122,971, including (i) Retail sales of $115,871,037 (ii) Wholesale sales of $13,034,676 and (iii) Other operating revenues of $217,258, compared to revenues of $119,231,932, including (i) Retail sales of $104,386,464, (ii) Wholesale of $14,661,268, and (iii) Other operating revenues of $184,200 during the nine months ended September 30, 2022, representing an increase of $9,891,039 or 8%. This increase in revenue is primarily driven by completion of additional acquisition transactions and adult-use legalization taking effect in New Mexico in April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the third quarter of 2022, the Company acquired or opened 28 additional retail stores across its platform bringing the Company’s total store count to 63 as of September 30, 2023, as compared to 35 retail stores as of September 30, 2022. This represents a substantial increase in the Company’s revenue-generating asset base.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Adult-use cannabis sales became legal in New Mexico in April 2022, shortly after the Company entered the New Mexico market with the acquisition of R. Greenleaf. The Company, and the New Mexico market generally, experienced an increase in sales volume in New Mexico due to this legalization event, and the Company’s revenue for the three and nine months ended September 30, 2022, includes higher revenues than the same periods of 2023 due to this anomalous event. Since adult-use legalization took effect in April 2022, the state has seen an increase of 421 open stores as of September 30, 2023, representing a 182% increase in open store count. This dilution has offset increases in revenue from adult-use sales due to market saturation and increased competition.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Goods and Services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Cost of goods and services for the nine months ended September 30, 2023 totaled $60,133,091 compared to cost of goods and services of $60,661,933 during the nine months ended September 30, 2022, representing a decrease of $528,842 or 1%. Cost of goods and services for the nine months ended September 30, 2023 decreased compared to prior period due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vertical integration in the Company’s existing New Mexico operations, and overall improvements to the Company’s operational assets and processes.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for the nine months ended September 30, 2023 totaled $49,459,128, compared to operating expenses of $43,210,031 during the nine months ended September 30, 2022, representing an increase of $6,249,097 or 14%. The increase is largely due to higher SG&amp;A expenses associated with the increase in retail stores in Colorado and New Mexico. The Company had 63 open locations as of September 30, 2023, an increase of 28 stores, as compared to 35 open locations as of September 30, 2022, which generated an increase in the Company’s overall operating and overhead expenses.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expense, net for the nine months ended September 30, 2023, totaled $9,468,870 compared to other income, net of $4,770,919 during the nine months ended September 30, 2022, representing a decrease in other income, net of  $14,239,789 or 298%. The decrease in other income, net is primarily driven by revaluation of derivative liability related to the Investor Notes that was recognized as income of $14,486,005 for the nine months ended September 30, 2023, as compared to income of $28,104,960 recognized from the same derivative liability for the nine months ended September 30,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factors discussed above, the Company generated net loss for the nine months ended September 30, 2023 of $5,184,664, compared to net income of $8,871,518 for the nine months ended September 30, 2022.</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REVENUE BY SEGMENT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consolidated financial statements across its operating businesses with operating segments of Retail, Wholesale and Other as set forth below.</w:t>
      </w:r>
    </w:p>
    <w:p>
      <w:pPr>
        <w:pStyle w:val="TextBody"/>
        <w:bidi w:val="0"/>
        <w:spacing w:before="0" w:after="240"/>
        <w:ind w:left="0" w:right="0" w:hanging="0"/>
        <w:jc w:val="both"/>
        <w:rPr/>
      </w:pPr>
      <w:r>
        <w:rPr/>
        <w:t>​</w:t>
      </w:r>
    </w:p>
    <w:tbl>
      <w:tblPr>
        <w:tblW w:w="7236" w:type="dxa"/>
        <w:jc w:val="left"/>
        <w:tblInd w:w="0" w:type="dxa"/>
        <w:tblLayout w:type="fixed"/>
        <w:tblCellMar>
          <w:top w:w="0" w:type="dxa"/>
          <w:left w:w="0" w:type="dxa"/>
          <w:bottom w:w="0" w:type="dxa"/>
          <w:right w:w="0" w:type="dxa"/>
        </w:tblCellMar>
      </w:tblPr>
      <w:tblGrid>
        <w:gridCol w:w="1081"/>
        <w:gridCol w:w="326"/>
        <w:gridCol w:w="272"/>
        <w:gridCol w:w="1271"/>
        <w:gridCol w:w="452"/>
        <w:gridCol w:w="272"/>
        <w:gridCol w:w="1271"/>
        <w:gridCol w:w="326"/>
        <w:gridCol w:w="196"/>
        <w:gridCol w:w="826"/>
        <w:gridCol w:w="326"/>
        <w:gridCol w:w="316"/>
        <w:gridCol w:w="3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86435" cy="175260"/>
                      <wp:effectExtent l="0" t="0" r="0" b="0"/>
                      <wp:wrapNone/>
                      <wp:docPr id="341" name="Frame34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72720" cy="175260"/>
                      <wp:effectExtent l="0" t="0" r="0" b="0"/>
                      <wp:wrapNone/>
                      <wp:docPr id="343" name="Frame34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07085" cy="175260"/>
                      <wp:effectExtent l="0" t="0" r="0" b="0"/>
                      <wp:wrapNone/>
                      <wp:docPr id="344" name="Frame344"/>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7020" cy="175260"/>
                      <wp:effectExtent l="0" t="0" r="0" b="0"/>
                      <wp:wrapNone/>
                      <wp:docPr id="345" name="Frame345"/>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72720" cy="175260"/>
                      <wp:effectExtent l="0" t="0" r="0" b="0"/>
                      <wp:wrapNone/>
                      <wp:docPr id="346" name="Frame34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807085" cy="175260"/>
                      <wp:effectExtent l="0" t="0" r="0" b="0"/>
                      <wp:wrapNone/>
                      <wp:docPr id="347" name="Frame347"/>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24460" cy="175260"/>
                      <wp:effectExtent l="0" t="0" r="0" b="0"/>
                      <wp:wrapNone/>
                      <wp:docPr id="349"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24510" cy="175260"/>
                      <wp:effectExtent l="0" t="0" r="0" b="0"/>
                      <wp:wrapNone/>
                      <wp:docPr id="350" name="Frame3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0660" cy="175260"/>
                      <wp:effectExtent l="0" t="0" r="0" b="0"/>
                      <wp:wrapNone/>
                      <wp:docPr id="352" name="Frame3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91135" cy="175260"/>
                      <wp:effectExtent l="0" t="0" r="0" b="0"/>
                      <wp:wrapNone/>
                      <wp:docPr id="353" name="Frame35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5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September 30, </w:t>
            </w:r>
          </w:p>
        </w:tc>
        <w:tc>
          <w:tcPr>
            <w:tcW w:w="326" w:type="dxa"/>
            <w:tcBorders/>
            <w:vAlign w:val="center"/>
          </w:tcPr>
          <w:p>
            <w:pPr>
              <w:pStyle w:val="TableContents"/>
              <w:bidi w:val="0"/>
              <w:spacing w:before="0" w:after="0"/>
              <w:ind w:left="0" w:right="0" w:hanging="0"/>
              <w:jc w:val="center"/>
              <w:rPr/>
            </w:pPr>
            <w:r>
              <w:rPr/>
              <w:t>​</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 vs 2022</w:t>
            </w:r>
          </w:p>
        </w:tc>
        <w:tc>
          <w:tcPr>
            <w:tcW w:w="30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52" w:type="dxa"/>
            <w:tcBorders/>
            <w:vAlign w:val="center"/>
          </w:tcPr>
          <w:p>
            <w:pPr>
              <w:pStyle w:val="TableContents"/>
              <w:bidi w:val="0"/>
              <w:spacing w:before="0" w:after="0"/>
              <w:ind w:left="0" w:right="0" w:hanging="0"/>
              <w:jc w:val="center"/>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26" w:type="dxa"/>
            <w:tcBorders/>
            <w:vAlign w:val="center"/>
          </w:tcPr>
          <w:p>
            <w:pPr>
              <w:pStyle w:val="TableContents"/>
              <w:bidi w:val="0"/>
              <w:spacing w:before="0" w:after="0"/>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01" w:type="dxa"/>
            <w:tcBorders/>
            <w:vAlign w:val="center"/>
          </w:tcPr>
          <w:p>
            <w:pPr>
              <w:pStyle w:val="TableContents"/>
              <w:bidi w:val="0"/>
              <w:spacing w:before="0" w:after="0"/>
              <w:ind w:left="0" w:right="0" w:hanging="0"/>
              <w:jc w:val="center"/>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41,951,969</w:t>
            </w:r>
          </w:p>
        </w:tc>
        <w:tc>
          <w:tcPr>
            <w:tcW w:w="452"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39,759,734</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2,192,235</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Wholesale</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4,701,268</w:t>
            </w:r>
          </w:p>
        </w:tc>
        <w:tc>
          <w:tcPr>
            <w:tcW w:w="45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12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3,335,252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1,366,016</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93,698</w:t>
            </w:r>
          </w:p>
        </w:tc>
        <w:tc>
          <w:tcPr>
            <w:tcW w:w="452"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(2,302)</w:t>
            </w:r>
          </w:p>
        </w:tc>
        <w:tc>
          <w:tcPr>
            <w:tcW w:w="32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46,746,935</w:t>
            </w:r>
          </w:p>
        </w:tc>
        <w:tc>
          <w:tcPr>
            <w:tcW w:w="45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43,190,986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3,555,949</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tbl>
      <w:tblPr>
        <w:tblW w:w="7356" w:type="dxa"/>
        <w:jc w:val="left"/>
        <w:tblInd w:w="0" w:type="dxa"/>
        <w:tblLayout w:type="fixed"/>
        <w:tblCellMar>
          <w:top w:w="0" w:type="dxa"/>
          <w:left w:w="0" w:type="dxa"/>
          <w:bottom w:w="0" w:type="dxa"/>
          <w:right w:w="0" w:type="dxa"/>
        </w:tblCellMar>
      </w:tblPr>
      <w:tblGrid>
        <w:gridCol w:w="1081"/>
        <w:gridCol w:w="326"/>
        <w:gridCol w:w="247"/>
        <w:gridCol w:w="1271"/>
        <w:gridCol w:w="412"/>
        <w:gridCol w:w="247"/>
        <w:gridCol w:w="1271"/>
        <w:gridCol w:w="326"/>
        <w:gridCol w:w="196"/>
        <w:gridCol w:w="946"/>
        <w:gridCol w:w="326"/>
        <w:gridCol w:w="406"/>
        <w:gridCol w:w="3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86435" cy="175260"/>
                      <wp:effectExtent l="0" t="0" r="0" b="0"/>
                      <wp:wrapNone/>
                      <wp:docPr id="354" name="Frame35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56845" cy="175260"/>
                      <wp:effectExtent l="0" t="0" r="0" b="0"/>
                      <wp:wrapNone/>
                      <wp:docPr id="356" name="Frame35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807085" cy="175260"/>
                      <wp:effectExtent l="0" t="0" r="0" b="0"/>
                      <wp:wrapNone/>
                      <wp:docPr id="357" name="Frame357"/>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61620" cy="175260"/>
                      <wp:effectExtent l="0" t="0" r="0" b="0"/>
                      <wp:wrapNone/>
                      <wp:docPr id="358" name="Frame358"/>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6845" cy="175260"/>
                      <wp:effectExtent l="0" t="0" r="0" b="0"/>
                      <wp:wrapNone/>
                      <wp:docPr id="359" name="Frame35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807085" cy="175260"/>
                      <wp:effectExtent l="0" t="0" r="0" b="0"/>
                      <wp:wrapNone/>
                      <wp:docPr id="360" name="Frame360"/>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00710" cy="175260"/>
                      <wp:effectExtent l="0" t="0" r="0" b="0"/>
                      <wp:wrapNone/>
                      <wp:docPr id="363" name="Frame36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57810" cy="175260"/>
                      <wp:effectExtent l="0" t="0" r="0" b="0"/>
                      <wp:wrapNone/>
                      <wp:docPr id="365" name="Frame3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91135" cy="175260"/>
                      <wp:effectExtent l="0" t="0" r="0" b="0"/>
                      <wp:wrapNone/>
                      <wp:docPr id="366" name="Frame36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4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Nine Months Ended September 30, </w:t>
            </w:r>
          </w:p>
        </w:tc>
        <w:tc>
          <w:tcPr>
            <w:tcW w:w="326" w:type="dxa"/>
            <w:tcBorders/>
            <w:vAlign w:val="center"/>
          </w:tcPr>
          <w:p>
            <w:pPr>
              <w:pStyle w:val="TableContents"/>
              <w:bidi w:val="0"/>
              <w:spacing w:before="0" w:after="1"/>
              <w:ind w:left="0" w:right="0" w:hanging="0"/>
              <w:jc w:val="center"/>
              <w:rPr/>
            </w:pPr>
            <w:r>
              <w:rPr/>
              <w:t>​</w:t>
            </w:r>
          </w:p>
        </w:tc>
        <w:tc>
          <w:tcPr>
            <w:tcW w:w="18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 vs 2022</w:t>
            </w:r>
          </w:p>
        </w:tc>
        <w:tc>
          <w:tcPr>
            <w:tcW w:w="30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12" w:type="dxa"/>
            <w:tcBorders/>
            <w:vAlign w:val="center"/>
          </w:tcPr>
          <w:p>
            <w:pPr>
              <w:pStyle w:val="TableContents"/>
              <w:bidi w:val="0"/>
              <w:spacing w:before="0" w:after="1"/>
              <w:ind w:left="0" w:right="0" w:hanging="0"/>
              <w:jc w:val="center"/>
              <w:rPr/>
            </w:pPr>
            <w:r>
              <w:rPr/>
              <w:t>    </w:t>
            </w:r>
          </w:p>
        </w:tc>
        <w:tc>
          <w:tcPr>
            <w:tcW w:w="15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26" w:type="dxa"/>
            <w:tcBorders/>
            <w:vAlign w:val="center"/>
          </w:tcPr>
          <w:p>
            <w:pPr>
              <w:pStyle w:val="TableContents"/>
              <w:bidi w:val="0"/>
              <w:spacing w:before="0" w:after="1"/>
              <w:ind w:left="0" w:right="0" w:hanging="0"/>
              <w:jc w:val="center"/>
              <w:rPr/>
            </w:pPr>
            <w:r>
              <w:rPr/>
              <w:t>    </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01" w:type="dxa"/>
            <w:tcBorders/>
            <w:vAlign w:val="center"/>
          </w:tcPr>
          <w:p>
            <w:pPr>
              <w:pStyle w:val="TableContents"/>
              <w:bidi w:val="0"/>
              <w:spacing w:before="0" w:after="1"/>
              <w:ind w:left="0" w:right="0" w:hanging="0"/>
              <w:jc w:val="center"/>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Retail</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115,871,037</w:t>
            </w:r>
          </w:p>
        </w:tc>
        <w:tc>
          <w:tcPr>
            <w:tcW w:w="412"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104,386,464</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11,484,573</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Wholesale</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2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13,034,676</w:t>
            </w:r>
          </w:p>
        </w:tc>
        <w:tc>
          <w:tcPr>
            <w:tcW w:w="41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2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14,661,268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(1,626,592)</w:t>
            </w:r>
          </w:p>
        </w:tc>
        <w:tc>
          <w:tcPr>
            <w:tcW w:w="32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217,258</w:t>
            </w:r>
          </w:p>
        </w:tc>
        <w:tc>
          <w:tcPr>
            <w:tcW w:w="412"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184,200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33,058</w:t>
            </w:r>
          </w:p>
        </w:tc>
        <w:tc>
          <w:tcPr>
            <w:tcW w:w="32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129,122,971</w:t>
            </w:r>
          </w:p>
        </w:tc>
        <w:tc>
          <w:tcPr>
            <w:tcW w:w="412"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119,231,932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9,891,039</w:t>
            </w:r>
          </w:p>
        </w:tc>
        <w:tc>
          <w:tcPr>
            <w:tcW w:w="32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Retail revenues increased by approximately 6% during the first three months ended September 30, 2023, as compared to the same period last year due to newly acquired and new store base operating for the full quarter. Retail revenue increased by approximately 11% during the first nine months of 2023 compared to the same period in 2022. This increase in retail revenue is largely driven by the increase in the Company’s revenue-generating asset base by acquisitions and new store openings.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Revenues for Wholesale increased by approximately 41% for the three months ended September 30, 2023, as compared to the same period in 2022 due to increased penetration, expansion into New Mexico and stabilizing prices in the Colorado wholesale market.  However, revenues for Wholesale decreased by approximately 11% for the nine months ended September 30, 2023, as compared to the same period in 2022 due to overall lower prices in the Colorado wholesale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year over year. Wholesale prices in Colorado were down approximately 26% for the first nine months of 2023 as compared to the prior period, although early indicators from recent periods suggest downward wholesale pricing pressure may be stabilizing.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fluctuations in other revenue are due to changes in the amount of promotional engagement and activity in the Company’s retail stores.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DRIVERS OF RESULTS OF OPERATIONS &amp; KEY PERFORMANCE INDICATORS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derives its revenue from three revenue streams: (i) Retail, which sells finished goods sourced internally and externally to the end consumer in retail stores; (ii) Wholesale, which is the cultivation of flower and biomass sold internally and externally and the manufacturing of biomass into distillate for integration into externally developed products, such as edibles and internally developed products such as vapes and cartridges under the Purplebee’s brand; and (iii) Other, which includes other income and expenses from sales of vendor promotional programs within the Company’s owned retail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revenue less cost of goods sold. Cost of goods sold includes costs directly attributable to product sales and includes amounts paid for finished goods such as flower, edibles, and concentrates, as well as manufacturing and cultivation labor, packaging, supplies and overhead such as rent, utilities and other related costs. Cannabis costs are affected by market supply. Gross margin measures our gross profit as a percentage of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income consists of gross profit less operating expenses. Such operating expenses include selling, general, and administrative expenses (SG&amp;A), professional services, salary, and stock-based compensation expenses. Operating income measures the profitability of the Company’s operating assets.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Working Capital is derived from current assets, which is adjusted to exclude cash and cash equivalents, less current liabilities, which is adjusted to exclude derivative liabilities and the current portion of long term debt.  Operating Working Capital is a non-GAAP financial measure, please see the section entitled "Non-GAAP Measures"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Adjusted EBITDA is derived from operating income, which is adjusted for one-time expenses including merger and acquisition and capital-raising costs, non-cash related compensation costs, goodwill impairment, costs related to discontinued operations, depreciation and amortization, and other one-time expenses. Adjusted EBITDA is a non-GAAP financial measure, please see the section entitled “Non-GAAP Measures”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MEASURES AND RECONCILIATION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Earnings before interest, taxes, depreciation and amortization (“EBITDA”), Adjusted EBITDA, and Operating Working Capital are non-GAAP measures and do not have standardized definitions under GAAP. The following information provides reconciliations for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the Company believes it better explains the results of its core business. Management has evaluated the financial results both including and excluding the adjusted items and believe that the supplemental non-GAAP financial measures presented provide additional perspective and insight when analyzing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12"/>
        <w:gridCol w:w="326"/>
        <w:gridCol w:w="211"/>
        <w:gridCol w:w="1042"/>
        <w:gridCol w:w="326"/>
        <w:gridCol w:w="211"/>
        <w:gridCol w:w="1042"/>
        <w:gridCol w:w="146"/>
        <w:gridCol w:w="211"/>
        <w:gridCol w:w="1147"/>
        <w:gridCol w:w="326"/>
        <w:gridCol w:w="211"/>
        <w:gridCol w:w="1194"/>
      </w:tblGrid>
      <w:tr>
        <w:trPr/>
        <w:tc>
          <w:tcPr>
            <w:tcW w:w="3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420620" cy="175260"/>
                      <wp:effectExtent l="0" t="0" r="0" b="0"/>
                      <wp:wrapNone/>
                      <wp:docPr id="367" name="Frame367"/>
                      <a:graphic xmlns:a="http://schemas.openxmlformats.org/drawingml/2006/main">
                        <a:graphicData uri="http://schemas.microsoft.com/office/word/2010/wordprocessingShape">
                          <wps:wsp>
                            <wps:cNvSpPr txBox="1"/>
                            <wps:spPr>
                              <a:xfrm>
                                <a:off x="0" y="0"/>
                                <a:ext cx="2420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61670" cy="175260"/>
                      <wp:effectExtent l="0" t="0" r="0" b="0"/>
                      <wp:wrapNone/>
                      <wp:docPr id="370" name="Frame370"/>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61670" cy="175260"/>
                      <wp:effectExtent l="0" t="0" r="0" b="0"/>
                      <wp:wrapNone/>
                      <wp:docPr id="373" name="Frame373"/>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2710" cy="175260"/>
                      <wp:effectExtent l="0" t="0" r="0" b="0"/>
                      <wp:wrapNone/>
                      <wp:docPr id="374" name="Frame3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28345" cy="175260"/>
                      <wp:effectExtent l="0" t="0" r="0" b="0"/>
                      <wp:wrapNone/>
                      <wp:docPr id="376" name="Frame376"/>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58190" cy="175260"/>
                      <wp:effectExtent l="0" t="0" r="0" b="0"/>
                      <wp:wrapNone/>
                      <wp:docPr id="379" name="Frame379"/>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32"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46" w:type="dxa"/>
            <w:tcBorders/>
            <w:vAlign w:val="center"/>
          </w:tcPr>
          <w:p>
            <w:pPr>
              <w:pStyle w:val="TableContents"/>
              <w:bidi w:val="0"/>
              <w:spacing w:before="0" w:after="0"/>
              <w:ind w:left="0" w:right="0" w:hanging="0"/>
              <w:jc w:val="left"/>
              <w:rPr/>
            </w:pPr>
            <w:r>
              <w:rPr/>
              <w:t> </w:t>
            </w:r>
          </w:p>
        </w:tc>
        <w:tc>
          <w:tcPr>
            <w:tcW w:w="3089"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38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46" w:type="dxa"/>
            <w:tcBorders/>
            <w:vAlign w:val="center"/>
          </w:tcPr>
          <w:p>
            <w:pPr>
              <w:pStyle w:val="TableContents"/>
              <w:bidi w:val="0"/>
              <w:spacing w:before="0" w:after="0"/>
              <w:ind w:left="0" w:right="0" w:hanging="0"/>
              <w:jc w:val="left"/>
              <w:rPr/>
            </w:pPr>
            <w:r>
              <w:rPr/>
              <w:t> </w:t>
            </w:r>
          </w:p>
        </w:tc>
        <w:tc>
          <w:tcPr>
            <w:tcW w:w="30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38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46" w:type="dxa"/>
            <w:tcBorders/>
            <w:vAlign w:val="center"/>
          </w:tcPr>
          <w:p>
            <w:pPr>
              <w:pStyle w:val="TableContents"/>
              <w:bidi w:val="0"/>
              <w:spacing w:before="0" w:after="0"/>
              <w:ind w:left="0" w:right="0" w:hanging="0"/>
              <w:jc w:val="left"/>
              <w:rPr/>
            </w:pPr>
            <w:r>
              <w:rPr/>
              <w:t>​</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4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(322,462)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1,809,237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(5,184,664)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8,871,518</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8,320,397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8,500,235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23,956,691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23,312,088</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5,441,809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5,593,513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15,246,546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11,259,369</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 of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(4,516,237)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(4,788,127)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(14,487,821)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(28,083,007)</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intangible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5,330,529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3,322,150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15,808,535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8,823,549</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before interest, taxes, depreciation and amortization (EBITDA) (non-GAAP)</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14,254,036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14,437,008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35,339,287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24,183,517</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stock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(2,438,073)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622,162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1,788,823</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 related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1,401,795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993,828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3,331,315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4,907,291</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raise related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185,597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791,229</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adjustment to fair market value for purchase accounting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6,541,651</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121,715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71,536</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Retention program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505,655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relocation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19,110</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non-recurring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655,244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87,097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2,132,272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422,532</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14,119,319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15,860,466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42,458,345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38,725,689</w:t>
            </w:r>
          </w:p>
        </w:tc>
      </w:tr>
      <w:tr>
        <w:trPr/>
        <w:tc>
          <w:tcPr>
            <w:tcW w:w="38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38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46,746,935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43,190,986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129,122,971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119,231,932</w:t>
            </w:r>
          </w:p>
        </w:tc>
      </w:tr>
      <w:tr>
        <w:trPr/>
        <w:tc>
          <w:tcPr>
            <w:tcW w:w="3812"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EBITDA Percent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30.2%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36.7%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32.9%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32.5%</w:t>
            </w:r>
          </w:p>
        </w:tc>
      </w:tr>
      <w:tr>
        <w:trPr/>
        <w:tc>
          <w:tcPr>
            <w:tcW w:w="38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6987" w:type="dxa"/>
        <w:jc w:val="left"/>
        <w:tblInd w:w="0" w:type="dxa"/>
        <w:tblLayout w:type="fixed"/>
        <w:tblCellMar>
          <w:top w:w="0" w:type="dxa"/>
          <w:left w:w="0" w:type="dxa"/>
          <w:bottom w:w="0" w:type="dxa"/>
          <w:right w:w="0" w:type="dxa"/>
        </w:tblCellMar>
      </w:tblPr>
      <w:tblGrid>
        <w:gridCol w:w="3556"/>
        <w:gridCol w:w="326"/>
        <w:gridCol w:w="211"/>
        <w:gridCol w:w="1156"/>
        <w:gridCol w:w="326"/>
        <w:gridCol w:w="211"/>
        <w:gridCol w:w="120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258060" cy="175260"/>
                      <wp:effectExtent l="0" t="0" r="0" b="0"/>
                      <wp:wrapNone/>
                      <wp:docPr id="380" name="Frame38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34060" cy="175260"/>
                      <wp:effectExtent l="0" t="0" r="0" b="0"/>
                      <wp:wrapNone/>
                      <wp:docPr id="383" name="Frame38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62635" cy="175260"/>
                      <wp:effectExtent l="0" t="0" r="0" b="0"/>
                      <wp:wrapNone/>
                      <wp:docPr id="386" name="Frame38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105" w:type="dxa"/>
            <w:gridSpan w:val="5"/>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64,384,320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71,735,033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(19,624,615)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(38,949,253)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current assets (non-GAAP)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44,759,705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32,785,780</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50,396,192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47,381,308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Derivative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(2,022,248)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(16,508,253)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 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(4,250,000)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(2,250,000)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current liabilities (non-GAAP)</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44,123,944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28,623,055</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Working Capital (non-GAAP)</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635,761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4,162,725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2023 and December 31, 2022, the Company had total current liabilities of $50,396,192 and $47,381,308, respectively. As of September 30, 2023 and December 31, 2022, the Company had cash and cash equivalents of $19,624,615 and $38,949,253, respectively to meet its current obligations. The Company’s Operating Working Capital decreased by $3,526,964 for the nine months ended September 30, 2023, as compared to December 31,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growth company, generating cash from operational revenue and capital raises. Cash is being reserved primarily for capital expenditures, facility improvements, acquisitions, and strategic investment opportunities.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Company predominantly relies on internal capital that is generated through revenue and any other internal sources of liquidity to meet its short-term capital demands. Management believes the Company’s current projected growth, revenue from consummated acquisitions, and revenue from operations will be sufficient to meet its current obligations as they become due. The Company relies on a combination of internal and external capital to meet its long-term obligations, with internal liquidity sourced from revenue from operations and external financing acquired from various sources, including commercial loan arrangements, capital raises and private placement transactions, and cash from the Investor Notes. Management believes this combination of internal revenue and external liquidity will be sufficient to meet the Company’s long-term obligations; however, it is possible the Company will seek additional external financing to meet strategic investment needs in the future.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Trends Impacting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management believes that the Company has sufficient liquidity to support its capital needs, certain factors may positively or negatively impact the Company’s liquidity and financing opportunities.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Due to our participation in the cannabis industry and the regulatory framework governing cannabis in the United States, our debt and loan arrangements are sometimes subject to higher interest rates than are market for other industries, which has an unfavorable impact on our liquidity and capital resources. The Company also tends to incur higher banking fees and rates than businesses in other industries. Liquidity may also be negatively impacted if the primary banking and credit institutions meaningfully curtail the use of debit card transactions in the cannabis industry. During the third quarter of 2023, Mastercard sent cease-and-desist letters to various banks and payment processors that facilitated cannabis purchases through unpermitted channels and processes, demanding such banks and processors terminate the activity and transactions. Management does not believe recent developments in the payment processing environment are likely to materially impact our liquidity; however, if we experience a transition back to all-cash transactions as a result of increased payment restrictions and limitations, the Company’s liquidity could be negatively impacted due to decreased sales and/or increased cost of compliance. While participation in the cannabis industry tends to negatively impact certain aspects of capital resources more than other industries, this could change in the future with changes to federal law. If the federal government enacts laws permitting the banking and financial industries to engage with the cannabis industry, such as passage of the SAFER Banking Act, (which is an update of the SAFE Banking Act  introduced in the U.S. Senate in 2023) or rescheduling marijuana from Schedule I to Schedule III of the Controlled Substance Act, the Company anticipates that this could have a positive impact on the Company’s liquidity because it will open up financing and refinancing opportunities not otherwise widely available to cannabis companies at this time due to the current regulatory landscape.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One of our strategic goals is to grow our business through acquisitions, which also tends to negatively impact liquidity during periods when we consummate an identified acquisition. We expect to continue executing this strategy in future periods, meeting such capital requirements in connection therewith from both internal capital and external financing, which will decrease liquidity. Additionally, the cash requirements to service our debt obligations increase with the passage of time due to interest accrual, which increases constraints on our capital resources and tends to reduce liquidity in the amount of such accruals.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wholesale cannabis market has experienced downward pricing pressure from over-supply of certain cannabis products in the market, which has affected retail margins in certain periods and will likely impact the relationship between cost and revenue if and/or when supply is constrained. However, we maintain the ability to shift between external sales and internal use or transfer of our wholesale products due to vertical integration based on market conditions, which may mitigate some of the negative impacts of wholesale market downturns. Wholesale pricing can affect margins positively or negatively depending on market conditions, but profit as a percentage of revenue tends to have an inverse relationship with market pricing conditions. Wholesale pricing increases could reduce retail margins and also generate positive profitability in the wholesale segment, and vice versa. The Company anticipates that the wholesale market will likely remain depressed relative to previous periods, which can negatively impact the Company’s overall liquidity.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also seen a negative relationship between license applications and liquidity in the markets where we operate, and this may negatively impact our liquidity and financial performance in upcoming periods. Since adult-use cannabis sales became legal in New Mexico in April 2022, 421 active retail stores have opened in the New Mexico Market as of September 30, 2023, representing a 182% increase in active store count. This increase in state-wide license count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represents a substantial increase in competitors in that market, which has diluted the Company’s overall market share in New Mexico. As more licenses are issued in states where we operate, our liquidity is likely to be negatively impacted due to increased 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Increasing inflation may also negatively impact the liquidity, as the cost of goods and services may increase without corresponding increases to revenue. Inflation increases could also impact the incremental borrowing rate and ability to obtain external financing on similar terms as previous financing arrangements. Increasing inflation and general economic downturn in the United States could also negatively impact revenue to the extent such factors affect consumer behavior. Additional factors or trends that have impacted or could potentially impact liquidity in future periods include general economic conditions such as market saturation, inflation, labor shortages and employee turnover, consumer behavior, and general economic downturn.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 operating, investing and financing activities for the periods ended September 30, 2023 and 2022 were as follows:</w:t>
      </w:r>
    </w:p>
    <w:p>
      <w:pPr>
        <w:pStyle w:val="TextBody"/>
        <w:bidi w:val="0"/>
        <w:spacing w:before="0" w:after="240"/>
        <w:ind w:left="0" w:right="0" w:hanging="0"/>
        <w:jc w:val="both"/>
        <w:rPr/>
      </w:pPr>
      <w:r>
        <w:rPr/>
        <w:t>​</w:t>
      </w:r>
    </w:p>
    <w:tbl>
      <w:tblPr>
        <w:tblW w:w="7973" w:type="dxa"/>
        <w:jc w:val="left"/>
        <w:tblInd w:w="0" w:type="dxa"/>
        <w:tblLayout w:type="fixed"/>
        <w:tblCellMar>
          <w:top w:w="0" w:type="dxa"/>
          <w:left w:w="0" w:type="dxa"/>
          <w:bottom w:w="0" w:type="dxa"/>
          <w:right w:w="0" w:type="dxa"/>
        </w:tblCellMar>
      </w:tblPr>
      <w:tblGrid>
        <w:gridCol w:w="4216"/>
        <w:gridCol w:w="326"/>
        <w:gridCol w:w="211"/>
        <w:gridCol w:w="1156"/>
        <w:gridCol w:w="326"/>
        <w:gridCol w:w="211"/>
        <w:gridCol w:w="1156"/>
        <w:gridCol w:w="37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677160" cy="175260"/>
                      <wp:effectExtent l="0" t="0" r="0" b="0"/>
                      <wp:wrapNone/>
                      <wp:docPr id="387" name="Frame387"/>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34060" cy="175260"/>
                      <wp:effectExtent l="0" t="0" r="0" b="0"/>
                      <wp:wrapNone/>
                      <wp:docPr id="390" name="Frame39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34060" cy="175260"/>
                      <wp:effectExtent l="0" t="0" r="0" b="0"/>
                      <wp:wrapNone/>
                      <wp:docPr id="393" name="Frame39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35585" cy="175260"/>
                      <wp:effectExtent l="0" t="0" r="0" b="0"/>
                      <wp:wrapNone/>
                      <wp:docPr id="394" name="Frame39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Periods Ended September 30, </w:t>
            </w:r>
          </w:p>
        </w:tc>
        <w:tc>
          <w:tcPr>
            <w:tcW w:w="37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    </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8,749,202</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434,448</w:t>
            </w:r>
          </w:p>
        </w:tc>
        <w:tc>
          <w:tcPr>
            <w:tcW w:w="371"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(25,269,156)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(69,390,137)</w:t>
            </w:r>
          </w:p>
        </w:tc>
        <w:tc>
          <w:tcPr>
            <w:tcW w:w="371"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1,280,660</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cash related to operating activities for the period ended September 30, 2023, was predominantly driven by expansion and the related increase in sales and operating efficiencies combined with changes to the Company’s operating assets and liabilities.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use of cash from investing activities is driven by acquisition of businesses, cannabis licenses, and property, plant, and equipment for existing entities such as store remodels. The decrease in cash used in investing activities is largely attributable to less cash paid for acquisitions than paid in connection with acquisitions in previous periods.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Historically, our cash provided by financing activities has mainly consisted of proceeds from our Loan Agreement with Altmore, the Investor Notes and the issuance of shares of Common Stock. The change in cash flow from financing activities is primarily related to payment of cash holdbacks pursuant to acquisition agreements that became due and payable during the third quarter of 2023. In accordance with ASC 230 </w:t>
      </w:r>
      <w:r>
        <w:rPr>
          <w:rFonts w:ascii="Times New Roman;Times;serif" w:hAnsi="Times New Roman;Times;serif"/>
          <w:i/>
          <w:sz w:val="20"/>
        </w:rPr>
        <w:t>Statement of Cash Flows, </w:t>
      </w:r>
      <w:r>
        <w:rPr>
          <w:rFonts w:ascii="Times New Roman;Times;serif" w:hAnsi="Times New Roman;Times;serif"/>
          <w:sz w:val="20"/>
        </w:rPr>
        <w:t>certain prior period amounts have been reclassified to conform to the current period presentation. These reclassifications had no impact on the Company’s net earnings and financial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 of Indebtedness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Loan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26, 2021, the Company entered into the Loan Agreement with Altmore. Upon execution of the Loan Agreement, the Company received $10,000,000 of loan proceeds. In connection with the Company’s acquisition of Southern Colorado Growers (“SCG”), the Company received an additional $5,000,000 of loan proceeds under the Loan Agreement. The term loan incurs 15% interest per annum, payable quarterly on March 1, June 1, September 1, and December 1 of each year. The Company has begun making principal payments on June 1, 2023, in the amount of $750,000, payable quarterly with the remainder of the principal due upon maturity on February 26, 2025. The Company’s obligations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Loan Agreement are secured by a first priority security interest in the assets of PBS Holdco LLC (“PBS”), a wholly-owned subsidiary of the Company and the Company’s Colorado manufacturing operation, and the 36 acres of land in Huerfano County, Colorado owned by the Company and designed for indoor and outdoor cultivation (the “Altmore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loan, the Company must comply with certain restrictions and covenants.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September 30, 2023, the Company was in compliance with the requirements described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Seller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Star Buds Acquisitions, the Company entered into a deferred payment arrangement with the sellers in an aggregate amount of $44,250,000, also referred to in this report as “seller note(s)”. The seller notes incur 12% interest per annum, payable on the first of every month through November 2025. Principal payments are due in accordance with the following schedule: $13,901,759 on December 17, 2025, $3,474,519 on February 3, 2026, and $26,873,722 on March 2, 2026. The seller notes are secured by a first priority security interest in substantially all of the assets owned by SBUD LLC, a wholly-owned subsidiary of the Company that acquired the Star Buds assets (the “Star Buds Collateral”).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Investor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 2021, the Company and the Subsidiary Guarantors entered into the Note Purchase Agreement with 31 accredited investors pursuant to which the Company agreed to issue and sell to the investors 13% senior secured convertible notes due December 7, 2026 in an aggregate principal amount of $95,000,000 for an aggregate purchase price of $93,100,000 (reflecting an original issue discount of $1,900,000, or 2%) in the private placement. On December 7, 2021, the Company consummated the private placement and issued and sold the Investor Notes. The Company received net proceeds of approximately $92,000,000 at the closing, after deducting a commission to the placement agent and estimated offering expenses associated with the private placement payable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 The Company’s obligations under the Indenture and the Investor Notes are secured by (i) a junior security interest in the Altmore Collateral and the Star Buds Collateral, and (ii) a first priority security interest in all assets owned by the Company and the Subsidiary Guarantors on or after December 7, 2021.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Indenture, the Company must comply with certain restrictions and covenants. These include customary events of default and various financial covenants, including maintaining (i) a consolidated fixed charge coverage ratio of no less than 1.30 to 1.00 at the end of each fiscal quarter, and (ii) a minimum of $10,000,000 (in aggregate) in deposit accounts in which the Indenture Collateral Agent has a security interest. As of September 30, 2023, the Company was in compliance with the requirements described above.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includes customary affirmative and negative covenants, including limitations on liens, additional indebtedness, repurchases and redemptions of any equity interest in the Company, certain investments, and dividends and other restricted payments, and customary events of default. See Note 11, “Debt,” to the consolidated financial statements for additional details on such restrictions included in the Indenture. These restrictions have not impacted the Company’s ability to meet its cash obligations, although such restrictions and limitations may make additional external financing more difficult to obtain and/or subject to less favorable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Nuevo Note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acquisition under the Nuevo Purchase Agreement, Nuevo Holding, LLC, a wholly-owned subsidiary of the Company, issued the Nuevo Note to RGA requiring the Company to make payments on an aggregate amount of $17,000,000. The deferred Nuevo Note incurs 5% interest per year, payable on the first of each month. The principal is due February 7, 2025. The Nuevo Note is unsecured.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Everest Note</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Everest Purchase Agreement, Everest Purchaser issued the Everest Note to Everest Seller, requiring the Company to make payments on an aggregate amount of $17,500,000. The Everest Note incurs 5% interest per year, payable quarterly starting June 30, 2023. The Company is required to make installment payments of principal and interest starting June 30, 2025, and the total outstanding principal will be due on May 31, 2027. The Everest Note is unsecured.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Cash Obligations and Other Commitments and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contractual obligations arising in the normal course of business primarily consist of debt and interest related payments, lease obligations, and purchase price obligations for acquisitions. Management believes that cash flows from operations will be sufficient to satisfy our capital expenditures, debt services, working capital needs, and other contractual obligations for the next twelve months. We may need to obtain additional external financing to meet our material long-term obligations, and management believes the Company will need additional financing to continue execution of its growth strategy in future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quantifies the Company’s future contractual obligation as of September 30, 2023: </w:t>
      </w:r>
    </w:p>
    <w:p>
      <w:pPr>
        <w:pStyle w:val="TextBody"/>
        <w:bidi w:val="0"/>
        <w:spacing w:before="0" w:after="240"/>
        <w:ind w:left="0" w:right="0" w:hanging="0"/>
        <w:jc w:val="both"/>
        <w:rPr/>
      </w:pPr>
      <w:r>
        <w:rPr/>
        <w:t>​</w:t>
      </w:r>
    </w:p>
    <w:tbl>
      <w:tblPr>
        <w:tblW w:w="11237" w:type="dxa"/>
        <w:jc w:val="left"/>
        <w:tblInd w:w="0" w:type="dxa"/>
        <w:tblLayout w:type="fixed"/>
        <w:tblCellMar>
          <w:top w:w="0" w:type="dxa"/>
          <w:left w:w="0" w:type="dxa"/>
          <w:bottom w:w="0" w:type="dxa"/>
          <w:right w:w="0" w:type="dxa"/>
        </w:tblCellMar>
      </w:tblPr>
      <w:tblGrid>
        <w:gridCol w:w="976"/>
        <w:gridCol w:w="326"/>
        <w:gridCol w:w="196"/>
        <w:gridCol w:w="1006"/>
        <w:gridCol w:w="326"/>
        <w:gridCol w:w="196"/>
        <w:gridCol w:w="826"/>
        <w:gridCol w:w="326"/>
        <w:gridCol w:w="196"/>
        <w:gridCol w:w="916"/>
        <w:gridCol w:w="326"/>
        <w:gridCol w:w="196"/>
        <w:gridCol w:w="916"/>
        <w:gridCol w:w="326"/>
        <w:gridCol w:w="196"/>
        <w:gridCol w:w="1006"/>
        <w:gridCol w:w="326"/>
        <w:gridCol w:w="196"/>
        <w:gridCol w:w="916"/>
        <w:gridCol w:w="326"/>
        <w:gridCol w:w="196"/>
        <w:gridCol w:w="1021"/>
      </w:tblGrid>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Notes Payable (</w:t>
            </w:r>
            <w:r>
              <w:rPr>
                <w:rFonts w:ascii="Times New Roman;Times;serif" w:hAnsi="Times New Roman;Times;serif"/>
                <w:i/>
                <w:sz w:val="16"/>
              </w:rPr>
              <w:t>a</w:t>
            </w: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193,121,777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27,624,655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147,594,213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12,902,909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Due on Notes Payable </w:t>
            </w:r>
            <w:r>
              <w:rPr>
                <w:rFonts w:ascii="Times New Roman;Times;serif" w:hAnsi="Times New Roman;Times;serif"/>
                <w:i/>
                <w:sz w:val="16"/>
              </w:rPr>
              <w:t>(b)</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50,808,833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4,577,254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18,252,178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16,379,690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11,331,798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Right of Use Assets </w:t>
            </w:r>
            <w:r>
              <w:rPr>
                <w:rFonts w:ascii="Times New Roman;Times;serif" w:hAnsi="Times New Roman;Times;serif"/>
                <w:i/>
                <w:sz w:val="16"/>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42,499,184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2,123,963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7,399,326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6,127,958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5,516,090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4,325,564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17,006,284</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Deferred Payment for Acquisitions </w:t>
            </w:r>
            <w:r>
              <w:rPr>
                <w:rFonts w:ascii="Times New Roman;Times;serif" w:hAnsi="Times New Roman;Times;serif"/>
                <w:i/>
                <w:sz w:val="16"/>
              </w:rPr>
              <w:t>(d)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2,069,173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547,011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601,725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920,436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288,498,967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8,701,217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29,198,515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50,734,028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165,362,537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17,496,386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17,006,284</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(a)</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Represents principal amounts owed pursuant to the Loan Agreement, the Investor Notes, the Nuevo Note, the seller notes, and the Everest Note, excluding $34,723,592 of unamortized debt discount and $5,339,158 of unamortized debt issuance costs. See Note 11 “Debt”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(b)</w:t>
            </w:r>
          </w:p>
        </w:tc>
        <w:tc>
          <w:tcPr>
            <w:tcW w:w="98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18"/>
              </w:rPr>
              <w:t>Represents cash interest accruals owed pursuant to the Loan Agreement, the Investor Notes, the Nuevo Note, the seller notes, and the Everest Note.</w:t>
            </w:r>
            <w:r>
              <w:rPr/>
              <w:t xml:space="preserve"> </w:t>
            </w:r>
            <w:r>
              <w:rPr>
                <w:rFonts w:ascii="Times New Roman;Times;serif" w:hAnsi="Times New Roman;Times;serif"/>
                <w:b w:val="false"/>
                <w:i/>
                <w:sz w:val="18"/>
              </w:rPr>
              <w:t>The Investor Notes are convertible into Common Stock freely at the option of the holder and subject to certain restrictions at the option of the Company such that conversion events could impact the interest and accrual obligations related to the Investor Notes in future periods. See Note 11 “Debt”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(c)</w:t>
            </w:r>
          </w:p>
        </w:tc>
        <w:tc>
          <w:tcPr>
            <w:tcW w:w="98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Reflects our contractual obligations to make future payments under all of the Company’s leases in effect as of September 30, 2023. See Note 12 “Leases”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313"/>
        <w:gridCol w:w="9768"/>
      </w:tblGrid>
      <w:tr>
        <w:trPr/>
        <w:tc>
          <w:tcPr>
            <w:tcW w:w="124" w:type="dxa"/>
            <w:tcBorders/>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(d)</w:t>
            </w:r>
          </w:p>
        </w:tc>
        <w:tc>
          <w:tcPr>
            <w:tcW w:w="97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Represents the Akimbo Deferred Purchase Price obligation. See Note 7 “Business Combinations” to our consolidated financial statements.</w:t>
            </w:r>
          </w:p>
        </w:tc>
      </w:tr>
    </w:tbl>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Estimates and Recent Accounting Pronouncements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discussion and analysis of our financial condition and results of operations are based upon our financial statements, which have been prepared in accordance with GAAP. The preparation of these financial statements requires us to make estimates and judgments that affect the amounts of assets, liabilities, revenues and expenses, and related disclosure of contingent assets and liabilities.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believes that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its significant accounting policies (see Note 2 to Financial Statements), the ones that may involve a higher degree of uncertainty, judgment and complexity are revenue recognition, stock based compensation, derivative instruments, income taxes, goodwill and commitments and contingencies are the most important to the portrayal of our financial condition and results of operations and that require management’s most difficult, subjective or complex judgments, often as a result of the need to make estimates about the effects of matters that are inherently uncertain.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 and Related Allowances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three main revenue streams: (i) Retail sales, (ii) Wholesale sales, and (iii) Other revenues from revenues from marketing and promotional activities and other miscellaneous sources not otherwise directly related to our retail and wholesale operations.  During 2022, we ceased providing licensing and consulting services, strategically discontinued that portion of our business operations, and are no longer providing these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retail and wholesale sales are recorded at the time that control of the products is transferred to customers. In evaluating the timing of the transfer of control of products to customers, we consider several indicators, including significant risks and rewards of products, our right to payment, and the legal title of the products. Based on the assessment of control indicators, our sales are generally recognized when products are delivered to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other revenue, typically from marketing and promotional services, is recognized when our obligations to our client are fulfilled, which is determined when milestones in the contract are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A contract liability is recorded when consideration is received in advance of the delivery of goods or services. We identify revenue contracts upon acceptance from the customer when such a contract represents a single performance obligation to sell our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account for share-based payments pursuant to Accounting Standards Codification (“ASC”) Topic 718, </w:t>
      </w:r>
      <w:r>
        <w:rPr>
          <w:rFonts w:ascii="Times New Roman;Times;serif" w:hAnsi="Times New Roman;Times;serif"/>
          <w:i/>
          <w:sz w:val="20"/>
        </w:rPr>
        <w:t>Stock Compensation</w:t>
      </w:r>
      <w:r>
        <w:rPr>
          <w:rFonts w:ascii="Times New Roman;Times;serif" w:hAnsi="Times New Roman;Times;serif"/>
          <w:sz w:val="20"/>
        </w:rPr>
        <w:t xml:space="preserve"> and, accordingly, we record compensation expense for share-based awards based upon an assessment of the grant date fair value for stock and restricted stock awards using the Black-Scholes option pricing model.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stock compensation expense for stock options is recognized over the vesting period of the award or expensed immediately under ASC 718 when stock or options are awarded for previous or current service without further recourse.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740, </w:t>
      </w:r>
      <w:r>
        <w:rPr>
          <w:rFonts w:ascii="Times New Roman;Times;serif" w:hAnsi="Times New Roman;Times;serif"/>
          <w:i/>
          <w:sz w:val="20"/>
        </w:rPr>
        <w:t>Income Taxes</w:t>
      </w:r>
      <w:r>
        <w:rPr>
          <w:rFonts w:ascii="Times New Roman;Times;serif" w:hAnsi="Times New Roman;Times;serif"/>
          <w:sz w:val="20"/>
        </w:rPr>
        <w:t xml:space="preserve"> requires the use of the asset and liability method of accounting for income taxes. Under the asset and liability method of ASC 740, the Company’s deferred tax assets and liabilities are recognized for the future tax consequences attributable to temporary differences between the financial statement carrying amounts of existing assets and liabilities and their respective tax bases. Our deferred tax assets and liabilities are measured using enacted tax rates expected to apply to taxable income in the years in which those temporary differences are expected to be recovered or settled.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 and Intangible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Goodwill represents the future economic benefit arising from other assets acquired that could not be individually identified and separately recognized. The goodwill arising from our acquisitions is attributable to the value of the potential expanded market opportunity with new customers. Intangible assets have either an identifiable or indefinite useful life. Intangible assets with identifiable useful lives are amortized on a straight-line basis over their economic or legal life, whichever is shorter. Our amortizable intangible assets consist of licensing agreements, product licenses and registrations, and intellectual property or trade secrets. Their estimated useful lives range from 3 to 15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Goodwill and indefinite-lived assets are not amortized but are subject to annual impairment testing unless circumstances dictate more frequent assessments. We perform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approaches. The fair values calculated under the income approach and market approaches are weighted based on circumstances surrounding the reporting unit. Under the income approach, we determine fair value based on estimated future cash flows of the reporting unit, which are discounted to the present value using discount factors that consider the timing and risk of cash flows. For the discount rate, we rely on the capital asset pricing model approach, which includes an assessment of the risk-free interest rate, the rate of return from publicly traded stocks, our risk relative to the overall market, our size and industry and other risks specific to us. Other significant assumptions used in the income approach include the terminal value, growth rates, future capital expenditures and changes in future working capital requirements. The market approaches use key multiples from guideline businesses that are comparable and are traded on a public market. If the fair value of the reporting unit is greater than its carrying amount, there is no impairment. If the reporting unit’s carrying amount exceeds its fair value, then the second step must be taken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Determining the fair value of a reporting unit is judgmental in nature and requires the use of significant estimates and assumptions, including revenue growth rates, strategic plans, and future market conditions, among others. There can be no assurance that our estimates and assumptions made for purposes of the goodwill impairment testing will prove to be accurate predictions of the future. Changes in assumptions and estimates could cause us to perform an impairment test prior to scheduled annual impairment tests.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performed our annual fair value assessment as of December 31, 2022 on our subsidiaries with material goodwill on our respective balance sheets and recognized a goodwill impairment charge of $11,719,306, of which $3,708,226 is included in loss from disposal of assets in the accompanying consolidated statements of comprehensive income as it is related to ceased operations during 2022. No additional factors or circumstances existed as of September 30, 2023, that would indicate impairment.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98" w:name="Item3"/>
      <w:bookmarkStart w:id="1599" w:name="_cb4d5b26_a719_4b77_8b41_45cb5e91741f"/>
      <w:bookmarkEnd w:id="1598"/>
      <w:bookmarkEnd w:id="1599"/>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00" w:name="Item4"/>
      <w:bookmarkStart w:id="1601" w:name="_9db56f1d_3bbc_4c24_bbab_609c097b7079"/>
      <w:bookmarkEnd w:id="1600"/>
      <w:bookmarkEnd w:id="1601"/>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Evaluation of Disclosure Controls and Procedures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end of the period covered by this Quarterly Report on Form 10-Q, we conducted an evaluation, under the supervision and with the participation of our Chief Executive Officer and Chief Financial Officer, of our disclosure controls and procedures (as defined in Rule 13a-15(e) and Rule 15d-15(e) of the Exchange Act). Based upon this evaluation, our Chief Executive Officer and Chief Financial Officer concluded that our disclosure controls and procedures are effective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Chief Executive Officer and Chief Financial Officer, or person performing similar functions,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period covered by this Quarterly Report on Form 10-Q that have materially affected, or are reasonably likely to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602" w:name="PartII"/>
      <w:bookmarkStart w:id="1603" w:name="_661daadd_301f_4c29_866a_87d1d5b5dae1"/>
      <w:bookmarkEnd w:id="1602"/>
      <w:bookmarkEnd w:id="1603"/>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604" w:name="Item1Legal"/>
      <w:bookmarkEnd w:id="1604"/>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7, 2019, the Company filed a complaint against ACC Industries Inc. and Building Management Company B, L.L.C., in state district court located in Clark County, Nevada, alleging, amongst other causes of action, breach of contract, conversion, and unjust enrichment and seeking general, special and punitive damages. On July 17, 2019, the parties stipulated to stay the case in favor of arbitration. On February 25, 2020, ACC Industries Inc. filed a counterclaim against the Company alleging breach of contract. The Company discovered new facts that lead it to believe that a related entity not previously named as a party to the arbitration, ACC Enterprises, LLC (“ACC”), should be brought in as a party to the arbitration. Based upon the new facts, the Company filed a motion to amend the complaint to add new claims and ACC as a party. On September 1, 2020, the arbitrator granted the Company’s motion and permitted the Company to amend the complaint to add ACC as a party. On September 1, 2020, the Company filed an amended complaint and added intentional misrepresentation, fraudulent inducement, civil conspiracy, aiding and abetting, successor liability and fraudulent concealment claims. The Company began arbitration proceedings on November 2, 2020. The Company completed arbitration in February 2021. On May 14, 2021, the Arbitrator entered an award in favor of the Company in the aggregate amount of $1,935,273, subject to an offset equal to $150,000, for a total net award of $1,785,273. After the arbitration award was entered, a receiver was appointed over ACC and its affiliates due to the death of the only owner who had a valid cannabis establishment registration agent card. An automatic litigation stay was entered upon the appointment of the receiver. During the receivership, ACC’s owners have had internal ownership disputes and ACC has had financial difficulties. The receiver has taken the position that ACC should be liquidated. On April 28, 2022, the receiver received approval from the court to liquidate ACC’s assets. On May 24, 2022, upon the completion of a bidding procedure for certain ACC assets, the court approved the sale of certain ACC assets to the only and prevailing bidder. The sale is now completed.  On July 26, 2022, the court approved a creditors’ claim process. The Company complied with the claim process and its claim was approved by the receiver.  The Company believes that it will, or the receiver will, file a motion to begin winding up the receivership and request that the receiver make a preliminary distribution of the proceeds obtained from the asset sale to approved creditors.  The Company believes it is the largest creditor and that the asset sale proceeds will be distributed pro rata to creditors with approved claims.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11, 2023, Justin Fowler, a budtender in the Company’s Cottonwood R. Greenleaf location in New Mexico, filed a wage and hour case as a collective action pursuant to the Fair Labor Standards Act (FLSA) and as a class action under the New Mexico Minimum Wage Act (NMMWA) against the Company, Schwazze New Mexico, LLC and R. Greenleaf Organics (collectively “the Company”) on behalf of himself and similarly situated budtenders employed by the Company. The complaint alleges that the Company’s pooling and allocation of tips violated federal and state law. The Company denies all of Plaintiff’s allegations. To date, Plaintiff has joined 13 Opt-in Plaintiffs, of which two are former employees at one of the Company’s Colorado locations. The parties are presently engaged in early discovery with a mediation tentatively set for February 1, 2024. If mediation fails, the Company intends to vigorously defend the allegations. It is not possible at this time reasonably to assess the final outcome of this litigation or reasonably to estimate the possible loss or range of loss with respect to this litigation. If the Company was not to prevail in final, non-appealable determinations of this litigation, the impact is not anticipated to be material. </w:t>
      </w:r>
    </w:p>
    <w:p>
      <w:pPr>
        <w:pStyle w:val="TextBody"/>
        <w:bidi w:val="0"/>
        <w:spacing w:before="0" w:after="24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September 6, 2023, John T. Frost (the “Plaintiff”), a budtender at the Company’s Star Buds Louisville, Colorado location, filed a complaint against the Company, Justin Dye, Daniel R. Pabon, Daniel Bonach, Cetan Wanbli Williams, Brian Ruden, Salim Husan Wahdan, Bassel Husan Wahdan, Kyle Kreuger, Forrest Hoffmaster, Nirup Krishnamurthy, Schwazze Colorado, LLC, SBUD, LLC, Two J’s d/b/a/ The Big Tomato, and Star Buds Louisville, LLC (collectively, “Defendants”) in the 20</w:t>
      </w:r>
      <w:r>
        <w:rPr>
          <w:rFonts w:ascii="Times New Roman;Times;serif" w:hAnsi="Times New Roman;Times;serif"/>
          <w:sz w:val="15"/>
        </w:rPr>
        <w:t>th</w:t>
      </w:r>
      <w:r>
        <w:rPr>
          <w:rFonts w:ascii="Times New Roman;Times;serif" w:hAnsi="Times New Roman;Times;serif"/>
          <w:sz w:val="20"/>
        </w:rPr>
        <w:t xml:space="preserve"> Judicial District Court for the County of Boulder, Colorado. In the complaint, Plaintiff, </w:t>
      </w:r>
      <w:r>
        <w:rPr>
          <w:rFonts w:ascii="Times New Roman;Times;serif" w:hAnsi="Times New Roman;Times;serif"/>
          <w:i/>
          <w:sz w:val="20"/>
        </w:rPr>
        <w:t>Pro Se</w:t>
      </w:r>
      <w:r>
        <w:rPr>
          <w:rFonts w:ascii="Times New Roman;Times;serif" w:hAnsi="Times New Roman;Times;serif"/>
          <w:sz w:val="20"/>
        </w:rPr>
        <w:t>, alleges, among other claims: (i) violation of the FLSA, the Colorado Wage Claim Act, and Colorado Overtime and Minimum Pay Standards Order #38 stemming from alleged theft of tips, (ii) harassment, (iii) discriminatory and/or unfair employment practices, (iv) unjust enrichment, (v) menacing, (vi) criminal extortion, and (vii) intimidation of a witness. On October 6, 2023, Defendants removed the case from the 20</w:t>
      </w:r>
      <w:r>
        <w:rPr>
          <w:rFonts w:ascii="Times New Roman;Times;serif" w:hAnsi="Times New Roman;Times;serif"/>
          <w:sz w:val="15"/>
        </w:rPr>
        <w:t>th</w:t>
      </w:r>
      <w:r>
        <w:rPr>
          <w:rFonts w:ascii="Times New Roman;Times;serif" w:hAnsi="Times New Roman;Times;serif"/>
          <w:sz w:val="20"/>
        </w:rPr>
        <w:t xml:space="preserve"> Judicial District Court for the County of Boulder, Colorado to the United States District Court for the District of Colorado. On October 11, 2023, Plaintiff filed a motion to amend his complaint to include an eighth claim asserting violations of the federal Controlled Substances Act. The District Court subsequently granted a motion by Defendants to extend the time for Defendants to submit an Answer until after resolution of Plaintiff’s motion to amend the complaint. At this time, it is not possible to reasonably assess the final outcome of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litigation or to reasonably estimate the possible loss or range of loss with respect to this litigation. If Defendants were not to prevail in final, non-appealable determinations of this litigation, the impact is not anticipated to be material.</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5" w:name="Item1ARisk"/>
      <w:bookmarkStart w:id="1606" w:name="_eed35c85_2bb4_4736_a191_d09e92bc6f1f"/>
      <w:bookmarkEnd w:id="1605"/>
      <w:bookmarkEnd w:id="1606"/>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risk factors applicable to us from those identified in “Item 1A. Risk Factors” included in our Annual Report on Form 10-K for the period ended December 31, 2022 filed with the Securities and Exchange Commission on March 29,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7" w:name="Item2Unregistered"/>
      <w:bookmarkStart w:id="1608" w:name="_0b98288f_3ac0_4041_9f2f_f540fe676eb3"/>
      <w:bookmarkEnd w:id="1607"/>
      <w:bookmarkEnd w:id="1608"/>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subject to restrictions on the payment of dividends and other working capital requirements in its loan and debt agreements. See Note 10 to the Financial Statements included in Part I to this Quarterly Report on Form 10-Q for additional information on the Company’s indebtedness and related restrictions therein.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9" w:name="Item3Defaults"/>
      <w:bookmarkStart w:id="1610" w:name="_e7baddf8_d3ae_4a81_92e5_5b63f806cd25"/>
      <w:bookmarkEnd w:id="1609"/>
      <w:bookmarkEnd w:id="1610"/>
      <w:r>
        <w:rPr>
          <w:rFonts w:ascii="Times New Roman;Times;serif" w:hAnsi="Times New Roman;Times;serif"/>
          <w:b/>
          <w:sz w:val="20"/>
        </w:rPr>
        <w:t xml:space="preserve">Item 3. </w:t>
      </w:r>
      <w:r>
        <w:rPr>
          <w:rFonts w:ascii="Times New Roman;Times;serif" w:hAnsi="Times New Roman;Times;serif"/>
          <w:b/>
          <w:i/>
          <w:sz w:val="20"/>
        </w:rPr>
        <w:t>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11" w:name="Item4Mine"/>
      <w:bookmarkStart w:id="1612" w:name="_c22697da_d6b3_4bb6_8eda_78522fd2fd83"/>
      <w:bookmarkEnd w:id="1611"/>
      <w:bookmarkEnd w:id="1612"/>
      <w:r>
        <w:rPr>
          <w:rFonts w:ascii="Times New Roman;Times;serif" w:hAnsi="Times New Roman;Times;serif"/>
          <w:b/>
          <w:sz w:val="20"/>
        </w:rPr>
        <w:t xml:space="preserve">Item 4. </w:t>
      </w:r>
      <w:r>
        <w:rPr>
          <w:rFonts w:ascii="Times New Roman;Times;serif" w:hAnsi="Times New Roman;Times;serif"/>
          <w:b/>
          <w:i/>
          <w:sz w:val="20"/>
        </w:rPr>
        <w:t>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13" w:name="Item5Other"/>
      <w:bookmarkStart w:id="1614" w:name="_bfc78f9b_ed18_408f_832d_cbbaa2a37fba"/>
      <w:bookmarkEnd w:id="1613"/>
      <w:bookmarkEnd w:id="1614"/>
      <w:r>
        <w:rPr>
          <w:rFonts w:ascii="Times New Roman;Times;serif" w:hAnsi="Times New Roman;Times;serif"/>
          <w:b/>
          <w:sz w:val="20"/>
        </w:rPr>
        <w:t xml:space="preserve">Item 5. </w:t>
      </w:r>
      <w:r>
        <w:rPr>
          <w:rFonts w:ascii="Times New Roman;Times;serif" w:hAnsi="Times New Roman;Times;serif"/>
          <w:b/>
          <w:i/>
          <w:sz w:val="20"/>
        </w:rPr>
        <w:t>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 Without limiting the generality of the foregoing, during the three months ended September 30, 2023, no director or officer of the Company adopted or terminated any “Rule 10b5-1 trading arrangement,” or any “non-Rule 10b-5 trading arrangement,” as such terms are defined in Item 408(a) of Regulation S-K.</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615" w:name="Item6"/>
      <w:bookmarkStart w:id="1616" w:name="_f3d6b070_44b9_4113_b688_7fc3aaa6ff7b"/>
      <w:bookmarkEnd w:id="1615"/>
      <w:bookmarkEnd w:id="1616"/>
      <w:r>
        <w:rPr>
          <w:rFonts w:ascii="Times New Roman;Times;serif" w:hAnsi="Times New Roman;Times;serif"/>
          <w:b/>
          <w:sz w:val="20"/>
        </w:rPr>
        <w:t xml:space="preserve">Item 6. </w:t>
      </w:r>
      <w:r>
        <w:rPr>
          <w:rFonts w:ascii="Times New Roman;Times;serif" w:hAnsi="Times New Roman;Times;serif"/>
          <w:b/>
          <w:i/>
          <w:sz w:val="20"/>
        </w:rPr>
        <w:t>Exhibits</w:t>
      </w:r>
    </w:p>
    <w:tbl>
      <w:tblPr>
        <w:tblW w:w="10205" w:type="dxa"/>
        <w:jc w:val="left"/>
        <w:tblInd w:w="0" w:type="dxa"/>
        <w:tblLayout w:type="fixed"/>
        <w:tblCellMar>
          <w:top w:w="0" w:type="dxa"/>
          <w:left w:w="0" w:type="dxa"/>
          <w:bottom w:w="0" w:type="dxa"/>
          <w:right w:w="0" w:type="dxa"/>
        </w:tblCellMar>
      </w:tblPr>
      <w:tblGrid>
        <w:gridCol w:w="602"/>
        <w:gridCol w:w="109"/>
        <w:gridCol w:w="9494"/>
      </w:tblGrid>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Asset Purchase Agreement, dated April 13, 2023, by and among Medicine Man Technologies, Inc., Double Brow, LLC, Standing Akimbo LLC, Spencer Kirson, and John Murphy (Incorporated by reference to Exhibit 10.1 to Medicine Man Technologies, Inc.’s Current Report on Form 8-K filed April 21,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Asset Purchase Agreement, dated April 21, 2023, by and among Medicine Man Technologies, Inc., Evergreen Holdco, LLC, Sucellus, LLC, Brook Laskey, as Representative, and the Equityholders named therein (Incorporated by reference to Exhibit 2.1 to Medicine Man Technologies, Inc.’s Current Report on Form 8-K filed April 26,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2.3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Amendment to Asset Purchase Agreement, dated June 1, 2023, by and among Medicine Man Technologies, Inc., Evergreen Holdco, LLC, Sucellus, LLC, Brook Laskey, as Representative, and the Equityholders named therein (Incorporated by reference to Exhibit 2.2 to Medicine Man Technologies, Inc.’s Current Report on Form 8-K filed June 7,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Call Option Agreement, dated June 1, 2023, by and between Evergreen Holdco, LLC and Sucellus, LLC (Incorporated by reference to Exhibit 2.3 to Medicine Man Technologies, Inc.’s Current Report on Form 8-K filed June 7,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Asset Purchase Agreement, dated January 25, 2023, by and among Medicine Man Technologies, Inc., Smoke Holdco, LLC, Cannabis Care Wellness Centers, LLC, Green Medicals Wellness Center #5, LLC, Thomas Wilczynski, Jeremy Lewchuk, T&amp;B Holdings, LLC, and Thomas Wilczynski as Representative (Incorporated by reference to Exhibit 2.3 to Medicine Man Technologies, Inc.’s Current Report on Form 8-K filed April 26,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Promissory Note, dated June 1, 2023, by and between Evergreen Holdco, LLC and Sucellus, LLC (Incorporated by reference to Exhibit 4.1 to Medicine Man Technologies, Inc.’s Current Report on Form 8-K filed June 7,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Agreement, dated May 27, 2023, by and between Medicine Man Technologies, Inc. and Justin Dye (Incorporated by reference to Exhibit 10.1 to Medicine Man Technologies, Inc.’s Current Report on Form 8-K filed May 31,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Amended and Restated Employment Agreement, dated May 24, 2023, by and between Medicine Man Technologies, Inc. and Nirup Krishnamurthy (Incorporated by reference to Exhibit 10.2 to Medicine Man Technologies, Inc.’s Current Report on Form 8-K filed May 31, 2023 (Commission File No. 000-55450))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 ˄,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w:anchor="shwz-20230930xex10d3.htm">
              <w:r>
                <w:rPr>
                  <w:rStyle w:val="InternetLink"/>
                  <w:rFonts w:ascii="Times New Roman;Times;serif" w:hAnsi="Times New Roman;Times;serif"/>
                  <w:b w:val="false"/>
                  <w:i w:val="false"/>
                  <w:caps w:val="false"/>
                  <w:smallCaps w:val="false"/>
                  <w:sz w:val="20"/>
                </w:rPr>
                <w:t>Description of Medicine Man Technologies, Inc. 2023 Long-Term Incentive Plan</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 ˄,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w:anchor="shwz-20230930xex10d4.htm">
              <w:r>
                <w:rPr>
                  <w:rStyle w:val="InternetLink"/>
                  <w:rFonts w:ascii="Times New Roman;Times;serif" w:hAnsi="Times New Roman;Times;serif"/>
                  <w:b w:val="false"/>
                  <w:i w:val="false"/>
                  <w:caps w:val="false"/>
                  <w:smallCaps w:val="false"/>
                  <w:sz w:val="20"/>
                </w:rPr>
                <w:t>Form of Restricted Stock Option and Performance Share Unit Award Agreement</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w:anchor="shwz-20230930xex31d1.htm">
              <w:r>
                <w:rPr>
                  <w:rStyle w:val="InternetLink"/>
                  <w:rFonts w:ascii="Times New Roman;Times;serif" w:hAnsi="Times New Roman;Times;serif"/>
                  <w:b w:val="false"/>
                  <w:i w:val="false"/>
                  <w:caps w:val="false"/>
                  <w:smallCaps w:val="false"/>
                  <w:sz w:val="20"/>
                </w:rPr>
                <w:t>Rule 13a-14(a)/15d-14(a) Certification of Chief Executive Officer</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w:anchor="shwz-20230930xex31d2.htm">
              <w:r>
                <w:rPr>
                  <w:rStyle w:val="InternetLink"/>
                  <w:rFonts w:ascii="Times New Roman;Times;serif" w:hAnsi="Times New Roman;Times;serif"/>
                  <w:b w:val="false"/>
                  <w:i w:val="false"/>
                  <w:caps w:val="false"/>
                  <w:smallCaps w:val="false"/>
                  <w:sz w:val="20"/>
                </w:rPr>
                <w:t>Rule 13a-14(a)/15d-14(a) Certification of Chief Financial Officer</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 *</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w:anchor="shwz-20230930xex32.htm">
              <w:r>
                <w:rPr>
                  <w:rStyle w:val="InternetLink"/>
                  <w:rFonts w:ascii="Times New Roman;Times;serif" w:hAnsi="Times New Roman;Times;serif"/>
                  <w:b w:val="false"/>
                  <w:i w:val="false"/>
                  <w:caps w:val="false"/>
                  <w:smallCaps w:val="false"/>
                  <w:sz w:val="20"/>
                </w:rPr>
                <w:t>Chief Executive Officer and Chief Financial Officer Certification pursuant to Section 906 of the Sarbanes-Oxley Act of 2002</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Everest Audited Statement of Assets Acquired Liabilities Assumed as of June 1, 2023 (Incorporated by Reference to Exhibit 99.2 to Medicine Man Technologies, Inc.’s Current Report on Form 8K/A filed August 17, 2023)(Commission File No. 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Unaudited Pro Forma Condensed Combined Financial Information (Incorporated by Reference to Exhibit 99.3 to Medicine Man Technologies, Inc.’s Current Report on Form 8K/A filed August 17, 2023)(Commission File No. 00-55450)).</w:t>
              </w:r>
            </w:hyperlink>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 101)</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80"/>
              <w:jc w:val="both"/>
              <w:rPr>
                <w:rFonts w:ascii="Times New Roman;Times;serif" w:hAnsi="Times New Roman;Times;serif"/>
                <w:sz w:val="18"/>
              </w:rPr>
            </w:pPr>
            <w:r>
              <w:rPr>
                <w:rFonts w:ascii="Times New Roman;Times;serif" w:hAnsi="Times New Roman;Times;serif"/>
                <w:sz w:val="18"/>
              </w:rPr>
              <w:t>+</w:t>
            </w:r>
          </w:p>
        </w:tc>
        <w:tc>
          <w:tcPr>
            <w:tcW w:w="9979" w:type="dxa"/>
            <w:tcBorders/>
            <w:vAlign w:val="center"/>
          </w:tcPr>
          <w:p>
            <w:pPr>
              <w:pStyle w:val="TableContents"/>
              <w:bidi w:val="0"/>
              <w:spacing w:before="0" w:after="80"/>
              <w:jc w:val="both"/>
              <w:rPr>
                <w:rFonts w:ascii="Times New Roman;Times;serif" w:hAnsi="Times New Roman;Times;serif"/>
                <w:sz w:val="18"/>
              </w:rPr>
            </w:pPr>
            <w:r>
              <w:rPr>
                <w:rFonts w:ascii="Times New Roman;Times;serif" w:hAnsi="Times New Roman;Times;serif"/>
                <w:sz w:val="18"/>
              </w:rPr>
              <w:t>Certain exhibits and schedules to the agreement have been omitted pursuant to Item 601(a)(5) of Regulation S-K. The Company hereby undertakes to supplementally furnish copies of any omitted schedules to the Securities and Exchange Commission upon request.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80"/>
        <w:ind w:left="0" w:right="0" w:hanging="360"/>
        <w:jc w:val="both"/>
        <w:rPr>
          <w:rFonts w:ascii="Times New Roman;Times;serif" w:hAnsi="Times New Roman;Times;serif"/>
          <w:sz w:val="18"/>
        </w:rPr>
      </w:pPr>
      <w:r>
        <w:rPr>
          <w:rFonts w:ascii="Times New Roman;Times;serif" w:hAnsi="Times New Roman;Times;serif"/>
          <w:sz w:val="18"/>
        </w:rPr>
        <w:t>++  </w:t>
      </w:r>
      <w:r>
        <w:rPr>
          <w:rFonts w:ascii="Times New Roman;Times;serif" w:hAnsi="Times New Roman;Times;serif"/>
          <w:sz w:val="18"/>
          <w:shd w:fill="FFFFFF" w:val="clear"/>
        </w:rPr>
        <w:t>Certain information has been redacted pursuant to Item 601(a)(6) of Regulation S-K. The Company hereby undertakes to supplementally furnish any redacted information to the SEC upon request.</w:t>
      </w:r>
    </w:p>
    <w:tbl>
      <w:tblPr>
        <w:tblW w:w="1787" w:type="dxa"/>
        <w:jc w:val="left"/>
        <w:tblInd w:w="0" w:type="dxa"/>
        <w:tblLayout w:type="fixed"/>
        <w:tblCellMar>
          <w:top w:w="0" w:type="dxa"/>
          <w:left w:w="0" w:type="dxa"/>
          <w:bottom w:w="0" w:type="dxa"/>
          <w:right w:w="0" w:type="dxa"/>
        </w:tblCellMar>
      </w:tblPr>
      <w:tblGrid>
        <w:gridCol w:w="211"/>
        <w:gridCol w:w="1576"/>
      </w:tblGrid>
      <w:tr>
        <w:trPr/>
        <w:tc>
          <w:tcPr>
            <w:tcW w:w="211" w:type="dxa"/>
            <w:tcBorders/>
            <w:vAlign w:val="center"/>
          </w:tcPr>
          <w:p>
            <w:pPr>
              <w:pStyle w:val="TableContents"/>
              <w:bidi w:val="0"/>
              <w:spacing w:before="0" w:after="8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80"/>
              <w:jc w:val="left"/>
              <w:rPr>
                <w:rFonts w:ascii="Times New Roman;Times;serif" w:hAnsi="Times New Roman;Times;serif"/>
                <w:sz w:val="18"/>
              </w:rPr>
            </w:pPr>
            <w:r>
              <w:rPr>
                <w:rFonts w:ascii="Times New Roman;Times;serif" w:hAnsi="Times New Roman;Times;serif"/>
                <w:sz w:val="18"/>
              </w:rPr>
              <w:t>Furnished herewith.</w:t>
            </w:r>
          </w:p>
        </w:tc>
      </w:tr>
    </w:tbl>
    <w:tbl>
      <w:tblPr>
        <w:tblW w:w="1562" w:type="dxa"/>
        <w:jc w:val="left"/>
        <w:tblInd w:w="0" w:type="dxa"/>
        <w:tblLayout w:type="fixed"/>
        <w:tblCellMar>
          <w:top w:w="0" w:type="dxa"/>
          <w:left w:w="0" w:type="dxa"/>
          <w:bottom w:w="0" w:type="dxa"/>
          <w:right w:w="0" w:type="dxa"/>
        </w:tblCellMar>
      </w:tblPr>
      <w:tblGrid>
        <w:gridCol w:w="346"/>
        <w:gridCol w:w="1216"/>
      </w:tblGrid>
      <w:tr>
        <w:trPr/>
        <w:tc>
          <w:tcPr>
            <w:tcW w:w="346" w:type="dxa"/>
            <w:tcBorders/>
            <w:vAlign w:val="center"/>
          </w:tcPr>
          <w:p>
            <w:pPr>
              <w:pStyle w:val="TableContents"/>
              <w:bidi w:val="0"/>
              <w:spacing w:before="0" w:after="80"/>
              <w:jc w:val="left"/>
              <w:rPr>
                <w:rFonts w:ascii="Times New Roman;Times;serif" w:hAnsi="Times New Roman;Times;serif"/>
                <w:sz w:val="18"/>
              </w:rPr>
            </w:pPr>
            <w:r>
              <w:rPr>
                <w:rFonts w:ascii="Times New Roman;Times;serif" w:hAnsi="Times New Roman;Times;serif"/>
                <w:sz w:val="18"/>
              </w:rPr>
              <w:t xml:space="preserve">** </w:t>
            </w:r>
          </w:p>
        </w:tc>
        <w:tc>
          <w:tcPr>
            <w:tcW w:w="1216" w:type="dxa"/>
            <w:tcBorders/>
            <w:vAlign w:val="center"/>
          </w:tcPr>
          <w:p>
            <w:pPr>
              <w:pStyle w:val="TableContents"/>
              <w:bidi w:val="0"/>
              <w:spacing w:before="0" w:after="80"/>
              <w:jc w:val="left"/>
              <w:rPr>
                <w:rFonts w:ascii="Times New Roman;Times;serif" w:hAnsi="Times New Roman;Times;serif"/>
                <w:sz w:val="18"/>
              </w:rPr>
            </w:pPr>
            <w:r>
              <w:rPr>
                <w:rFonts w:ascii="Times New Roman;Times;serif" w:hAnsi="Times New Roman;Times;serif"/>
                <w:sz w:val="18"/>
              </w:rPr>
              <w:t>Filed herewith.</w:t>
            </w:r>
          </w:p>
        </w:tc>
      </w:tr>
    </w:tbl>
    <w:tbl>
      <w:tblPr>
        <w:tblW w:w="5267" w:type="dxa"/>
        <w:jc w:val="left"/>
        <w:tblInd w:w="0" w:type="dxa"/>
        <w:tblLayout w:type="fixed"/>
        <w:tblCellMar>
          <w:top w:w="0" w:type="dxa"/>
          <w:left w:w="0" w:type="dxa"/>
          <w:bottom w:w="0" w:type="dxa"/>
          <w:right w:w="0" w:type="dxa"/>
        </w:tblCellMar>
      </w:tblPr>
      <w:tblGrid>
        <w:gridCol w:w="226"/>
        <w:gridCol w:w="5041"/>
      </w:tblGrid>
      <w:tr>
        <w:trPr/>
        <w:tc>
          <w:tcPr>
            <w:tcW w:w="226"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w:t>
            </w:r>
          </w:p>
        </w:tc>
        <w:tc>
          <w:tcPr>
            <w:tcW w:w="5041"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Indicates management contract or compensatory plan or arrangement.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17" w:name="Signature"/>
      <w:bookmarkStart w:id="1618" w:name="_1ee405aa_53d2_49c4_8f6f_cd9f45975ebd"/>
      <w:bookmarkEnd w:id="1617"/>
      <w:bookmarkEnd w:id="1618"/>
      <w:r>
        <w:rPr>
          <w:rFonts w:ascii="Times New Roman;Times;serif" w:hAnsi="Times New Roman;Times;serif"/>
          <w:b/>
          <w:sz w:val="20"/>
        </w:rPr>
        <w:t>SIGNATURES</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Quarterly Report to be signed on its behalf by the undersigned thereunto duly authorized.</w:t>
      </w:r>
    </w:p>
    <w:p>
      <w:pPr>
        <w:pStyle w:val="TextBody"/>
        <w:bidi w:val="0"/>
        <w:spacing w:before="0" w:after="240"/>
        <w:ind w:left="0" w:right="0" w:hanging="0"/>
        <w:jc w:val="both"/>
        <w:rPr/>
      </w:pPr>
      <w:r>
        <w:rPr/>
        <w:t>​</w:t>
      </w:r>
    </w:p>
    <w:tbl>
      <w:tblPr>
        <w:tblW w:w="7171" w:type="dxa"/>
        <w:jc w:val="left"/>
        <w:tblInd w:w="0" w:type="dxa"/>
        <w:tblLayout w:type="fixed"/>
        <w:tblCellMar>
          <w:top w:w="0" w:type="dxa"/>
          <w:left w:w="0" w:type="dxa"/>
          <w:bottom w:w="0" w:type="dxa"/>
          <w:right w:w="0" w:type="dxa"/>
        </w:tblCellMar>
      </w:tblPr>
      <w:tblGrid>
        <w:gridCol w:w="2311"/>
        <w:gridCol w:w="853"/>
        <w:gridCol w:w="4007"/>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67485" cy="175260"/>
                      <wp:effectExtent l="0" t="0" r="0" b="0"/>
                      <wp:wrapNone/>
                      <wp:docPr id="395" name="Frame39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41655" cy="175260"/>
                      <wp:effectExtent l="0" t="0" r="0" b="0"/>
                      <wp:wrapNone/>
                      <wp:docPr id="396" name="Frame396"/>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544445" cy="175260"/>
                      <wp:effectExtent l="0" t="0" r="0" b="0"/>
                      <wp:wrapNone/>
                      <wp:docPr id="397" name="Frame397"/>
                      <a:graphic xmlns:a="http://schemas.openxmlformats.org/drawingml/2006/main">
                        <a:graphicData uri="http://schemas.microsoft.com/office/word/2010/wordprocessingShape">
                          <wps:wsp>
                            <wps:cNvSpPr txBox="1"/>
                            <wps:spPr>
                              <a:xfrm>
                                <a:off x="0" y="0"/>
                                <a:ext cx="2544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14, 2023</w:t>
            </w:r>
          </w:p>
        </w:tc>
        <w:tc>
          <w:tcPr>
            <w:tcW w:w="486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MEDICINE MAN TECHNOLOGIES, INC.</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Nirup Krishnamurthy</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Nirup Krishnamurthy, Chief Executive Officer</w:t>
              <w:br/>
              <w:t>(Authorized Officer)</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Forrest Hoffmaster</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Forrest Hoffmaster, 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48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right"/>
        <w:rPr>
          <w:rFonts w:ascii="Times New Roman;Times;serif" w:hAnsi="Times New Roman;Times;serif"/>
          <w:b/>
          <w:sz w:val="22"/>
        </w:rPr>
      </w:pPr>
      <w:bookmarkStart w:id="1619" w:name="shwz-20230930xex10d3.htm"/>
      <w:bookmarkStart w:id="1620" w:name="ksshwz20230930xex10d3"/>
      <w:bookmarkEnd w:id="1619"/>
      <w:bookmarkEnd w:id="1620"/>
      <w:r>
        <w:rPr>
          <w:rFonts w:ascii="Times New Roman;Times;serif" w:hAnsi="Times New Roman;Times;serif"/>
          <w:b/>
          <w:sz w:val="22"/>
        </w:rPr>
        <w:t>Exhibit 10.3</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Medicine Man Technologies,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2023 Long-Term Incentive Plan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board of directors (the “Board”) of Medicine Man Technologies, Inc. (the “Company”) adopted and approved the Medicine Man Technologies, Inc. 2023 Long-Term Incentive Plan (the “LTIP”) effective as of May 3, 2023. The material terms of the LTIP are summarized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Eligibility</w:t>
      </w:r>
      <w:r>
        <w:rPr>
          <w:rFonts w:ascii="Times New Roman;Times;serif" w:hAnsi="Times New Roman;Times;serif"/>
          <w:sz w:val="22"/>
        </w:rPr>
        <w:t>. Participation in the LTIP is made available to officers and employees of the Company that are serving in a Senior Director-level role and above that are actively employed on the date the LTIP Awards (as defined herein) are granted (the “Recipients”). Recipients will be entitled to receive up to 20%-150% of his or her base salary in LTIP Awards depending on the Recipient’s role, subject to the conditions and limitations in the applicable award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Awards.</w:t>
      </w:r>
      <w:r>
        <w:rPr>
          <w:rFonts w:ascii="Times New Roman;Times;serif" w:hAnsi="Times New Roman;Times;serif"/>
          <w:sz w:val="20"/>
        </w:rPr>
        <w:t xml:space="preserve"> </w:t>
      </w:r>
      <w:r>
        <w:rPr>
          <w:rFonts w:ascii="Times New Roman;Times;serif" w:hAnsi="Times New Roman;Times;serif"/>
          <w:sz w:val="22"/>
        </w:rPr>
        <w:t>The Company granted aggregate awards under the LTIP totaling $1,644,000 based on the closing stock price of the Company’s common stock (“Common Stock”) on May 3, 2023. The awards granted under the LTIP consist of incentive stock option awards (“ISO Awards”) and performance stock unit awards (“PSU Awards” and together with the ISO Awards, the “LTIP Awards”). The Recipients received 50% of the LTIP Awards in ISO Awards and 50% of the LTIP Awards in PSU Awards. The ISO Awards vest in four equal installments starting on the first anniversary of the grant date of the ISO Award. The PSU Awards vest in four equal installments and subject to satisfaction of certain performance criteria metrics.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Performance Criteria</w:t>
      </w:r>
      <w:r>
        <w:rPr>
          <w:rFonts w:ascii="Times New Roman;Times;serif" w:hAnsi="Times New Roman;Times;serif"/>
          <w:sz w:val="22"/>
        </w:rPr>
        <w:t>. The performance metrics underlying the PSU Awards are set by the Board at or near the beginning of each year. Both Company and individual performance are factored into the PSU Awards. The performance conditions for the PSU Awards for fiscal year ended December 31, 2023 are assumed to have been met for the first vesting installment of the PSU Awards, and Recipients still actively employed on May 3, 2024 will receive the first installment of Common Stock underlying the vested PSU Awards on or around such date.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Common Stock Subject to LTIP</w:t>
      </w:r>
      <w:r>
        <w:rPr>
          <w:rFonts w:ascii="Times New Roman;Times;serif" w:hAnsi="Times New Roman;Times;serif"/>
          <w:sz w:val="22"/>
        </w:rPr>
        <w:t>. The Common Stock issuable pursuant to the LTIP Awards will be issued pursuant to the Company’s Registration Statement on Form S-8 under the Medicine Man Technologies, Inc. 2017 Equity Incentive Plan.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621" w:name="_dxtcompanion_actionscomplete"/>
      <w:bookmarkStart w:id="1622" w:name="_Hlk73039546"/>
      <w:bookmarkStart w:id="1623" w:name="shwz-20230930xex10d4.htm"/>
      <w:bookmarkStart w:id="1624" w:name="ksshwz20230930xex10d4"/>
      <w:bookmarkEnd w:id="1621"/>
      <w:bookmarkEnd w:id="1622"/>
      <w:bookmarkEnd w:id="1623"/>
      <w:bookmarkEnd w:id="1624"/>
      <w:r>
        <w:rPr>
          <w:rFonts w:ascii="Times New Roman;Times;serif" w:hAnsi="Times New Roman;Times;serif"/>
          <w:b/>
          <w:sz w:val="24"/>
        </w:rPr>
        <w:t>Exhibit 10.4</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Medicine Man Technologies, Inc.</w:t>
        <w:br/>
        <w:t>2017 Equity Incentive Plan</w:t>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Stock Option and Performance Share Unit Award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Stock Option and Performance Share Unit Award Agreement (this “</w:t>
      </w:r>
      <w:r>
        <w:rPr>
          <w:rFonts w:ascii="Times New Roman;Times;serif" w:hAnsi="Times New Roman;Times;serif"/>
          <w:b/>
          <w:sz w:val="24"/>
        </w:rPr>
        <w:t>Agreement</w:t>
      </w:r>
      <w:r>
        <w:rPr>
          <w:rFonts w:ascii="Times New Roman;Times;serif" w:hAnsi="Times New Roman;Times;serif"/>
          <w:sz w:val="24"/>
        </w:rPr>
        <w:t>”) is made and entered into as of [DATE], by and between Medicine Man Technologies, Inc., dba Schwazze, a Nevada corporation (the “</w:t>
      </w:r>
      <w:r>
        <w:rPr>
          <w:rFonts w:ascii="Times New Roman;Times;serif" w:hAnsi="Times New Roman;Times;serif"/>
          <w:b/>
          <w:sz w:val="24"/>
        </w:rPr>
        <w:t>Company</w:t>
      </w:r>
      <w:r>
        <w:rPr>
          <w:rFonts w:ascii="Times New Roman;Times;serif" w:hAnsi="Times New Roman;Times;serif"/>
          <w:sz w:val="24"/>
        </w:rPr>
        <w:t>”), and [EMPLOYEE NAME] (the “</w:t>
      </w:r>
      <w:r>
        <w:rPr>
          <w:rFonts w:ascii="Times New Roman;Times;serif" w:hAnsi="Times New Roman;Times;serif"/>
          <w:b/>
          <w:sz w:val="24"/>
        </w:rPr>
        <w:t>Participant</w:t>
      </w:r>
      <w:r>
        <w:rPr>
          <w:rFonts w:ascii="Times New Roman;Times;serif" w:hAnsi="Times New Roman;Times;serif"/>
          <w:sz w:val="24"/>
        </w:rPr>
        <w:t>”).</w:t>
      </w:r>
    </w:p>
    <w:tbl>
      <w:tblPr>
        <w:tblW w:w="6992" w:type="dxa"/>
        <w:jc w:val="center"/>
        <w:tblInd w:w="0" w:type="dxa"/>
        <w:tblLayout w:type="fixed"/>
        <w:tblCellMar>
          <w:top w:w="0" w:type="dxa"/>
          <w:left w:w="0" w:type="dxa"/>
          <w:bottom w:w="0" w:type="dxa"/>
          <w:right w:w="0" w:type="dxa"/>
        </w:tblCellMar>
      </w:tblPr>
      <w:tblGrid>
        <w:gridCol w:w="3061"/>
        <w:gridCol w:w="3931"/>
      </w:tblGrid>
      <w:tr>
        <w:trPr/>
        <w:tc>
          <w:tcPr>
            <w:tcW w:w="3061"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b/>
                <w:sz w:val="20"/>
              </w:rPr>
            </w:pPr>
            <w:r>
              <w:rPr>
                <w:rFonts w:ascii="Times New Roman;Times;serif" w:hAnsi="Times New Roman;Times;serif"/>
                <w:b/>
                <w:sz w:val="20"/>
              </w:rPr>
              <w:t>Stock Option</w:t>
            </w:r>
          </w:p>
        </w:tc>
        <w:tc>
          <w:tcPr>
            <w:tcW w:w="39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b/>
                <w:sz w:val="20"/>
              </w:rPr>
            </w:pPr>
            <w:r>
              <w:rPr>
                <w:rFonts w:ascii="Times New Roman;Times;serif" w:hAnsi="Times New Roman;Times;serif"/>
                <w:b/>
                <w:sz w:val="20"/>
              </w:rPr>
              <w:t>Performance Share Units</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Grant Date: [INSERT]</w:t>
            </w:r>
          </w:p>
        </w:tc>
        <w:tc>
          <w:tcPr>
            <w:tcW w:w="39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Grant Date: [INSERT]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Exercise Price per Share: [INSERT]</w:t>
            </w:r>
          </w:p>
        </w:tc>
        <w:tc>
          <w:tcPr>
            <w:tcW w:w="39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Number of Performance Share Units: [INSERT]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Number of Option Shares: [INSERT]</w:t>
            </w:r>
          </w:p>
        </w:tc>
        <w:tc>
          <w:tcPr>
            <w:tcW w:w="39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283"/>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40" w:after="120"/>
              <w:ind w:left="0" w:right="0" w:hanging="0"/>
              <w:jc w:val="left"/>
              <w:rPr>
                <w:rFonts w:ascii="Times New Roman;Times;serif" w:hAnsi="Times New Roman;Times;serif"/>
                <w:sz w:val="20"/>
              </w:rPr>
            </w:pPr>
            <w:r>
              <w:rPr>
                <w:rFonts w:ascii="Times New Roman;Times;serif" w:hAnsi="Times New Roman;Times;serif"/>
                <w:sz w:val="20"/>
              </w:rPr>
              <w:t>Expiration Date: [INSERT]</w:t>
            </w:r>
          </w:p>
        </w:tc>
        <w:tc>
          <w:tcPr>
            <w:tcW w:w="39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283"/>
              <w:ind w:left="144" w:right="144" w:hanging="0"/>
              <w:jc w:val="left"/>
              <w:rPr/>
            </w:pPr>
            <w:r>
              <w:rPr/>
              <w:t>​</w:t>
            </w:r>
          </w:p>
        </w:tc>
      </w:tr>
    </w:tbl>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shd w:fill="FFFFFF" w:val="clear"/>
        </w:rPr>
        <w:t>Grant of Option</w:t>
      </w:r>
      <w:r>
        <w:rPr>
          <w:rFonts w:ascii="Times New Roman;Times;serif" w:hAnsi="Times New Roman;Times;serif"/>
          <w:sz w:val="24"/>
        </w:rPr>
        <w: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Grant of Option</w:t>
      </w:r>
      <w:r>
        <w:rPr>
          <w:rFonts w:ascii="Times New Roman;Times;serif" w:hAnsi="Times New Roman;Times;serif"/>
          <w:sz w:val="24"/>
        </w:rPr>
        <w:t>. The Company hereby grants to the Participant an option (the “</w:t>
      </w:r>
      <w:r>
        <w:rPr>
          <w:rFonts w:ascii="Times New Roman;Times;serif" w:hAnsi="Times New Roman;Times;serif"/>
          <w:b/>
          <w:sz w:val="24"/>
        </w:rPr>
        <w:t>Option</w:t>
      </w:r>
      <w:r>
        <w:rPr>
          <w:rFonts w:ascii="Times New Roman;Times;serif" w:hAnsi="Times New Roman;Times;serif"/>
          <w:sz w:val="24"/>
        </w:rPr>
        <w:t>”) to purchase the total number of shares of Common Stock of the Company equal to the number of Option Shares set forth above, at the Exercise Price set forth above. The Option is being granted pursuant to the Medicine Man Technologies, Inc. 2017 Equity Incentive Plan (the “</w:t>
      </w:r>
      <w:r>
        <w:rPr>
          <w:rFonts w:ascii="Times New Roman;Times;serif" w:hAnsi="Times New Roman;Times;serif"/>
          <w:b/>
          <w:sz w:val="24"/>
        </w:rPr>
        <w:t>Plan</w:t>
      </w:r>
      <w:r>
        <w:rPr>
          <w:rFonts w:ascii="Times New Roman;Times;serif" w:hAnsi="Times New Roman;Times;serif"/>
          <w:sz w:val="24"/>
        </w:rPr>
        <w:t xml:space="preserve">”). </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Consideration; Subject to Plan</w:t>
      </w:r>
      <w:r>
        <w:rPr>
          <w:rFonts w:ascii="Times New Roman;Times;serif" w:hAnsi="Times New Roman;Times;serif"/>
          <w:sz w:val="24"/>
        </w:rPr>
        <w:t>. The grant of the Option is made in consideration of the services to be rendered by the Participant to the Company. The Option and this Agreement are subject to terms and conditions of the Plan as approved by the Company’s shareholders. The terms and provisions of the Plan as it may be amended from time to time are hereby incorporated herein by reference. In the event of a conflict between any term or provision contained in this Agreement and a term or provision of the Plan, the applicable terms and provisions of the Plan will govern and prevail. Capitalized terms used but not defined herein will have the meaning ascribed to them in the Plan.</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Grant of Performance Share Units</w:t>
      </w:r>
      <w:r>
        <w:rPr>
          <w:rFonts w:ascii="Times New Roman;Times;serif" w:hAnsi="Times New Roman;Times;serif"/>
          <w:sz w:val="24"/>
        </w:rPr>
        <w:t xml:space="preserve">. </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Grant of Performance Share Units</w:t>
      </w:r>
      <w:r>
        <w:rPr>
          <w:rFonts w:ascii="Times New Roman;Times;serif" w:hAnsi="Times New Roman;Times;serif"/>
          <w:sz w:val="24"/>
        </w:rPr>
        <w:t>.  The Company hereby grants to the Participant, an award of Performance Share Units (the “</w:t>
      </w:r>
      <w:r>
        <w:rPr>
          <w:rFonts w:ascii="Times New Roman;Times;serif" w:hAnsi="Times New Roman;Times;serif"/>
          <w:b/>
          <w:sz w:val="24"/>
        </w:rPr>
        <w:t>RSUs</w:t>
      </w:r>
      <w:r>
        <w:rPr>
          <w:rFonts w:ascii="Times New Roman;Times;serif" w:hAnsi="Times New Roman;Times;serif"/>
          <w:sz w:val="24"/>
        </w:rPr>
        <w:t>,” and together with the Option, the “</w:t>
      </w:r>
      <w:r>
        <w:rPr>
          <w:rFonts w:ascii="Times New Roman;Times;serif" w:hAnsi="Times New Roman;Times;serif"/>
          <w:b/>
          <w:sz w:val="24"/>
        </w:rPr>
        <w:t>Award</w:t>
      </w:r>
      <w:r>
        <w:rPr>
          <w:rFonts w:ascii="Times New Roman;Times;serif" w:hAnsi="Times New Roman;Times;serif"/>
          <w:sz w:val="24"/>
        </w:rPr>
        <w:t>”) consisting of the right to receive a number of shares of Common Stock (or the cash equivalent, as determined in accordance with the terms of the Plan) set forth above, with settlement in accordance with the terms and conditions of this Agreement and the Plan.  The PSUs are being granted pursuant to the Plan.</w:t>
      </w:r>
    </w:p>
    <w:p>
      <w:pPr>
        <w:pStyle w:val="TextBody"/>
        <w:bidi w:val="0"/>
        <w:spacing w:before="120" w:after="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Consideration; Subject to Plan</w:t>
      </w:r>
      <w:r>
        <w:rPr>
          <w:rFonts w:ascii="Times New Roman;Times;serif" w:hAnsi="Times New Roman;Times;serif"/>
          <w:sz w:val="24"/>
        </w:rPr>
        <w:t xml:space="preserve">.  The grant of the PSUs is made in consideration of the services to be rendered by the Participant to the Company. The PSUs and this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both"/>
        <w:rPr>
          <w:rFonts w:ascii="Times New Roman;Times;serif" w:hAnsi="Times New Roman;Times;serif"/>
          <w:sz w:val="24"/>
        </w:rPr>
      </w:pPr>
      <w:r>
        <w:rPr>
          <w:rFonts w:ascii="Times New Roman;Times;serif" w:hAnsi="Times New Roman;Times;serif"/>
          <w:sz w:val="24"/>
        </w:rPr>
        <w:t>Agreement are subject to terms and conditions of the Plan as approved by the Company’s shareholders. The terms and provisions of the Plan as it may be amended from time to time are hereby incorporated herein by reference. In the event of a conflict between any term or provision contained in this Agreement and a term or provision of the Plan, the applicable terms and provisions of the Plan will govern and prevail. Capitalized terms used but not defined herein will have the meaning ascribed to them in the Plan.</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shd w:fill="FFFFFF" w:val="clear"/>
        </w:rPr>
        <w:t>Vesting</w:t>
      </w:r>
      <w:r>
        <w:rPr>
          <w:rFonts w:ascii="Times New Roman;Times;serif" w:hAnsi="Times New Roman;Times;serif"/>
          <w:sz w:val="24"/>
          <w:u w:val="single"/>
        </w:rPr>
        <w:t>; Exercise Period for Option</w:t>
      </w:r>
      <w:r>
        <w:rPr>
          <w:rFonts w:ascii="Times New Roman;Times;serif" w:hAnsi="Times New Roman;Times;serif"/>
          <w:sz w:val="24"/>
        </w:rPr>
        <w: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Vesting Schedule</w:t>
      </w:r>
      <w:r>
        <w:rPr>
          <w:rFonts w:ascii="Times New Roman;Times;serif" w:hAnsi="Times New Roman;Times;serif"/>
          <w:sz w:val="24"/>
        </w:rPr>
        <w:t>. The Option will become vested and exercisable pursuant to the vesting schedule set forth in Exhibit A until the Option is 100% vested, unless sooner terminated in accordance with Section 4 of this Agreement.  The PSUs will become vested pursuant to the vesting schedule set forth in Exhibit A until the PSUs are 100% vested, unless sooner terminated in accordance with Section 4 of this Agreement.</w:t>
      </w:r>
    </w:p>
    <w:p>
      <w:pPr>
        <w:pStyle w:val="TextBody"/>
        <w:bidi w:val="0"/>
        <w:spacing w:before="24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Expiration of Option</w:t>
      </w:r>
      <w:r>
        <w:rPr>
          <w:rFonts w:ascii="Times New Roman;Times;serif" w:hAnsi="Times New Roman;Times;serif"/>
          <w:sz w:val="24"/>
        </w:rPr>
        <w:t>. The Option will expire on the Expiration Date set forth above, or earlier as provided in this Agreement or the Plan. In no event will the Option be exercisable after the Expiration Date.</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shd w:fill="FFFFFF" w:val="clear"/>
        </w:rPr>
        <w:t>Termination of Continuous Service</w:t>
      </w:r>
      <w:r>
        <w:rPr>
          <w:rFonts w:ascii="Times New Roman;Times;serif" w:hAnsi="Times New Roman;Times;serif"/>
          <w:sz w:val="24"/>
        </w:rPr>
        <w: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4.1</w:t>
      </w:r>
      <w:r>
        <w:rPr>
          <w:rFonts w:ascii="Times New Roman;Times;serif" w:hAnsi="Times New Roman;Times;serif"/>
          <w:sz w:val="24"/>
          <w:u w:val="single"/>
        </w:rPr>
        <w:t>Termination for Reasons Other Than Cause, Death, Disability</w:t>
      </w:r>
      <w:r>
        <w:rPr>
          <w:rFonts w:ascii="Times New Roman;Times;serif" w:hAnsi="Times New Roman;Times;serif"/>
          <w:sz w:val="24"/>
        </w:rPr>
        <w:t xml:space="preserve">.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Option</w:t>
      </w:r>
      <w:r>
        <w:rPr>
          <w:rFonts w:ascii="Times New Roman;Times;serif" w:hAnsi="Times New Roman;Times;serif"/>
          <w:sz w:val="24"/>
        </w:rPr>
        <w:t>.  If the Participant’s Continuous Service is terminated for any reason other than Cause, death or Disability, the Participant may exercise the vested portion of the Option, but only within such period of time ending on the earlier of (a) the date 3 months following the termination of the Participant’s Continuous Service or (b) the Expiration Date. The unvested portion of the Option shall immediately terminate and cease to be exercisable.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PSUs.</w:t>
      </w:r>
      <w:r>
        <w:rPr>
          <w:rFonts w:ascii="Times New Roman;Times;serif" w:hAnsi="Times New Roman;Times;serif"/>
          <w:sz w:val="24"/>
        </w:rPr>
        <w:t xml:space="preserve">  If the Participant’s Continuous Service is terminated for any reason other than Cause, death or Disability, any then-unvested PSUs will immediately terminate and be forfeited in their entirety as of the termination date. </w:t>
      </w:r>
    </w:p>
    <w:p>
      <w:pPr>
        <w:pStyle w:val="TextBody"/>
        <w:bidi w:val="0"/>
        <w:spacing w:before="120" w:after="240"/>
        <w:ind w:left="432" w:right="0" w:hanging="0"/>
        <w:jc w:val="left"/>
        <w:rPr>
          <w:rFonts w:ascii="Times New Roman;Times;serif" w:hAnsi="Times New Roman;Times;serif"/>
          <w:sz w:val="24"/>
        </w:rPr>
      </w:pPr>
      <w:bookmarkStart w:id="1625" w:name="_Ref73530970"/>
      <w:bookmarkEnd w:id="1625"/>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Termination for Cause</w:t>
      </w:r>
      <w:r>
        <w:rPr>
          <w:rFonts w:ascii="Times New Roman;Times;serif" w:hAnsi="Times New Roman;Times;serif"/>
          <w:sz w:val="24"/>
        </w:rPr>
        <w:t xml:space="preserve">. </w:t>
      </w:r>
    </w:p>
    <w:p>
      <w:pPr>
        <w:pStyle w:val="TextBody"/>
        <w:bidi w:val="0"/>
        <w:spacing w:before="120" w:after="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If the Participant’s Continuous Service is terminated for Cause, both the vested and unvested portions of the Option will immediately terminate and cease to be exercisable.  If the Participant’s Continuous Service is terminated for Cause, all unvested PSUs, the number of shares of Common Stock underlying vested PSUs will immediately terminate, be forfeited or be repaid (or any combination thereof) as of the date such termination occurs. In the event the Participant has sold or otherwise transferred any vested shares of Common Stock that are to be forfeited pursuant to this Section 4.2, the Participant shall pay to the Company an amount equal to the Fair Market Value of such shares of Common Stock as of the date of such termination, as determined by the Committee in its good faith discretion.</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For purposes of this Section 4.2, “</w:t>
      </w:r>
      <w:r>
        <w:rPr>
          <w:rFonts w:ascii="Times New Roman;Times;serif" w:hAnsi="Times New Roman;Times;serif"/>
          <w:b/>
          <w:sz w:val="24"/>
        </w:rPr>
        <w:t>Cause</w:t>
      </w:r>
      <w:r>
        <w:rPr>
          <w:rFonts w:ascii="Times New Roman;Times;serif" w:hAnsi="Times New Roman;Times;serif"/>
          <w:sz w:val="24"/>
        </w:rPr>
        <w:t xml:space="preserve">” means, as determined by the Committee in the Committee’s sole discretion, the commission of any act of fraud, embezzlement, dishonesty, or breach of fiduciary duty by, or at the request of, the Participant, any unauthorized use or disclosure by such person of confidential information or trade secrets of the Company (or any Affiliate), or any other intentional misconduct by such person adversely affecting the business or affairs or reputation of the Company (or any Affiliate) in a material manner, or the Participant’s discriminatory or harassing behavior, whether or not unlawful under federal, state or local law, or the Participant’s conviction of a felony; provided, however, that if the term or concept has been defined in an employment or similar type of agreement between the Company and the Participant, then “Cause” shall have the definition set forth in such agreement. The foregoing definition will not in any way preclude or restrict the right of the Company (or any Affiliate) to discharge or dismiss the Participant or other person in the service of the Company (or any Affiliate) for any other acts or omissions, but such other acts or omissions shall not be deemed, for purposes of the Plan, to constitute grounds for termination for Cause. </w:t>
      </w:r>
    </w:p>
    <w:p>
      <w:pPr>
        <w:pStyle w:val="TextBody"/>
        <w:bidi w:val="0"/>
        <w:spacing w:before="120" w:after="240"/>
        <w:ind w:left="432" w:right="0" w:hanging="0"/>
        <w:jc w:val="left"/>
        <w:rPr>
          <w:rFonts w:ascii="Times New Roman;Times;serif" w:hAnsi="Times New Roman;Times;serif"/>
          <w:sz w:val="24"/>
        </w:rPr>
      </w:pPr>
      <w:bookmarkStart w:id="1626" w:name="_Ref73530984"/>
      <w:bookmarkEnd w:id="1626"/>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Termination due to Disability</w:t>
      </w:r>
      <w:r>
        <w:rPr>
          <w:rFonts w:ascii="Times New Roman;Times;serif" w:hAnsi="Times New Roman;Times;serif"/>
          <w:sz w:val="24"/>
        </w:rPr>
        <w:t xml:space="preserve">.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Option</w:t>
      </w:r>
      <w:r>
        <w:rPr>
          <w:rFonts w:ascii="Times New Roman;Times;serif" w:hAnsi="Times New Roman;Times;serif"/>
          <w:sz w:val="24"/>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 The unvested portion of the Option shall immediately terminate and cease to be exercisable.</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PSUs</w:t>
      </w:r>
      <w:r>
        <w:rPr>
          <w:rFonts w:ascii="Times New Roman;Times;serif" w:hAnsi="Times New Roman;Times;serif"/>
          <w:sz w:val="24"/>
        </w:rPr>
        <w:t>.  If the Participant’s Continuous Service terminates as a result of the Participant’s Disability, any unvested PSUs shall immediately terminate and be forfeited.</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For purposes of this Section 4.3, “</w:t>
      </w:r>
      <w:r>
        <w:rPr>
          <w:rFonts w:ascii="Times New Roman;Times;serif" w:hAnsi="Times New Roman;Times;serif"/>
          <w:b/>
          <w:sz w:val="24"/>
        </w:rPr>
        <w:t>Disability</w:t>
      </w:r>
      <w:r>
        <w:rPr>
          <w:rFonts w:ascii="Times New Roman;Times;serif" w:hAnsi="Times New Roman;Times;serif"/>
          <w:sz w:val="24"/>
        </w:rPr>
        <w:t>” means: (i) the Participant is unable to engage in any substantial gainful activity by reason of any medically determinable physical or mental impairment that can be expected to result in death or can be expected to last for a continuous period of not less than 12 months or (ii) the Participant is determined to be totally disabled by the Social Security Administration; provided, however, that if the term or concept has been defined in an employment or similar type of agreement between the Company and the Participant, then “Disability” shall have the definition set forth in such agreement.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4.4</w:t>
      </w:r>
      <w:r>
        <w:rPr>
          <w:rFonts w:ascii="Times New Roman;Times;serif" w:hAnsi="Times New Roman;Times;serif"/>
          <w:sz w:val="24"/>
          <w:u w:val="single"/>
        </w:rPr>
        <w:t>Termination due to Death</w:t>
      </w:r>
      <w:r>
        <w:rPr>
          <w:rFonts w:ascii="Times New Roman;Times;serif" w:hAnsi="Times New Roman;Times;serif"/>
          <w:sz w:val="24"/>
        </w:rPr>
        <w:t xml:space="preserve">. </w:t>
      </w:r>
    </w:p>
    <w:p>
      <w:pPr>
        <w:pStyle w:val="TextBody"/>
        <w:bidi w:val="0"/>
        <w:spacing w:before="120" w:after="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Option</w:t>
      </w:r>
      <w:r>
        <w:rPr>
          <w:rFonts w:ascii="Times New Roman;Times;serif" w:hAnsi="Times New Roman;Times;serif"/>
          <w:sz w:val="24"/>
        </w:rPr>
        <w:t xml:space="preserve">.  If the Participant’s Continuous Service terminates as a result of the Participant’s death,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1008" w:right="0" w:hanging="0"/>
        <w:jc w:val="both"/>
        <w:rPr>
          <w:rFonts w:ascii="Times New Roman;Times;serif" w:hAnsi="Times New Roman;Times;serif"/>
          <w:sz w:val="24"/>
        </w:rPr>
      </w:pPr>
      <w:r>
        <w:rPr>
          <w:rFonts w:ascii="Times New Roman;Times;serif" w:hAnsi="Times New Roman;Times;serif"/>
          <w:sz w:val="24"/>
        </w:rPr>
        <w:t>following the Participant’s death or (b) the Expiration Date. The unvested portion of the Option shall immediately terminate and cease to be exercisable.</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PSUs</w:t>
      </w:r>
      <w:r>
        <w:rPr>
          <w:rFonts w:ascii="Times New Roman;Times;serif" w:hAnsi="Times New Roman;Times;serif"/>
          <w:sz w:val="24"/>
        </w:rPr>
        <w:t>.  If the Participant’s Continuous Service terminates as a result of the Participant’s Disability, any unvested PSUs shall immediately terminate and be forfeited.</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4.5</w:t>
      </w:r>
      <w:r>
        <w:rPr>
          <w:rFonts w:ascii="Times New Roman;Times;serif" w:hAnsi="Times New Roman;Times;serif"/>
          <w:sz w:val="24"/>
          <w:u w:val="single"/>
        </w:rPr>
        <w:t>Definition of Continuous Service</w:t>
      </w:r>
      <w:r>
        <w:rPr>
          <w:rFonts w:ascii="Times New Roman;Times;serif" w:hAnsi="Times New Roman;Times;serif"/>
          <w:sz w:val="24"/>
        </w:rPr>
        <w:t>. For purposes of the Plan and this Agreement, “</w:t>
      </w:r>
      <w:r>
        <w:rPr>
          <w:rFonts w:ascii="Times New Roman;Times;serif" w:hAnsi="Times New Roman;Times;serif"/>
          <w:b/>
          <w:sz w:val="24"/>
        </w:rPr>
        <w:t>Continuous Service</w:t>
      </w:r>
      <w:r>
        <w:rPr>
          <w:rFonts w:ascii="Times New Roman;Times;serif" w:hAnsi="Times New Roman;Times;serif"/>
          <w:sz w:val="24"/>
        </w:rPr>
        <w:t>” means the absence of any interruption or termination of service as an employee or other service provider of the Company or any Affiliate. Continuous Service will not be considered interrupted or terminated in the case of: (i) sick leave approved by the Company or Affiliate, (ii) military leave, or (iii) any other bona fide leave of absence approved by the Company or Affiliate. Also, Continuous Service as an employee of the Company or an Affiliate will not be considered interrupted or terminated in the case of a transfer between locations of the Company or Affiliate, or a change in status from an employee of the Company or Affiliate to a consultant, independent contractor, or director of the Company or Affiliate, provided that, there is no interruption in Continuous Service between change in status. For the avoidance of doubt, subject to applicable laws, no period of notice, if any, or payment instead of notice that is given or that ought to have been given under applicable law, whether by statute, imposed by a court or otherwise, in respect of a Participant’s termination of employment or termination of Continuous Service that follows or is in respect of a period after the Participant’s last day of Continuous Service will be considered as extending the Participant’s period of employment or period of Continuous Service for the purposes of determining the Participant’s entitlement under this Agreement.</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shd w:fill="FFFFFF" w:val="clear"/>
        </w:rPr>
        <w:t>Manner of Exercise</w:t>
      </w:r>
      <w:r>
        <w:rPr>
          <w:rFonts w:ascii="Times New Roman;Times;serif" w:hAnsi="Times New Roman;Times;serif"/>
          <w:sz w:val="24"/>
          <w:u w:val="single"/>
        </w:rPr>
        <w:t xml:space="preserve"> of Option</w:t>
      </w:r>
      <w:r>
        <w:rPr>
          <w:rFonts w:ascii="Times New Roman;Times;serif" w:hAnsi="Times New Roman;Times;serif"/>
          <w:sz w:val="24"/>
        </w:rPr>
        <w: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Election to Exercise</w:t>
      </w:r>
      <w:r>
        <w:rPr>
          <w:rFonts w:ascii="Times New Roman;Times;serif" w:hAnsi="Times New Roman;Times;serif"/>
          <w:sz w:val="24"/>
        </w:rPr>
        <w:t>. To exercise the Option, the Participant (or in the case of exercise after the Participant’s death or incapacity (by reason of physical or mental disability, whether or not a Disability or legally adjudicated as such), the Participant’s executor, administrator, heir or legatee, as the case may be) must deliver to the Company an executed stock option exercise agreement in such form as is approved by the Board from time to time (the “</w:t>
      </w:r>
      <w:r>
        <w:rPr>
          <w:rFonts w:ascii="Times New Roman;Times;serif" w:hAnsi="Times New Roman;Times;serif"/>
          <w:b/>
          <w:sz w:val="24"/>
        </w:rPr>
        <w:t>Exercise Agreement</w:t>
      </w:r>
      <w:r>
        <w:rPr>
          <w:rFonts w:ascii="Times New Roman;Times;serif" w:hAnsi="Times New Roman;Times;serif"/>
          <w:sz w:val="24"/>
        </w:rPr>
        <w:t>”), which shall set forth, inter alia:</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the Participant’s election to exercise the Option;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number of shares of Common Stock being purchased;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any restrictions imposed on the shares; and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any representations, warranties and agreements regarding the Participant’s investment intent and access to information as may be required by the Company to comply with applicable securities laws. </w:t>
      </w:r>
    </w:p>
    <w:p>
      <w:pPr>
        <w:pStyle w:val="TextBody"/>
        <w:bidi w:val="0"/>
        <w:spacing w:before="120" w:after="240"/>
        <w:ind w:left="432" w:right="0" w:firstLine="1296"/>
        <w:jc w:val="both"/>
        <w:rPr>
          <w:rFonts w:ascii="Times New Roman;Times;serif" w:hAnsi="Times New Roman;Times;serif"/>
          <w:sz w:val="24"/>
        </w:rPr>
      </w:pPr>
      <w:r>
        <w:rPr>
          <w:rFonts w:ascii="Times New Roman;Times;serif" w:hAnsi="Times New Roman;Times;serif"/>
          <w:sz w:val="24"/>
        </w:rPr>
        <w:t>If someone other than the Participant exercises the Option, then such person must submit documentation reasonably acceptable to the Company verifying that such person has the legal right to exercise the Option.</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Payment of Exercise Price</w:t>
      </w:r>
      <w:r>
        <w:rPr>
          <w:rFonts w:ascii="Times New Roman;Times;serif" w:hAnsi="Times New Roman;Times;serif"/>
          <w:sz w:val="24"/>
        </w:rPr>
        <w:t xml:space="preserve">. To the extent permitted by applicable statutes and regulations, either: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in cash or cash equivalent acceptable to the Company at the time the Option is exercised;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by delivery to the Company of other shares of Common Stock, duly endorsed for transfer to the Company, with a Fair Market Value on the date of delivery equal to the Exercise Price (or portion thereof) due for the number of shares being acquired, or by means of an executed form of attestation whereby the Participant identifies for delivery specific shares that have a Fair Market Value on the date of attestation equal to the Exercise Price (or portion thereof) and receives a number of shares equal to the difference between the number of shares thereby purchased and the number of identified attestation shares (a “</w:t>
      </w:r>
      <w:r>
        <w:rPr>
          <w:rFonts w:ascii="Times New Roman;Times;serif" w:hAnsi="Times New Roman;Times;serif"/>
          <w:b/>
          <w:sz w:val="24"/>
        </w:rPr>
        <w:t>Stock for Stock Exchange</w:t>
      </w:r>
      <w:r>
        <w:rPr>
          <w:rFonts w:ascii="Times New Roman;Times;serif" w:hAnsi="Times New Roman;Times;serif"/>
          <w:sz w:val="24"/>
        </w:rPr>
        <w:t xml:space="preserve">”);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through a “cashless exercise program” established with a broker that has been authorized by the Company;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color w:val="252525"/>
          <w:sz w:val="24"/>
          <w:shd w:fill="FFFFFF" w:val="clear"/>
        </w:rPr>
        <w:t xml:space="preserve">by reduction in the number of shares otherwise deliverable upon exercise of such </w:t>
      </w:r>
      <w:r>
        <w:rPr>
          <w:rFonts w:ascii="Times New Roman;Times;serif" w:hAnsi="Times New Roman;Times;serif"/>
          <w:color w:val="252525"/>
          <w:sz w:val="24"/>
        </w:rPr>
        <w:t xml:space="preserve">Option </w:t>
      </w:r>
      <w:r>
        <w:rPr>
          <w:rFonts w:ascii="Times New Roman;Times;serif" w:hAnsi="Times New Roman;Times;serif"/>
          <w:color w:val="252525"/>
          <w:sz w:val="24"/>
          <w:shd w:fill="FFFFFF" w:val="clear"/>
        </w:rPr>
        <w:t>with a Fair Market Value equal to the aggregate Exercise Price at the time of exercise;</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by any combination of the foregoing methods; or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in any other form of legal consideration that may be acceptable to the Board. </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Withholding</w:t>
      </w:r>
      <w:r>
        <w:rPr>
          <w:rFonts w:ascii="Times New Roman;Times;serif" w:hAnsi="Times New Roman;Times;serif"/>
          <w:sz w:val="24"/>
        </w:rPr>
        <w:t>. If the Company, in its discretion, determines that it is obligated to withhold any tax in connection with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 or by a combination of such means:</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tendering a cash payment;</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authorizing the Company to withhold shares of Common Stock from the shares of Common Stock otherwise issuable to the Participant as a result of the exercise of the Option; provided, however, that no shares of Common Stock are withheld with a value exceeding the minimum amount of tax required to be withheld by law; or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delivering to the Company previously owned and unencumbered shares of Common Stock. </w:t>
      </w:r>
    </w:p>
    <w:p>
      <w:pPr>
        <w:pStyle w:val="TextBody"/>
        <w:bidi w:val="0"/>
        <w:spacing w:before="120" w:after="240"/>
        <w:ind w:left="432" w:right="0" w:firstLine="1296"/>
        <w:jc w:val="both"/>
        <w:rPr>
          <w:rFonts w:ascii="Times New Roman;Times;serif" w:hAnsi="Times New Roman;Times;serif"/>
          <w:sz w:val="24"/>
        </w:rPr>
      </w:pPr>
      <w:r>
        <w:rPr>
          <w:rFonts w:ascii="Times New Roman;Times;serif" w:hAnsi="Times New Roman;Times;serif"/>
          <w:sz w:val="24"/>
        </w:rPr>
        <w:t>The Company has the right to withhold taxes from any compensation paid to a Participant.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Issuance of Shares</w:t>
      </w:r>
      <w:r>
        <w:rPr>
          <w:rFonts w:ascii="Times New Roman;Times;serif" w:hAnsi="Times New Roman;Times;serif"/>
          <w:sz w:val="24"/>
        </w:rPr>
        <w:t xml:space="preserve">. </w:t>
      </w:r>
      <w:bookmarkStart w:id="1627" w:name="_Hlk138780901"/>
      <w:bookmarkEnd w:id="1627"/>
      <w:r>
        <w:rPr>
          <w:rFonts w:ascii="Times New Roman;Times;serif" w:hAnsi="Times New Roman;Times;serif"/>
          <w:sz w:val="24"/>
        </w:rPr>
        <w:t xml:space="preserve">Provided that the exercise notice and payment are in form and substance satisfactory to the Company, the Company shall issue the shares of Common Stock registered in the name of the Participant, the Participant’s authorized assignee, or the Participant’s legal representative, which issuance shall be evidenced by stock certificates representing the shares with the appropriate legends affixed thereto, appropriate entry on the books of the Company or of a duly authorized transfer agent, or other appropriate means as determined by the Company. </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Dividend Equivalents; Settlement of Vested PSUs</w:t>
      </w:r>
      <w:r>
        <w:rPr>
          <w:rFonts w:ascii="Times New Roman;Times;serif" w:hAnsi="Times New Roman;Times;serif"/>
          <w:sz w:val="24"/>
        </w:rPr>
        <w:t>.  </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6.1</w:t>
      </w:r>
      <w:r>
        <w:rPr>
          <w:rFonts w:ascii="Times New Roman;Times;serif" w:hAnsi="Times New Roman;Times;serif"/>
          <w:sz w:val="24"/>
          <w:u w:val="single"/>
        </w:rPr>
        <w:t>Dividend Equivalents</w:t>
      </w:r>
      <w:r>
        <w:rPr>
          <w:rFonts w:ascii="Times New Roman;Times;serif" w:hAnsi="Times New Roman;Times;serif"/>
          <w:sz w:val="24"/>
        </w:rPr>
        <w:t>.  In the event of any issuance of a cash dividend on the shares of Common Stock (a “</w:t>
      </w:r>
      <w:r>
        <w:rPr>
          <w:rFonts w:ascii="Times New Roman;Times;serif" w:hAnsi="Times New Roman;Times;serif"/>
          <w:b/>
          <w:sz w:val="24"/>
        </w:rPr>
        <w:t>Dividend</w:t>
      </w:r>
      <w:r>
        <w:rPr>
          <w:rFonts w:ascii="Times New Roman;Times;serif" w:hAnsi="Times New Roman;Times;serif"/>
          <w:sz w:val="24"/>
        </w:rPr>
        <w:t>”), the Participant shall be credited, as of the payment date for such Dividend, with an additional number of PSUs (each, an “</w:t>
      </w:r>
      <w:r>
        <w:rPr>
          <w:rFonts w:ascii="Times New Roman;Times;serif" w:hAnsi="Times New Roman;Times;serif"/>
          <w:b/>
          <w:sz w:val="24"/>
        </w:rPr>
        <w:t>Additional PSU</w:t>
      </w:r>
      <w:r>
        <w:rPr>
          <w:rFonts w:ascii="Times New Roman;Times;serif" w:hAnsi="Times New Roman;Times;serif"/>
          <w:sz w:val="24"/>
        </w:rPr>
        <w:t>”) equal to the quotient obtained by dividing (x) the product of (i) the number of PSUs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PSU shall be treated as a PSU granted hereunder and shall be subject to all terms and conditions set forth in this Agreement.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6.2</w:t>
      </w:r>
      <w:r>
        <w:rPr>
          <w:rFonts w:ascii="Times New Roman;Times;serif" w:hAnsi="Times New Roman;Times;serif"/>
          <w:sz w:val="24"/>
          <w:u w:val="single"/>
        </w:rPr>
        <w:t>Settlement Date</w:t>
      </w:r>
      <w:r>
        <w:rPr>
          <w:rFonts w:ascii="Times New Roman;Times;serif" w:hAnsi="Times New Roman;Times;serif"/>
          <w:sz w:val="24"/>
        </w:rPr>
        <w:t>.  Subject to the PSUs vesting in accordance with Section 3 and Exhibit A (or Section 9, if applicable), and the other terms and conditions of this Agreement, the PSUs will be settled as soon as practicable after any such PSUs have become vested, but in no event later than March 15th of the year following the year in which such vesting occurs, by delivery to the Participant of payment with respect to such PSUs in the form of shares of Common Stock or cash, as determined by the Committee in its sole discretion.  </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6.3</w:t>
      </w:r>
      <w:r>
        <w:rPr>
          <w:rFonts w:ascii="Times New Roman;Times;serif" w:hAnsi="Times New Roman;Times;serif"/>
          <w:sz w:val="24"/>
          <w:u w:val="single"/>
        </w:rPr>
        <w:t>Withholding</w:t>
      </w:r>
      <w:r>
        <w:rPr>
          <w:rFonts w:ascii="Times New Roman;Times;serif" w:hAnsi="Times New Roman;Times;serif"/>
          <w:sz w:val="24"/>
        </w:rPr>
        <w:t>.  If the Company, in its discretion, determines that it is obligated to withhold any tax in connection with the settlement of the PSUs, the Participant must make arrangements satisfactory to the Company to pay or provide for any applicable federal, state and local withholding obligations of the Company. The Participant may satisfy any federal, state or local tax withholding obligation relating to the settlement of the PSUs by any of the following means or by a combination of such means:</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tendering a cash payment;</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authorizing the Company to withhold shares of Common Stock from the shares of Common Stock otherwise issuable to the Participant as a result of the settlement of the PSUs; provided, however, that no shares of Common Stock are withheld with a value exceeding the minimum amount of tax required to be withheld by law; or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delivering to the Company previously owned and unencumbered shares of Common Stock. </w:t>
      </w:r>
    </w:p>
    <w:p>
      <w:pPr>
        <w:pStyle w:val="TextBody"/>
        <w:bidi w:val="0"/>
        <w:spacing w:before="120" w:after="240"/>
        <w:ind w:left="450" w:right="0" w:firstLine="540"/>
        <w:jc w:val="both"/>
        <w:rPr>
          <w:rFonts w:ascii="Times New Roman;Times;serif" w:hAnsi="Times New Roman;Times;serif"/>
          <w:sz w:val="24"/>
        </w:rPr>
      </w:pPr>
      <w:r>
        <w:rPr>
          <w:rFonts w:ascii="Times New Roman;Times;serif" w:hAnsi="Times New Roman;Times;serif"/>
          <w:sz w:val="24"/>
        </w:rPr>
        <w:t>In addition, The Company has the right to withhold taxes from any compensation paid to a Participant.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6.4</w:t>
      </w:r>
      <w:r>
        <w:rPr>
          <w:rFonts w:ascii="Times New Roman;Times;serif" w:hAnsi="Times New Roman;Times;serif"/>
          <w:sz w:val="24"/>
          <w:u w:val="single"/>
        </w:rPr>
        <w:t>Issuance of Shares</w:t>
      </w:r>
      <w:r>
        <w:rPr>
          <w:rFonts w:ascii="Times New Roman;Times;serif" w:hAnsi="Times New Roman;Times;serif"/>
          <w:sz w:val="24"/>
        </w:rPr>
        <w:t>.  To the extent that PSUs are settled in shares of Common Stock, the Company shall issue the shares of Common Stock registered in the name of the Participant, the Participant’s authorized assignee, or the Participant’s legal representative, which issuance shall be evidenced by stock certificates representing the shares with the appropriate legends affixed thereto, appropriate entry on the books of the Company or of a duly authorized transfer agent, or other appropriate means as determined by the Company.</w:t>
      </w:r>
    </w:p>
    <w:p>
      <w:pPr>
        <w:pStyle w:val="TextBody"/>
        <w:bidi w:val="0"/>
        <w:spacing w:before="240" w:after="240"/>
        <w:ind w:left="0" w:right="0" w:hanging="0"/>
        <w:jc w:val="left"/>
        <w:rPr>
          <w:rFonts w:ascii="Times New Roman;Times;serif" w:hAnsi="Times New Roman;Times;serif"/>
          <w:sz w:val="24"/>
        </w:rPr>
      </w:pPr>
      <w:bookmarkStart w:id="1628" w:name="_cp_change_85"/>
      <w:bookmarkEnd w:id="1628"/>
      <w:r>
        <w:rPr>
          <w:rFonts w:ascii="Times New Roman;Times;serif" w:hAnsi="Times New Roman;Times;serif"/>
          <w:b w:val="false"/>
          <w:i w:val="false"/>
          <w:caps w:val="false"/>
          <w:smallCaps w:val="false"/>
          <w:sz w:val="24"/>
        </w:rPr>
        <w:t>7.</w:t>
      </w:r>
      <w:r>
        <w:rPr>
          <w:rFonts w:ascii="Times New Roman;Times;serif" w:hAnsi="Times New Roman;Times;serif"/>
          <w:sz w:val="24"/>
          <w:u w:val="single"/>
          <w:shd w:fill="FFFFFF" w:val="clear"/>
        </w:rPr>
        <w:t>No Rights as Shareholder</w:t>
      </w:r>
      <w:r>
        <w:rPr>
          <w:rFonts w:ascii="Times New Roman;Times;serif" w:hAnsi="Times New Roman;Times;serif"/>
          <w:sz w:val="24"/>
        </w:rPr>
        <w:t>. The Participant shall not have any rights as a shareholder of the Company with respect to any shares of Common Stock subject to the Option unless and until, in accordance with the Participant’s exercise and purchase of some or all of the vested portion of the Option, certificates representing the shares have been issued by the Company to the Participant as the holder of such shares, or the shares have otherwise been recorded on the books of the Company or of a duly authorized transfer agent as owned by such holder.  In addition, the Participant shall not be deemed for any purpose to be the record owner of any shares of Common Stock underlying the PSUs pursuant to this Agreement, until, and to the extent, such PSUs are finally settled in shares of Common Stock.</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shd w:fill="FFFFFF" w:val="clear"/>
        </w:rPr>
        <w:t>Transferability</w:t>
      </w:r>
      <w:r>
        <w:rPr>
          <w:rFonts w:ascii="Times New Roman;Times;serif" w:hAnsi="Times New Roman;Times;serif"/>
          <w:sz w:val="24"/>
        </w:rPr>
        <w:t>. No portion of the Award is not transferable by the Participant other than to a designated beneficiary upon the Participant’s death or by will or the laws of descent and distribution, and the Option is exercisable during the Participant’s lifetime only by him or her. No assignment or transfer of the Award,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Award will terminate and become of no further effect.</w:t>
      </w:r>
    </w:p>
    <w:p>
      <w:pPr>
        <w:pStyle w:val="TextBody"/>
        <w:bidi w:val="0"/>
        <w:spacing w:before="240" w:after="240"/>
        <w:ind w:left="0" w:right="0" w:hanging="0"/>
        <w:jc w:val="left"/>
        <w:rPr>
          <w:rFonts w:ascii="Times New Roman;Times;serif" w:hAnsi="Times New Roman;Times;serif"/>
          <w:sz w:val="24"/>
        </w:rPr>
      </w:pPr>
      <w:bookmarkStart w:id="1629" w:name="_Ref73113867"/>
      <w:bookmarkEnd w:id="1629"/>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Change in Control</w:t>
      </w:r>
      <w:r>
        <w:rPr>
          <w:rFonts w:ascii="Times New Roman;Times;serif" w:hAnsi="Times New Roman;Times;serif"/>
          <w:sz w:val="24"/>
        </w:rPr>
        <w: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Acceleration of Vesting</w:t>
      </w:r>
      <w:r>
        <w:rPr>
          <w:rFonts w:ascii="Times New Roman;Times;serif" w:hAnsi="Times New Roman;Times;serif"/>
          <w:sz w:val="24"/>
        </w:rPr>
        <w:t>. In the event of a Change in Control, notwithstanding any provision of the Plan or this Agreement to the contrary, the Option shall become immediately vested and exercisable with respect to 100% of the shares subject to the Option. To the extent practicable, such acceleration of vesting and exercisability shall occur in a manner and at a time which allows the Participant the ability to participate in the Change in Control with respect to the shares of Common Stock received.  In addition, upon a Change in Control, the performance criteria with respect to the Participant’s PSUs shall be deemed to have been met at, and the Participant’s outstanding PSUs shall vest at, the “target” level (each as set forth in Exhibit A), and shall be settled in accordance with Section 6 of the Agreement.</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9.2</w:t>
      </w:r>
      <w:r>
        <w:rPr>
          <w:rFonts w:ascii="Times New Roman;Times;serif" w:hAnsi="Times New Roman;Times;serif"/>
          <w:sz w:val="24"/>
          <w:u w:val="single"/>
        </w:rPr>
        <w:t>Cash-Out</w:t>
      </w:r>
      <w:r>
        <w:rPr>
          <w:rFonts w:ascii="Times New Roman;Times;serif" w:hAnsi="Times New Roman;Times;serif"/>
          <w:sz w:val="24"/>
        </w:rPr>
        <w:t>. In the event of a Change in Control, the Committee may, in its discretion and upon at least 10 days’ advance notice to the Participant, cancel the Option and pay to the Participant the value of the Option based upon the price per share of Common Stock received or to be received by other shareholders of the Company in the event. Notwithstanding the foregoing, if at the time of a Change in Control the Exercise Price of the Option equals or exceeds the price paid for a share of Common Stock in connection with the Change in Control, the Committee may cancel the Option without the payment of consideration therefor.</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9.3</w:t>
      </w:r>
      <w:r>
        <w:rPr>
          <w:rFonts w:ascii="Times New Roman;Times;serif" w:hAnsi="Times New Roman;Times;serif"/>
          <w:sz w:val="24"/>
          <w:u w:val="single"/>
        </w:rPr>
        <w:t>Definition of Change in Control</w:t>
      </w:r>
      <w:r>
        <w:rPr>
          <w:rFonts w:ascii="Times New Roman;Times;serif" w:hAnsi="Times New Roman;Times;serif"/>
          <w:sz w:val="24"/>
        </w:rPr>
        <w:t>. For purposes of the Plan, “</w:t>
      </w:r>
      <w:r>
        <w:rPr>
          <w:rFonts w:ascii="Times New Roman;Times;serif" w:hAnsi="Times New Roman;Times;serif"/>
          <w:b/>
          <w:sz w:val="24"/>
        </w:rPr>
        <w:t>Change in Control</w:t>
      </w:r>
      <w:r>
        <w:rPr>
          <w:rFonts w:ascii="Times New Roman;Times;serif" w:hAnsi="Times New Roman;Times;serif"/>
          <w:sz w:val="24"/>
        </w:rPr>
        <w:t>” means: (a) the purchase or other acquisition (other than from the Company) by any person, entity or group of persons, within the meaning of Section 13(d) or 14(d) of the Securities Exchange Act of 1934, as amended (the “Act”) (excluding for this purpose, the Company or its Subsidiaries or any employee benefit plan of the Company or its Subsidiaries), of beneficial ownership (within the meaning of Rule 13d-3 promulgated under the Act) of 50% or more of either the then-outstanding shares of Common Stock of the Company or the combined voting power of the Company’s then-outstanding voting securities entitled to vote generally in the election of directors; (b) the consummation of (i) a reorganization, merger or consolidation involving the Company that requires the approval of the Company’s stockholders, that results in security holders of the Company immediately before such reorganization, merger or consolidation holding 50% or less of both the Common Stock (or the common equity of the surviving entity, as applicable) and the combined voting power of the voting securities of the Company (or such surviving entity, as applicable) outstanding immediately after such reorganization, merger or consolidation, or (ii) the sale of all or substantially all of the assets of the Company, or (c) approval of the stockholders of the Company of a liquidation or dissolution of the Company; provided, however, solely with respect to the payment of an Award that is subject to Section 409A of the Code and solely to the extent required for any such payment to avoid violating Section 409A of the Code, this definition of Change in Control shall be interpreted and applied to mean a “change in control event” within the meaning of Section 409A of the Code and the U.S. Treasury Regulations and other guidance promulgated thereunder; provided, further, that, notwithstanding the foregoing definition or any other term of the Plan, the term “Change in Control” will not include a reorganization, merger, consolidation, sale of assets or other transaction effected exclusively for the purpose of changing the domicile of the Company.</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shd w:fill="FFFFFF" w:val="clear"/>
        </w:rPr>
        <w:t>Adjustments</w:t>
      </w:r>
      <w:r>
        <w:rPr>
          <w:rFonts w:ascii="Times New Roman;Times;serif" w:hAnsi="Times New Roman;Times;serif"/>
          <w:sz w:val="24"/>
        </w:rPr>
        <w:t>. The shares of Common Stock subject to the Option and the PSUs may be adjusted or terminated in any manner as contemplated by Section 9 of the Plan.</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shd w:fill="FFFFFF" w:val="clear"/>
        </w:rPr>
        <w:t>Tax Liability and Withholding</w:t>
      </w:r>
      <w:r>
        <w:rPr>
          <w:rFonts w:ascii="Times New Roman;Times;serif" w:hAnsi="Times New Roman;Times;serif"/>
          <w:sz w:val="24"/>
        </w:rPr>
        <w:t>. Notwithstanding any action the Company takes with respect to any or all income tax, social insurance, payroll tax, or other tax-related withholding (“</w:t>
      </w:r>
      <w:r>
        <w:rPr>
          <w:rFonts w:ascii="Times New Roman;Times;serif" w:hAnsi="Times New Roman;Times;serif"/>
          <w:b/>
          <w:sz w:val="24"/>
        </w:rPr>
        <w:t>Tax-Related Items</w:t>
      </w:r>
      <w:r>
        <w:rPr>
          <w:rFonts w:ascii="Times New Roman;Times;serif" w:hAnsi="Times New Roman;Times;serif"/>
          <w:sz w:val="24"/>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or in connection with the grant, vesting, or settlement of the PSUs; and (b) does not commit to structure the Option or PSUs to reduce or eliminate the Participant’s liability for Tax-Related Items.</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Leak Out</w:t>
      </w:r>
      <w:r>
        <w:rPr>
          <w:rFonts w:ascii="Times New Roman;Times;serif" w:hAnsi="Times New Roman;Times;serif"/>
          <w:sz w:val="24"/>
        </w:rPr>
        <w:t>. All shares of Common Stock issued pursuant to this Agreement may be liquidated at a daily rate of no more than 5% of the preceding 5-day average volume of the Company’s Common Stock on any given trading day.  </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w:t>
      </w:r>
      <w:r>
        <w:rPr>
          <w:rFonts w:ascii="Times New Roman;Times;serif" w:hAnsi="Times New Roman;Times;serif"/>
          <w:sz w:val="24"/>
          <w:u w:val="single"/>
          <w:shd w:fill="FFFFFF" w:val="clear"/>
        </w:rPr>
        <w:t>Non-Competition and Non-Solicitation</w:t>
      </w:r>
      <w:r>
        <w:rPr>
          <w:rFonts w:ascii="Times New Roman;Times;serif" w:hAnsi="Times New Roman;Times;serif"/>
          <w:sz w:val="24"/>
        </w:rPr>
        <w:t>.</w:t>
      </w:r>
    </w:p>
    <w:p>
      <w:pPr>
        <w:pStyle w:val="TextBody"/>
        <w:bidi w:val="0"/>
        <w:spacing w:before="120" w:after="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13.1</w:t>
      </w:r>
      <w:r>
        <w:rPr>
          <w:rFonts w:ascii="Times New Roman;Times;serif" w:hAnsi="Times New Roman;Times;serif"/>
          <w:sz w:val="24"/>
          <w:u w:val="single"/>
        </w:rPr>
        <w:t>Non-Competition and Non-Solicitation Restrictions</w:t>
      </w:r>
      <w:r>
        <w:rPr>
          <w:rFonts w:ascii="Times New Roman;Times;serif" w:hAnsi="Times New Roman;Times;serif"/>
          <w:sz w:val="24"/>
        </w:rPr>
        <w:t>. In consideration of the Award, the Participant agrees and covenants not to:</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contribute his or her knowledge, directly or indirectly, in whole or in part, as an employee, officer, owner, manager, advisor, consultant, agent, partner, director, shareholder, volunteer, intern or in any other similar capacity to an entity engaged in the same or similar business as the Company and its Affiliates, including those engaged in the cannabis industry for a period of 1 year following the Participant’s termination of Continuous Service; </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directly or indirectly, solicit, hire, recruit, attempt to hire or recruit, or induce the termination of employment of any employee of the Company or its Affiliates for 1 year following the Participant’s termination of Continuous Service;</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directly or indirectly, solicit, contact (including, but not limited to, e-mail, regular mail, express mail, telephone, fax, and instant message), attempt to contact or meet with the current, former or prospective customers of the Company or any of its Affiliates for purposes of offering or accepting goods or services similar to or competitive with those offered by the Company or any of its Affiliates for a period of 1 year following the Participant’s termination of Continuous Service.</w:t>
      </w:r>
    </w:p>
    <w:p>
      <w:pPr>
        <w:pStyle w:val="TextBody"/>
        <w:bidi w:val="0"/>
        <w:spacing w:before="120" w:after="240"/>
        <w:ind w:left="432"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13.2</w:t>
      </w:r>
      <w:r>
        <w:rPr>
          <w:rFonts w:ascii="Times New Roman;Times;serif" w:hAnsi="Times New Roman;Times;serif"/>
          <w:sz w:val="24"/>
          <w:u w:val="single"/>
        </w:rPr>
        <w:t>Enforcement of Non-Competition and Non-Solicitation Restrictions</w:t>
      </w:r>
      <w:r>
        <w:rPr>
          <w:rFonts w:ascii="Times New Roman;Times;serif" w:hAnsi="Times New Roman;Times;serif"/>
          <w:sz w:val="24"/>
        </w:rPr>
        <w:t>. In the event of a breach or threatened breach by the Participant of any of the covenants contained in Section 13.1:</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any unvested portion of the Award shall be forfeited effective as of the date of such breach, unless sooner terminated by operation of another term or condition of this Agreement or the Plan; and</w:t>
      </w:r>
    </w:p>
    <w:p>
      <w:pPr>
        <w:pStyle w:val="TextBody"/>
        <w:bidi w:val="0"/>
        <w:spacing w:before="120" w:after="240"/>
        <w:ind w:left="1008"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Participant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w:t>
      </w:r>
      <w:r>
        <w:rPr>
          <w:rFonts w:ascii="Times New Roman;Times;serif" w:hAnsi="Times New Roman;Times;serif"/>
          <w:sz w:val="24"/>
          <w:u w:val="single"/>
          <w:shd w:fill="FFFFFF" w:val="clear"/>
        </w:rPr>
        <w:t>Compliance with Law</w:t>
      </w:r>
      <w:r>
        <w:rPr>
          <w:rFonts w:ascii="Times New Roman;Times;serif" w:hAnsi="Times New Roman;Times;serif"/>
          <w:sz w:val="24"/>
        </w:rPr>
        <w:t>. The exercise of the Option and the issuance and any transfer of shares of Common Stock pursuant to the Option or the settlement of PSUs in Common Stock of the Company shall be subject to compliance by the Company and the Participant with all applicable requirements of federal and state securities laws, regulatory agencies and any stock exchange on which the Company’s shares of Common Stock may be listed. No shares of Common Stock shall be issued pursuant to this Award unless and until any then applicable requirements of state or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15.</w:t>
      </w:r>
      <w:r>
        <w:rPr>
          <w:rFonts w:ascii="Times New Roman;Times;serif" w:hAnsi="Times New Roman;Times;serif"/>
          <w:sz w:val="24"/>
          <w:u w:val="single"/>
          <w:shd w:fill="FFFFFF" w:val="clear"/>
        </w:rPr>
        <w:t>Notices</w:t>
      </w:r>
      <w:r>
        <w:rPr>
          <w:rFonts w:ascii="Times New Roman;Times;serif" w:hAnsi="Times New Roman;Times;serif"/>
          <w:sz w:val="24"/>
        </w:rPr>
        <w:t>. Any notice required to be delivered to the Company under this Agreement shall be in writing and addressed to the General Counsel of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16.</w:t>
      </w:r>
      <w:r>
        <w:rPr>
          <w:rFonts w:ascii="Times New Roman;Times;serif" w:hAnsi="Times New Roman;Times;serif"/>
          <w:sz w:val="24"/>
          <w:u w:val="single"/>
          <w:shd w:fill="FFFFFF" w:val="clear"/>
        </w:rPr>
        <w:t>Governing Law</w:t>
      </w:r>
      <w:r>
        <w:rPr>
          <w:rFonts w:ascii="Times New Roman;Times;serif" w:hAnsi="Times New Roman;Times;serif"/>
          <w:sz w:val="24"/>
        </w:rPr>
        <w:t>. This Agreement will be construed and interpreted in accordance with the laws of the State of Nevada without regard to conflict of law principles.</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17.</w:t>
      </w:r>
      <w:r>
        <w:rPr>
          <w:rFonts w:ascii="Times New Roman;Times;serif" w:hAnsi="Times New Roman;Times;serif"/>
          <w:sz w:val="24"/>
          <w:u w:val="single"/>
          <w:shd w:fill="FFFFFF" w:val="clear"/>
        </w:rPr>
        <w:t>Interpretation</w:t>
      </w:r>
      <w:r>
        <w:rPr>
          <w:rFonts w:ascii="Times New Roman;Times;serif" w:hAnsi="Times New Roman;Times;serif"/>
          <w:sz w:val="24"/>
        </w:rPr>
        <w:t>. This Agreement constitutes the entire agreement between the parties pertaining to the subject matter hereof and supersedes all prior and contemporaneous agreements, representations and understandings. Any dispute regarding the interpretation of this Agreement shall be submitted by the Participant or the Company to the Board for review. The resolution of such dispute by the Board shall be final and binding on the Participant and the Company.</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18.</w:t>
      </w:r>
      <w:r>
        <w:rPr>
          <w:rFonts w:ascii="Times New Roman;Times;serif" w:hAnsi="Times New Roman;Times;serif"/>
          <w:sz w:val="24"/>
          <w:u w:val="single"/>
          <w:shd w:fill="FFFFFF" w:val="clear"/>
        </w:rPr>
        <w:t>Successors and Assigns</w:t>
      </w:r>
      <w:r>
        <w:rPr>
          <w:rFonts w:ascii="Times New Roman;Times;serif" w:hAnsi="Times New Roman;Times;serif"/>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19.</w:t>
      </w:r>
      <w:r>
        <w:rPr>
          <w:rFonts w:ascii="Times New Roman;Times;serif" w:hAnsi="Times New Roman;Times;serif"/>
          <w:sz w:val="24"/>
          <w:u w:val="single"/>
          <w:shd w:fill="FFFFFF" w:val="clear"/>
        </w:rPr>
        <w:t>Severability</w:t>
      </w:r>
      <w:r>
        <w:rPr>
          <w:rFonts w:ascii="Times New Roman;Times;serif" w:hAnsi="Times New Roman;Times;serif"/>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20.</w:t>
      </w:r>
      <w:r>
        <w:rPr>
          <w:rFonts w:ascii="Times New Roman;Times;serif" w:hAnsi="Times New Roman;Times;serif"/>
          <w:sz w:val="24"/>
          <w:u w:val="single"/>
          <w:shd w:fill="FFFFFF" w:val="clear"/>
        </w:rPr>
        <w:t>Discretionary Nature of Plan</w:t>
      </w:r>
      <w:r>
        <w:rPr>
          <w:rFonts w:ascii="Times New Roman;Times;serif" w:hAnsi="Times New Roman;Times;serif"/>
          <w:sz w:val="24"/>
        </w:rPr>
        <w:t>. The Plan is discretionary and may be amended, cancelled or terminated by the Company at any time, in its discretion. The grant of the Award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shd w:fill="FFFFFF" w:val="clear"/>
        </w:rPr>
        <w:t>Amendment</w:t>
      </w:r>
      <w:r>
        <w:rPr>
          <w:rFonts w:ascii="Times New Roman;Times;serif" w:hAnsi="Times New Roman;Times;serif"/>
          <w:sz w:val="24"/>
        </w:rPr>
        <w:t xml:space="preserve">. The Board has the right to amend, alter, suspend, discontinue or cancel the Award, prospectively or retroactively; </w:t>
      </w:r>
      <w:r>
        <w:rPr>
          <w:rFonts w:ascii="Times New Roman;Times;serif" w:hAnsi="Times New Roman;Times;serif"/>
          <w:i/>
          <w:sz w:val="24"/>
        </w:rPr>
        <w:t>provided, that</w:t>
      </w:r>
      <w:r>
        <w:rPr>
          <w:rFonts w:ascii="Times New Roman;Times;serif" w:hAnsi="Times New Roman;Times;serif"/>
          <w:sz w:val="24"/>
        </w:rPr>
        <w:t xml:space="preserve">, no such amendment shall adversely affect the Participant’s material rights under this Agreement without the Participant’s consent. </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shd w:fill="FFFFFF" w:val="clear"/>
        </w:rPr>
        <w:t>No Impact on Other Benefits</w:t>
      </w:r>
      <w:r>
        <w:rPr>
          <w:rFonts w:ascii="Times New Roman;Times;serif" w:hAnsi="Times New Roman;Times;serif"/>
          <w:sz w:val="24"/>
        </w:rPr>
        <w:t>. The value of the Participant’s Award is not part of his or her normal or expected compensation for purposes of calculating any severance, retirement, welfare, insurance or similar employee benefit.</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Not an Employment Contract</w:t>
      </w:r>
      <w:r>
        <w:rPr>
          <w:rFonts w:ascii="Times New Roman;Times;serif" w:hAnsi="Times New Roman;Times;serif"/>
          <w:sz w:val="24"/>
        </w:rPr>
        <w:t>.  This Agreement is not an employment contract and nothing in the Plan or this Agreement shall be construed to limit the discretion of the Company to terminate the Participant’s Continuous Service at any time, or for any reason or no reason.</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24.</w:t>
      </w:r>
      <w:r>
        <w:rPr>
          <w:rFonts w:ascii="Times New Roman;Times;serif" w:hAnsi="Times New Roman;Times;serif"/>
          <w:sz w:val="24"/>
          <w:u w:val="single"/>
        </w:rPr>
        <w:t>Section 409A</w:t>
      </w:r>
      <w:r>
        <w:rPr>
          <w:rFonts w:ascii="Times New Roman;Times;serif" w:hAnsi="Times New Roman;Times;serif"/>
          <w:sz w:val="24"/>
        </w:rPr>
        <w:t xml:space="preserve">.  This Award is intended to </w:t>
      </w:r>
      <w:bookmarkStart w:id="1630" w:name="_cp_change_90"/>
      <w:bookmarkEnd w:id="1630"/>
      <w:r>
        <w:rPr>
          <w:rFonts w:ascii="Times New Roman;Times;serif" w:hAnsi="Times New Roman;Times;serif"/>
          <w:sz w:val="24"/>
        </w:rPr>
        <w:t>either (i) qualify for an exemption under Section 409A of the U.S. Internal Revenue Code and the final regulations promulgated thereunder (“</w:t>
      </w:r>
      <w:r>
        <w:rPr>
          <w:rFonts w:ascii="Times New Roman;Times;serif" w:hAnsi="Times New Roman;Times;serif"/>
          <w:b/>
          <w:sz w:val="24"/>
        </w:rPr>
        <w:t>Section 409A</w:t>
      </w:r>
      <w:r>
        <w:rPr>
          <w:rFonts w:ascii="Times New Roman;Times;serif" w:hAnsi="Times New Roman;Times;serif"/>
          <w:sz w:val="24"/>
        </w:rPr>
        <w:t xml:space="preserve">”) </w:t>
      </w:r>
      <w:bookmarkStart w:id="1631" w:name="_cp_change_92"/>
      <w:bookmarkEnd w:id="1631"/>
      <w:r>
        <w:rPr>
          <w:rFonts w:ascii="Times New Roman;Times;serif" w:hAnsi="Times New Roman;Times;serif"/>
          <w:sz w:val="24"/>
        </w:rPr>
        <w:t>or (ii) satisfy the requirements of Section 409A. This Agreement shall be interpreted, administered and construed in a manner consistent with that intent. Notwithstanding the forgoing, if the Company determines that any provision of this Agreement or the Plan contravenes Section 409A or could cause the Participant to incur any tax, interest or penalties under Section 409A, the Company may, in its sole discretion and without the Participant’s consent, modify such provision to (</w:t>
      </w:r>
      <w:bookmarkStart w:id="1632" w:name="_cp_change_94"/>
      <w:bookmarkEnd w:id="1632"/>
      <w:r>
        <w:rPr>
          <w:rFonts w:ascii="Times New Roman;Times;serif" w:hAnsi="Times New Roman;Times;serif"/>
          <w:sz w:val="24"/>
        </w:rPr>
        <w:t>x) comply with, or avoid being subject to, Section 409A, or to avoid the incurrence of any taxes, interest and penalties under Section 409A, or (</w:t>
      </w:r>
      <w:bookmarkStart w:id="1633" w:name="_cp_change_97"/>
      <w:bookmarkEnd w:id="1633"/>
      <w:r>
        <w:rPr>
          <w:rFonts w:ascii="Times New Roman;Times;serif" w:hAnsi="Times New Roman;Times;serif"/>
          <w:sz w:val="24"/>
        </w:rPr>
        <w:t>y) maintain, to the maximum extent practicable, the original intent and economic benefit to the Participant of the applicable provision without materially increasing the cost to the Company or contravening the provisions of Section 409A. This Section 24 does not create an obligation of the Company to modify the Plan or this Agreement and does not guarantee that the Award will not be subject to taxes, interest and penalties under Section 409A.  If the Participant is a “specified employee” as defined under Section 409A and the Participant’s Award is to be settled on account of the Participant’s separation from service (for reasons other than death) and such Award constitutes “deferred compensation” as defined under Section 409A, then any portion of the Participant’s Award that would otherwise be settled during the six-month period commencing on the Participant’s separation from service shall be settled as soon as practicable following the conclusion of the six-month period (or following the Participant’s death if it occurs during such six-month period).</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25.</w:t>
      </w:r>
      <w:r>
        <w:rPr>
          <w:rFonts w:ascii="Times New Roman;Times;serif" w:hAnsi="Times New Roman;Times;serif"/>
          <w:sz w:val="24"/>
          <w:u w:val="single"/>
          <w:shd w:fill="FFFFFF" w:val="clear"/>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26.</w:t>
      </w:r>
      <w:r>
        <w:rPr>
          <w:rFonts w:ascii="Times New Roman;Times;serif" w:hAnsi="Times New Roman;Times;serif"/>
          <w:sz w:val="24"/>
          <w:u w:val="single"/>
          <w:shd w:fill="FFFFFF" w:val="clear"/>
        </w:rPr>
        <w:t>Acceptance</w:t>
      </w:r>
      <w:r>
        <w:rPr>
          <w:rFonts w:ascii="Times New Roman;Times;serif" w:hAnsi="Times New Roman;Times;serif"/>
          <w:sz w:val="24"/>
        </w:rPr>
        <w:t>. The Participant hereby acknowledges receipt of a copy of the Plan and this Agreement. The Participant has read and understands the terms and provisions thereof, and accepts the Award subject to all of the terms and conditions of the Plan and this Agreement. The Participant acknowledges that there may be tax consequences upon exercise of the Option or disposition of the underlying shares and that the Participant should consult a tax advisor prior to such exercise or disposition.</w:t>
      </w:r>
    </w:p>
    <w:p>
      <w:pPr>
        <w:pStyle w:val="TextBody"/>
        <w:bidi w:val="0"/>
        <w:spacing w:before="0" w:after="0"/>
        <w:ind w:left="0" w:right="0" w:hanging="0"/>
        <w:jc w:val="center"/>
        <w:rPr>
          <w:rFonts w:ascii="Times New Roman;Times;serif" w:hAnsi="Times New Roman;Times;serif"/>
          <w:caps/>
          <w:sz w:val="24"/>
        </w:rPr>
      </w:pPr>
      <w:r>
        <w:rPr>
          <w:rFonts w:ascii="Times New Roman;Times;serif" w:hAnsi="Times New Roman;Times;serif"/>
          <w:caps/>
          <w:sz w:val="24"/>
        </w:rPr>
        <w:t>[signature page follows]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hereto have executed this Agreement as of the date first above written.</w:t>
      </w:r>
    </w:p>
    <w:tbl>
      <w:tblPr>
        <w:tblW w:w="5300" w:type="dxa"/>
        <w:jc w:val="left"/>
        <w:tblInd w:w="0" w:type="dxa"/>
        <w:tblLayout w:type="fixed"/>
        <w:tblCellMar>
          <w:top w:w="0" w:type="dxa"/>
          <w:left w:w="0" w:type="dxa"/>
          <w:bottom w:w="0" w:type="dxa"/>
          <w:right w:w="0" w:type="dxa"/>
        </w:tblCellMar>
      </w:tblPr>
      <w:tblGrid>
        <w:gridCol w:w="124"/>
        <w:gridCol w:w="5176"/>
      </w:tblGrid>
      <w:tr>
        <w:trPr/>
        <w:tc>
          <w:tcPr>
            <w:tcW w:w="124" w:type="dxa"/>
            <w:tcBorders/>
            <w:vAlign w:val="center"/>
          </w:tcPr>
          <w:p>
            <w:pPr>
              <w:pStyle w:val="TableContents"/>
              <w:bidi w:val="0"/>
              <w:spacing w:before="0" w:after="0"/>
              <w:ind w:left="0" w:right="0" w:hanging="0"/>
              <w:jc w:val="left"/>
              <w:rPr/>
            </w:pPr>
            <w:bookmarkStart w:id="1634" w:name="_Hlk73039547"/>
            <w:bookmarkEnd w:id="1634"/>
            <w:r>
              <w:rPr/>
              <w:t>​</w:t>
            </w:r>
          </w:p>
        </w:tc>
        <w:tc>
          <w:tcPr>
            <w:tcW w:w="51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MEDICINE MAN TECHNOLOGIES, INC. </w:t>
              <w:br/>
              <w:t>DBA SCHWAZZE</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120" w:after="283"/>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By:_______________________________________</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120" w:after="283"/>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Participant</w:t>
            </w:r>
          </w:p>
        </w:tc>
      </w:tr>
      <w:tr>
        <w:trPr/>
        <w:tc>
          <w:tcPr>
            <w:tcW w:w="124" w:type="dxa"/>
            <w:tcBorders/>
            <w:vAlign w:val="center"/>
          </w:tcPr>
          <w:p>
            <w:pPr>
              <w:pStyle w:val="TableContents"/>
              <w:bidi w:val="0"/>
              <w:spacing w:before="0" w:after="0"/>
              <w:ind w:left="0" w:right="0" w:hanging="0"/>
              <w:jc w:val="left"/>
              <w:rPr/>
            </w:pPr>
            <w:r>
              <w:rPr/>
              <w:t>​</w:t>
            </w:r>
          </w:p>
        </w:tc>
        <w:tc>
          <w:tcPr>
            <w:tcW w:w="51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By:_______________________________________</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 – Vesting Schedule</w:t>
      </w:r>
    </w:p>
    <w:tbl>
      <w:tblPr>
        <w:tblW w:w="1638" w:type="dxa"/>
        <w:jc w:val="left"/>
        <w:tblInd w:w="0" w:type="dxa"/>
        <w:tblLayout w:type="fixed"/>
        <w:tblCellMar>
          <w:top w:w="0" w:type="dxa"/>
          <w:left w:w="0" w:type="dxa"/>
          <w:bottom w:w="0" w:type="dxa"/>
          <w:right w:w="0" w:type="dxa"/>
        </w:tblCellMar>
      </w:tblPr>
      <w:tblGrid>
        <w:gridCol w:w="23"/>
        <w:gridCol w:w="26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A.</w:t>
            </w:r>
          </w:p>
        </w:tc>
        <w:tc>
          <w:tcPr>
            <w:tcW w:w="1355"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Stock Option</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Except as may otherwise be provided herein, subject to the Participant’s Continuous Service with the Company and achievement of the applicable performance criteria, the Option granted under this Agreement shall become vested and nonforfeitable in accordance with the following schedule:</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[INSERT SCHEDULE INCLUDING APPLICABLE PERFORMANCE CRITERIA]</w:t>
      </w:r>
    </w:p>
    <w:tbl>
      <w:tblPr>
        <w:tblW w:w="2868" w:type="dxa"/>
        <w:jc w:val="left"/>
        <w:tblInd w:w="0" w:type="dxa"/>
        <w:tblLayout w:type="fixed"/>
        <w:tblCellMar>
          <w:top w:w="0" w:type="dxa"/>
          <w:left w:w="0" w:type="dxa"/>
          <w:bottom w:w="0" w:type="dxa"/>
          <w:right w:w="0" w:type="dxa"/>
        </w:tblCellMar>
      </w:tblPr>
      <w:tblGrid>
        <w:gridCol w:w="23"/>
        <w:gridCol w:w="245"/>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B.</w:t>
            </w:r>
          </w:p>
        </w:tc>
        <w:tc>
          <w:tcPr>
            <w:tcW w:w="26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Performance Share Units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Except as may otherwise be provided herein, subject to the Participant’s Continuous Service with the Company and achievement of the applicable performance criteria, the PSUs granted under this Agreement shall become vested and nonforfeitable in accordance with the following schedule: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[INSERT SCHEDULE INCLUDING APPLICABLE PERFORMANCE CRITERIA]</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5" w:name="shwz-20230930xex31d1.htm"/>
      <w:bookmarkStart w:id="1636" w:name="ksshwz20230930xex31d1"/>
      <w:bookmarkEnd w:id="1635"/>
      <w:bookmarkEnd w:id="163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 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Nirup Krishnamurthy, certify that:</w:t>
      </w:r>
    </w:p>
    <w:p>
      <w:pPr>
        <w:pStyle w:val="TextBody"/>
        <w:bidi w:val="0"/>
        <w:spacing w:before="0" w:after="0"/>
        <w:ind w:left="0" w:right="0" w:hanging="0"/>
        <w:jc w:val="both"/>
        <w:rPr/>
      </w:pPr>
      <w:r>
        <w:rPr/>
        <w:t>​</w:t>
      </w:r>
    </w:p>
    <w:tbl>
      <w:tblPr>
        <w:tblW w:w="7368" w:type="dxa"/>
        <w:jc w:val="left"/>
        <w:tblInd w:w="0" w:type="dxa"/>
        <w:tblLayout w:type="fixed"/>
        <w:tblCellMar>
          <w:top w:w="0" w:type="dxa"/>
          <w:left w:w="0" w:type="dxa"/>
          <w:bottom w:w="0" w:type="dxa"/>
          <w:right w:w="0" w:type="dxa"/>
        </w:tblCellMar>
      </w:tblPr>
      <w:tblGrid>
        <w:gridCol w:w="23"/>
        <w:gridCol w:w="17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7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Medicine Man Technologies,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6197" w:type="dxa"/>
        <w:jc w:val="center"/>
        <w:tblInd w:w="0" w:type="dxa"/>
        <w:tblLayout w:type="fixed"/>
        <w:tblCellMar>
          <w:top w:w="0" w:type="dxa"/>
          <w:left w:w="0" w:type="dxa"/>
          <w:bottom w:w="0" w:type="dxa"/>
          <w:right w:w="0" w:type="dxa"/>
        </w:tblCellMar>
      </w:tblPr>
      <w:tblGrid>
        <w:gridCol w:w="2311"/>
        <w:gridCol w:w="388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November 14, 2023</w:t>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Nirup Krishnamurthy</w:t>
            </w:r>
          </w:p>
        </w:tc>
      </w:tr>
      <w:tr>
        <w:trPr/>
        <w:tc>
          <w:tcPr>
            <w:tcW w:w="2311" w:type="dxa"/>
            <w:tcBorders/>
            <w:vAlign w:val="center"/>
          </w:tcPr>
          <w:p>
            <w:pPr>
              <w:pStyle w:val="TableContents"/>
              <w:bidi w:val="0"/>
              <w:spacing w:before="0" w:after="0"/>
              <w:ind w:left="0" w:right="0" w:hanging="0"/>
              <w:jc w:val="both"/>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Nirup Krishnamurthy,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7" w:name="shwz-20230930xex31d2.htm"/>
      <w:bookmarkStart w:id="1638" w:name="ksshwz20230930xex31d2"/>
      <w:bookmarkEnd w:id="1637"/>
      <w:bookmarkEnd w:id="163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 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Forrest Hoffmaster, certify that:</w:t>
      </w:r>
    </w:p>
    <w:p>
      <w:pPr>
        <w:pStyle w:val="TextBody"/>
        <w:bidi w:val="0"/>
        <w:spacing w:before="0" w:after="0"/>
        <w:ind w:left="0" w:right="0" w:hanging="0"/>
        <w:jc w:val="both"/>
        <w:rPr/>
      </w:pPr>
      <w:r>
        <w:rPr/>
        <w:t>​</w:t>
      </w:r>
    </w:p>
    <w:tbl>
      <w:tblPr>
        <w:tblW w:w="7368" w:type="dxa"/>
        <w:jc w:val="left"/>
        <w:tblInd w:w="0" w:type="dxa"/>
        <w:tblLayout w:type="fixed"/>
        <w:tblCellMar>
          <w:top w:w="0" w:type="dxa"/>
          <w:left w:w="0" w:type="dxa"/>
          <w:bottom w:w="0" w:type="dxa"/>
          <w:right w:w="0" w:type="dxa"/>
        </w:tblCellMar>
      </w:tblPr>
      <w:tblGrid>
        <w:gridCol w:w="23"/>
        <w:gridCol w:w="17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71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Medicine Man Technologies,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5897" w:type="dxa"/>
        <w:jc w:val="center"/>
        <w:tblInd w:w="0" w:type="dxa"/>
        <w:tblLayout w:type="fixed"/>
        <w:tblCellMar>
          <w:top w:w="0" w:type="dxa"/>
          <w:left w:w="0" w:type="dxa"/>
          <w:bottom w:w="0" w:type="dxa"/>
          <w:right w:w="0" w:type="dxa"/>
        </w:tblCellMar>
      </w:tblPr>
      <w:tblGrid>
        <w:gridCol w:w="2311"/>
        <w:gridCol w:w="358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58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November 14, 2023</w:t>
            </w:r>
          </w:p>
        </w:tc>
        <w:tc>
          <w:tcPr>
            <w:tcW w:w="35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2311" w:type="dxa"/>
            <w:tcBorders/>
            <w:vAlign w:val="center"/>
          </w:tcPr>
          <w:p>
            <w:pPr>
              <w:pStyle w:val="TableContents"/>
              <w:bidi w:val="0"/>
              <w:spacing w:before="0" w:after="0"/>
              <w:ind w:left="0" w:right="0" w:hanging="0"/>
              <w:jc w:val="both"/>
              <w:rPr/>
            </w:pPr>
            <w:r>
              <w:rPr/>
              <w:t> </w:t>
            </w:r>
          </w:p>
        </w:tc>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Forrest Hoffmaster, 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9" w:name="shwz-20230930xex32.htm"/>
      <w:bookmarkStart w:id="1640" w:name="ksshwz20230930xex32"/>
      <w:bookmarkEnd w:id="1639"/>
      <w:bookmarkEnd w:id="1640"/>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this quarterly report of Medicine Man Technologies, Inc. (the “Company”) on Form 10-Q for the fiscal period ended September 30, 2023, as filed with the Securities and Exchange Commission on the date hereof (the “Report”), we, the undersigned, in the capacities and on the date indicated below, certify, pursuant to 18 U.S.C. Section 1350, as adopted pursuant to Section 906 of the Sarbanes-Oxley Act of 2002, that to the best of our knowledge:</w:t>
      </w:r>
    </w:p>
    <w:p>
      <w:pPr>
        <w:pStyle w:val="TextBody"/>
        <w:bidi w:val="0"/>
        <w:spacing w:before="0" w:after="0"/>
        <w:ind w:left="0" w:right="0" w:hanging="0"/>
        <w:jc w:val="both"/>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6197" w:type="dxa"/>
        <w:jc w:val="left"/>
        <w:tblInd w:w="0" w:type="dxa"/>
        <w:tblLayout w:type="fixed"/>
        <w:tblCellMar>
          <w:top w:w="0" w:type="dxa"/>
          <w:left w:w="0" w:type="dxa"/>
          <w:bottom w:w="0" w:type="dxa"/>
          <w:right w:w="0" w:type="dxa"/>
        </w:tblCellMar>
      </w:tblPr>
      <w:tblGrid>
        <w:gridCol w:w="2311"/>
        <w:gridCol w:w="3886"/>
      </w:tblGrid>
      <w:tr>
        <w:trPr/>
        <w:tc>
          <w:tcPr>
            <w:tcW w:w="23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w:t>
            </w:r>
          </w:p>
        </w:tc>
        <w:tc>
          <w:tcPr>
            <w:tcW w:w="388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November 14, 2023</w:t>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Nirup Krishnamurthy</w:t>
            </w:r>
          </w:p>
        </w:tc>
      </w:tr>
      <w:tr>
        <w:trPr/>
        <w:tc>
          <w:tcPr>
            <w:tcW w:w="2311" w:type="dxa"/>
            <w:tcBorders/>
            <w:vAlign w:val="center"/>
          </w:tcPr>
          <w:p>
            <w:pPr>
              <w:pStyle w:val="TableContents"/>
              <w:bidi w:val="0"/>
              <w:spacing w:before="0" w:after="0"/>
              <w:ind w:left="0" w:right="0" w:hanging="0"/>
              <w:jc w:val="both"/>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Nirup Krishnamurthy, Chief Executive Officer</w:t>
            </w:r>
          </w:p>
        </w:tc>
      </w:tr>
      <w:tr>
        <w:trPr/>
        <w:tc>
          <w:tcPr>
            <w:tcW w:w="2311" w:type="dxa"/>
            <w:tcBorders/>
            <w:vAlign w:val="center"/>
          </w:tcPr>
          <w:p>
            <w:pPr>
              <w:pStyle w:val="TableContents"/>
              <w:bidi w:val="0"/>
              <w:spacing w:before="0" w:after="0"/>
              <w:ind w:left="0" w:right="0" w:hanging="0"/>
              <w:jc w:val="both"/>
              <w:rPr/>
            </w:pPr>
            <w:r>
              <w:rPr/>
              <w:t> </w:t>
            </w:r>
          </w:p>
        </w:tc>
        <w:tc>
          <w:tcPr>
            <w:tcW w:w="3886" w:type="dxa"/>
            <w:tcBorders/>
            <w:vAlign w:val="center"/>
          </w:tcPr>
          <w:p>
            <w:pPr>
              <w:pStyle w:val="TableContents"/>
              <w:bidi w:val="0"/>
              <w:spacing w:before="0" w:after="0"/>
              <w:ind w:left="0" w:right="0" w:hanging="0"/>
              <w:jc w:val="both"/>
              <w:rPr/>
            </w:pPr>
            <w:r>
              <w:rPr/>
              <w:t> </w:t>
            </w:r>
          </w:p>
        </w:tc>
      </w:tr>
      <w:tr>
        <w:trPr/>
        <w:tc>
          <w:tcPr>
            <w:tcW w:w="2311" w:type="dxa"/>
            <w:tcBorders/>
            <w:vAlign w:val="center"/>
          </w:tcPr>
          <w:p>
            <w:pPr>
              <w:pStyle w:val="TableContents"/>
              <w:bidi w:val="0"/>
              <w:spacing w:before="0" w:after="0"/>
              <w:ind w:left="0" w:right="0" w:hanging="0"/>
              <w:jc w:val="both"/>
              <w:rPr/>
            </w:pPr>
            <w:r>
              <w:rPr/>
              <w:t> </w:t>
            </w:r>
          </w:p>
        </w:tc>
        <w:tc>
          <w:tcPr>
            <w:tcW w:w="3886" w:type="dxa"/>
            <w:tcBorders/>
            <w:vAlign w:val="center"/>
          </w:tcPr>
          <w:p>
            <w:pPr>
              <w:pStyle w:val="TableContents"/>
              <w:bidi w:val="0"/>
              <w:spacing w:before="0" w:after="0"/>
              <w:ind w:left="0" w:right="0" w:hanging="0"/>
              <w:jc w:val="both"/>
              <w:rPr/>
            </w:pPr>
            <w:r>
              <w:rPr/>
              <w:t> </w:t>
            </w:r>
          </w:p>
        </w:tc>
      </w:tr>
      <w:tr>
        <w:trPr/>
        <w:tc>
          <w:tcPr>
            <w:tcW w:w="23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November 14, 2023</w:t>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2311" w:type="dxa"/>
            <w:tcBorders/>
            <w:vAlign w:val="center"/>
          </w:tcPr>
          <w:p>
            <w:pPr>
              <w:pStyle w:val="TableContents"/>
              <w:bidi w:val="0"/>
              <w:spacing w:before="0" w:after="0"/>
              <w:ind w:left="0" w:right="0" w:hanging="0"/>
              <w:jc w:val="both"/>
              <w:rPr/>
            </w:pPr>
            <w:r>
              <w:rPr/>
              <w:t> </w:t>
            </w:r>
          </w:p>
        </w:tc>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Forrest Hoffmaster,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2879/000110465923047224/tm2313203d1_ex10-1.htm" TargetMode="External"/><Relationship Id="rId3" Type="http://schemas.openxmlformats.org/officeDocument/2006/relationships/hyperlink" Target="https://www.sec.gov/Archives/edgar/data/1622879/000110465923050450/tm2313714d1_ex2-1.htm" TargetMode="External"/><Relationship Id="rId4" Type="http://schemas.openxmlformats.org/officeDocument/2006/relationships/hyperlink" Target="https://www.sec.gov/Archives/edgar/data/1622879/000110465923068971/tm2317953d1_ex2-2.htm" TargetMode="External"/><Relationship Id="rId5" Type="http://schemas.openxmlformats.org/officeDocument/2006/relationships/hyperlink" Target="https://www.sec.gov/Archives/edgar/data/1622879/000110465923068971/tm2317953d1_ex2-3.htm" TargetMode="External"/><Relationship Id="rId6" Type="http://schemas.openxmlformats.org/officeDocument/2006/relationships/hyperlink" Target="https://www.sec.gov/Archives/edgar/data/1622879/000155837023009230/shwz-20230331xex2d3.htm" TargetMode="External"/><Relationship Id="rId7" Type="http://schemas.openxmlformats.org/officeDocument/2006/relationships/hyperlink" Target="https://www.sec.gov/Archives/edgar/data/1622879/000110465923068971/tm2317953d1_ex4-1.htm" TargetMode="External"/><Relationship Id="rId8" Type="http://schemas.openxmlformats.org/officeDocument/2006/relationships/hyperlink" Target="https://www.sec.gov/Archives/edgar/data/1622879/000110465923066703/tm2317466d1_ex10-1.htm" TargetMode="External"/><Relationship Id="rId9" Type="http://schemas.openxmlformats.org/officeDocument/2006/relationships/hyperlink" Target="https://www.sec.gov/Archives/edgar/data/1622879/000110465923066703/tm2317466d1_ex10-2.htm" TargetMode="External"/><Relationship Id="rId10" Type="http://schemas.openxmlformats.org/officeDocument/2006/relationships/hyperlink" Target="https://www.sec.gov/Archives/edgar/data/1622879/000110465923093083/tm2323580d1_ex99-2.htm" TargetMode="External"/><Relationship Id="rId11" Type="http://schemas.openxmlformats.org/officeDocument/2006/relationships/hyperlink" Target="https://www.sec.gov/Archives/edgar/data/1622879/000110465923093083/tm2323580d1_ex99-3.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34716</Words>
  <Characters>191848</Characters>
  <CharactersWithSpaces>228686</CharactersWithSpaces>
  <Paragraphs>7599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