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29, 2024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Medicine Man Technologies, Inc.</w:t>
      </w:r>
    </w:p>
    <w:p>
      <w:pPr>
        <w:spacing w:after="0" w:line="40" w:lineRule="exact"/>
        <w:rPr>
          <w:sz w:val="24"/>
          <w:szCs w:val="24"/>
          <w:color w:val="auto"/>
        </w:rPr>
      </w:pPr>
    </w:p>
    <w:tbl>
      <w:tblPr>
        <w:tblLayout w:type="fixed"/>
        <w:tblInd w:w="24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740" w:type="dxa"/>
            <w:vAlign w:val="bottom"/>
          </w:tcPr>
          <w:p>
            <w:pPr>
              <w:spacing w:after="0"/>
              <w:rPr>
                <w:sz w:val="20"/>
                <w:szCs w:val="20"/>
                <w:color w:val="auto"/>
              </w:rPr>
            </w:pPr>
          </w:p>
        </w:tc>
      </w:tr>
      <w:tr>
        <w:trPr>
          <w:trHeight w:val="39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000-55450</w:t>
            </w:r>
          </w:p>
        </w:tc>
        <w:tc>
          <w:tcPr>
            <w:tcW w:w="27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46-5289499</w:t>
            </w:r>
          </w:p>
        </w:tc>
      </w:tr>
      <w:tr>
        <w:trPr>
          <w:trHeight w:val="23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4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7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865 N. Albion St. Suite 300</w:t>
            </w:r>
          </w:p>
        </w:tc>
        <w:tc>
          <w:tcPr>
            <w:tcW w:w="43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0"/>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Denver, CO</w:t>
            </w:r>
          </w:p>
        </w:tc>
        <w:tc>
          <w:tcPr>
            <w:tcW w:w="4320" w:type="dxa"/>
            <w:vAlign w:val="bottom"/>
          </w:tcPr>
          <w:p>
            <w:pPr>
              <w:spacing w:after="0"/>
              <w:rPr>
                <w:sz w:val="19"/>
                <w:szCs w:val="19"/>
                <w:color w:val="auto"/>
              </w:rPr>
            </w:pP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80220</w:t>
            </w:r>
          </w:p>
        </w:tc>
      </w:tr>
      <w:tr>
        <w:trPr>
          <w:trHeight w:val="23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320" w:type="dxa"/>
            <w:vAlign w:val="bottom"/>
          </w:tcPr>
          <w:p>
            <w:pPr>
              <w:spacing w:after="0"/>
              <w:rPr>
                <w:sz w:val="20"/>
                <w:szCs w:val="20"/>
                <w:color w:val="auto"/>
              </w:rPr>
            </w:pPr>
          </w:p>
        </w:tc>
        <w:tc>
          <w:tcPr>
            <w:tcW w:w="27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3320" w:type="dxa"/>
            <w:vAlign w:val="bottom"/>
          </w:tcPr>
          <w:p>
            <w:pPr>
              <w:spacing w:after="0"/>
              <w:rPr>
                <w:sz w:val="24"/>
                <w:szCs w:val="24"/>
                <w:color w:val="auto"/>
              </w:rPr>
            </w:pPr>
          </w:p>
        </w:tc>
        <w:tc>
          <w:tcPr>
            <w:tcW w:w="4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(303) 371-0387</w:t>
            </w:r>
          </w:p>
        </w:tc>
        <w:tc>
          <w:tcPr>
            <w:tcW w:w="2740" w:type="dxa"/>
            <w:vAlign w:val="bottom"/>
          </w:tcPr>
          <w:p>
            <w:pPr>
              <w:spacing w:after="0"/>
              <w:rPr>
                <w:sz w:val="24"/>
                <w:szCs w:val="24"/>
                <w:color w:val="auto"/>
              </w:rPr>
            </w:pPr>
          </w:p>
        </w:tc>
      </w:tr>
      <w:tr>
        <w:trPr>
          <w:trHeight w:val="234"/>
        </w:trPr>
        <w:tc>
          <w:tcPr>
            <w:tcW w:w="3320" w:type="dxa"/>
            <w:vAlign w:val="bottom"/>
          </w:tcPr>
          <w:p>
            <w:pPr>
              <w:spacing w:after="0"/>
              <w:rPr>
                <w:sz w:val="20"/>
                <w:szCs w:val="20"/>
                <w:color w:val="auto"/>
              </w:rPr>
            </w:pPr>
          </w:p>
        </w:tc>
        <w:tc>
          <w:tcPr>
            <w:tcW w:w="43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980" w:type="dxa"/>
            <w:vAlign w:val="bottom"/>
            <w:gridSpan w:val="5"/>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280" w:type="dxa"/>
            <w:vAlign w:val="bottom"/>
          </w:tcPr>
          <w:p>
            <w:pPr>
              <w:spacing w:after="0"/>
              <w:rPr>
                <w:sz w:val="20"/>
                <w:szCs w:val="20"/>
                <w:color w:val="auto"/>
              </w:rPr>
            </w:pP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2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28"/>
        </w:trPr>
        <w:tc>
          <w:tcPr>
            <w:tcW w:w="298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rPr>
              <w:t>Not applicable</w:t>
            </w: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Not applicable</w:t>
            </w: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8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3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4.02 Non-Reliance on Previously Issued Financial Statements or a Related Audit Report or Completed Interim Review.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Background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5, 2024, the Audit Committee (the “Audit Committee”) of Medicine Man Technologies, Inc. (the “Company”) dismissed BF Borgers CPA, PC (“Borgers”) as the Company’s independent registered public accountant and subsequently appointed Baker Tilly US, LLP (“Baker Tilly”) as the Company’s new independent registered public accountant. The Company’s decision to dismiss Borgers was not the result of a dispute between the Company and Borgers. Borgers’ report on the Company’s financial statements for the fiscal years ended December 31, 2022 and December 31, 2023, did not contain an adverse opinion or disclaimer of opinion, and were not qualified or modified as to uncertainty, audit scope, or accounting principles.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reported, on May 3, 2024, the U.S. Securities and Exchange Commission (“SEC”) issued an order (the “SEC Order”) against Borgers where the SEC suspended Borgers from appearing or practicing before the SEC as an accountant. As previously stated, Borgers was the Company’s independent registered public accountant for the two fiscal years ended December 31, 2023, during which time Borgers audited the Company’s consolidated financial statements and performed reviews of interim condensed consolidated financial statements. The SEC Order has necessitated the Company to undergo a re-audit, by Baker Tilly, of the Company’s financial statements for the fiscal year ended December 31, 2023, consolidated financial statements as filed on the Annual Report on Form 10-K for the fiscal year ended December 31, 2023 (the “2023 Form 10-K”) and a re-review of the unaudited condensed consolidated financial statements for the fiscal periods ended March 31, 2023, June 30, 2023, and September 30, 2023, as filed in the Company’s Quarterly Reports on Form 10-Q, in order to file the Quarterly Reports on Form 10-Q for the fiscal periods ended March 31, 2024, June 30, 2024, and September 30,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Restatement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29, 2024, the Audit Committee of the Company determined, following discussions with Baker Tilly and the Company’s management, that the Company’s previously issued audited consolidated financial statements for the two fiscal years ended December 31, 2022 and December 31, 2023, as filed on the 2023 Form 10-K audited by Borgers, and the Company’s unaudited condensed consolidated financial statements and the notes thereto as of and for the fiscal periods ended March 31, 2023, June 30, 2023, and September 30, 2023 included in the Company’s Quarterly Reports on Form 10-Q (collectively the “Subject Periods”) will be restated due to the identification of certain accounting errors that will result in the Company making certain accounting corrections primarily relating to technical accounting areas. The Company has determined the impact of such corrections will result in:</w:t>
      </w:r>
    </w:p>
    <w:p>
      <w:pPr>
        <w:spacing w:after="0" w:line="18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fiscal years ended December 31, 2022 and December 31, 2023:</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presentation or classification of certain line items, including the correction and reclassification of preferred shares from permanent equity to temporary equity;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for certain errors and omissions related to (i) the accounting treatment of operating leases, (ii) revision to purchase accounting in relation to the determination of the fair value of consideration transferred for certain acquisitions, including updating the discount rates for certain notes to reflect fair value, and the allocation of consideration between tangible and intangible assets and the related subsequent depreciation, amortization, and recording of non-cash interest expense, (iii) inventory valuations and the associated cost of goods sold primarily related to purchase accounting and one-time expenses, (iv) the accounting treatment for loyalty points (v) debt accounting adjustments for convertible notes and their related derivative valuation, including unrealized gain or loss, and amortization expense of debt issuance costs, (vi) accounting for penalties and provisions concerning sales and income taxes payable, and (vii) disclosure of the reclassification of certain general and administrative expenses to costs of goods sold; and</w:t>
      </w:r>
    </w:p>
    <w:p>
      <w:pPr>
        <w:spacing w:after="0" w:line="19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and reclassification of additional paid-in capital, accumulated deficit and other comprehensive loss.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fiscal year ended December 31, 2023:</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relating to the recognition of goodwill impairment associated with the Company’s Wholesale and Retail reporting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of certain out of period expenses related to (i) stock-based compensation, and (ii) unrealized gain or loss on marketable securities.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that the impact of these corrections is material and as a result, the Subject Periods should no longer be relied upon. Similarly, any previously issued or filed reports, press releases, earnings releases, investor presentations or other communications of the Company describing the Company’s financial results or other financial information should no longer be relied upon to the extent that they are related to the Subject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file amendments to its 2023 Form 10-K and each Form 10-Q for the fiscal periods ended March 31, 2023, June 30, 2023, and September 30, 2023 as soon as practical in order to restate (i) the Company’s audited consolidated financial statements for the fiscal years ended December 31, 2022 and December 31, 2023, and (ii) its unaudited condensed consolidated financial statements for the quarterly periods ended March 31, 2023, June 30, 2023, and September 30, 2023. In connection with the restatements, the Company has also determined it is appropriate to correct for certain other immaterial errors that will be in the explanatory notes to the respective amendments.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currently believe that the foregoing corrections will have any negative material impact on the Company’s revenue, adjusted EBITDA, cash from operations or cash position.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and the Audit Committee have discussed, and continue to discuss, the matters disclosed in this Current Report on Form 8-K pursuant to this Item 4.02 with Baker Tilly.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description in this report of the accounting errors, the required corrections and the expected impacts of the restatements described above are preliminary and subject to further change in connection with the ongoing review of the accounting errors and the completion of the restatements. Accordingly, there can be no assurances that the actual effects of the restatements will be only as described above. Although the Company cannot at this time estimate when it will file the amended reports for the Subject Periods, it is diligently pursuing completion of the restatements and intends to make such filings as soon as reasonably practicable.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 foregoing accounting errors and prescribed restatements, the Company’s management is assessing the effectiveness of the Company’s internal control over financial reporting and its disclosure controls and procedures with respect to each of the Subject Periods. If the Company’s management determines that the Company’s internal control over financial reporting or its disclosures and procedures were not effective with respect to any of the Subject Periods, then the applicable changes will be implemented to remediate the identified material weaknesses.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the Private Securities Litigation Reform Act of 1995 and other federal securities laws. Any statements contained herein which do not describe historical facts, including, among others, statements regarding the expected impact of the restatements and change in accounting treatment, including on the Company’s overall business operations, previously reported cash and cash equivalent balances, and strategic outlook; and statements regarding the Company’s internal controls over financial reporting, disclosure controls and procedures and ongoing internal reviews and assessments are forward-looking statements which involve risks and uncertainties that could cause actual results to differ materially from those discussed in such forward-looking statements. Such risks and uncertainties include, among others, that the Company has underestimated the scope and impact of the restatements, risks and uncertainties around the effectiveness of the Company’s disclosure controls and procedures and the effectiveness of the Company’s internal control over financial reporting, the risk that the Company’s restated financial statements may take longer to complete than expected, as well as those risks and uncertainties identified in the Company’s filings with the SEC, including its 2023 Form 10-K and in any subsequent filings with the Commission, which are available at the Commission’s website at www.sec.gov. Any such risks and uncertainties could materially and adversely affect the Company’s results of operations, its profitability and its cash flows, which would, in turn, have a significant and adverse impact on the Company’s stock price. The Company cautions you not to place undue reliance on any forward-looking statements, which speak only as of the date they are made. The Company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As noted above, investors are cautioned that the Subject Periods, and related investor communications, should no longer be relied upon; such communications include earnings releases, press releases, shareholder communications, investor presentations and other communications describing relevant portions of the Subject Periods.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40" w:type="dxa"/>
            <w:vAlign w:val="bottom"/>
          </w:tcPr>
          <w:p>
            <w:pPr>
              <w:spacing w:after="0"/>
              <w:rPr>
                <w:sz w:val="20"/>
                <w:szCs w:val="20"/>
                <w:color w:val="auto"/>
              </w:rPr>
            </w:pPr>
          </w:p>
        </w:tc>
        <w:tc>
          <w:tcPr>
            <w:tcW w:w="7260" w:type="dxa"/>
            <w:vAlign w:val="bottom"/>
          </w:tcPr>
          <w:p>
            <w:pPr>
              <w:spacing w:after="0"/>
              <w:rPr>
                <w:sz w:val="20"/>
                <w:szCs w:val="20"/>
                <w:color w:val="auto"/>
              </w:rPr>
            </w:pPr>
          </w:p>
        </w:tc>
      </w:tr>
      <w:tr>
        <w:trPr>
          <w:trHeight w:val="41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dated December 4, 2024</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48"/>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MEDICINE MAN TECHNOLOGIES,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 December 4, 2024</w:t>
      </w:r>
      <w:r>
        <w:rPr>
          <w:sz w:val="20"/>
          <w:szCs w:val="20"/>
          <w:color w:val="auto"/>
        </w:rPr>
        <w:tab/>
      </w:r>
      <w:r>
        <w:rPr>
          <w:rFonts w:ascii="Times New Roman" w:cs="Times New Roman" w:eastAsia="Times New Roman" w:hAnsi="Times New Roman"/>
          <w:sz w:val="18"/>
          <w:szCs w:val="18"/>
          <w:color w:val="auto"/>
        </w:rPr>
        <w:t>Forrest Hoffmaster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Interim Chief Executive Officer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920240" cy="643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024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Schwazze Provides Update on Delayed Filings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DENVER, CO, December 4, 2024 – </w:t>
      </w:r>
      <w:r>
        <w:rPr>
          <w:rFonts w:ascii="Times New Roman" w:cs="Times New Roman" w:eastAsia="Times New Roman" w:hAnsi="Times New Roman"/>
          <w:sz w:val="18"/>
          <w:szCs w:val="18"/>
          <w:color w:val="auto"/>
        </w:rPr>
        <w:t>Medicine Man Technologies, Inc., operating as Schwazze, (OTC: SHWZ) (Cboe CA: SHWZ) ("Schwazze"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providing an update on its previously announced delayed filings.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29, 2024, the Audit Committee of the Company determined, following discussions with Baker Tilly and the Company’s management, that the Company’s previously issued audited consolidated financial statements for the two fiscal years ended December 31, 2023, audited by BF Borgers, and the Company’s unaudited condensed consolidated financial statements and the notes thereto as of and for the fiscal periods ended March 31, 2023, June 30, 2023, and September 30, 2023 included in the Company’s Quarterly Reports on Form 10-Q for the fiscal periods ended March 31, 2023, June 30, 2023, and September 30, 2023 that were filed with the SEC (collectively the “Subject Periods”) will be restated due to the identification of certain accounting adjustments needed primarily relating to technical accounting areas.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concluded that the impact of these corrections is material and as a result, the Subject Periods should no longer be relied upon. Similarly, any previously issued or filed reports, press releases, earnings releases, investor presentations or other communications of the Company describing the Company’s financial results or other financial information should no longer be relied upon to the extent that they are related to the Subject Periods.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Schwazze does not currently believe that the foregoing corrections will have any negative material impact on the Company’s revenue, adjusted EBITDA, cash from operations or cash position.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details on the impact of these adjustments can be found in the Company’s related Form 8-K filed earlier today.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Schwazze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Schwazze (OTC: SHWZ) (Cboe CA: SHWZ) is building a premier vertically integrated regional cannabis company with assets in Colorado and New Mexico and will continue to explore taking its operating system to other states where it can develop a differentiated regional leadership position. Schwazze is the parent company of a portfolio of leading cannabis businesses and brands spanning seed to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Schwazze is anchored by a high-performance culture that combines customer-centric thinking and data science to test, measure, and drive decisions and outcomes. The Company's leadership team has deep expertise in retailing, wholesaling, and building consumer brands at Fortune 500 companies as well as in the cannabis sector.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Medicine Man Technologies, Inc. was Schwazze's former operating trade name. The corporate entity continues to be named Medicine Man Technologies, Inc. Schwazze derives its name from the pruning technique of a cannabis plant to enhance plant structure and promote healthy growth. To learn more about Schwazze, visit </w:t>
      </w:r>
      <w:r>
        <w:rPr>
          <w:rFonts w:ascii="Times New Roman" w:cs="Times New Roman" w:eastAsia="Times New Roman" w:hAnsi="Times New Roman"/>
          <w:sz w:val="18"/>
          <w:szCs w:val="18"/>
          <w:u w:val="single" w:color="auto"/>
          <w:color w:val="auto"/>
        </w:rPr>
        <w:t>https://schwazze.com/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U.S. Private Securities Litigation Reform Act of 1995, Section 27A of the Securities Act of 1933, as amended, and Section 21E of the Securities Exchange Act of 1934, as amended. These forward-looking statements include financial outlooks; statements regarding the expected impact of the restatements and change in accounting treatment, including on the Company’s overall business operations, previously reported cash and cash equivalent balances, and strategic outlook; statements regarding the Company’s internal controls over financial reporting and ongoing internal reviews and assessments; any projections of net sales, earnings, or other financial items; any statements of the strategies, plans and objectives of our management team for future operations; expectations in connection with the Company's previously announced business plans; any statements regarding future economic conditions or performance; and statements regarding the intent, belief or current expectations of our management team. Such statements may be preceded by the words "may," "will," "could," "would," "should," "expect," "intends," "plans," "strategy," "prospects," "anticipate," "believe," "approximately," "estimate," "predict," "project," "potential," "continue," "ongoing," or the negative of these terms or other words of similar meaning in connection with a discussion of future events or future operating or financial performance, although the absence of these words does not necessarily mean that a statement is not forward-looking. We have based our forward-looking statements on management's current expectations and assumptions about future events and trends affecting our business and industry. Although we do not make forward-looking statements unless we believe we have a reasonable basis for doing so, we cannot guarantee their accuracy. Therefore, forward-looking statements are not guarantees of future events or performance, are based on certain assumptions, and are subject to various known and unknown risks and uncertainties, many of which are beyond the Company's control and cannot be predicted or quantified. Consequently, actual events and results may differ materially from those expressed or implied by such forward-looking statements. Such risks and uncertainties include, without limitation, that the Company has underestimated the scope and impact of the restatements, risks and uncertainties around the effectiveness of the Company’s disclosure controls and procedures and the effectiveness of the Company’s internal control over financial reporting, the risk that the Company’s restated financial statements may take longer to complete than expected, as well as those risks and uncertainties risks and uncertainties associated with (i) regulatory limitations on our products and services and the uncertainty in the application of federal, state, and local laws to our business, and any changes in such laws; (ii) our ability to manufacture our products and product candidates on a commercial scale on our own or in collaboration with third parties; (iii) our ability to identify, consummate, and integrate anticipated acquisitions; (iv) general industry and economic conditions; (v) our ability to access adequate capital upon terms and conditions that are acceptable to us; (vi) our ability to pay interest and principal on outstanding debt when due; (vii) volatility in credit and market conditions; (viii) the loss of one or more key executives or other key employees; and (ix) other risks and uncertainties related to the cannabis market and our business strategy. Any such risks and uncertainties could materially and adversely affect the Company’s results of operations, its profitability and its cash flows, which would, in turn, have a significant and adverse impact on the Company’s stock price. The Company cautions you not to place undue reliance on any forward-looking statements, which speak only as of the date they are made. More detailed information about the Company and the risk factors that may affect the realization of forward-looking statements is set forth in the Company's filings with the Securities and Exchange Commission (SEC), including the Company's Annual Report on Form 10-K and its Quarterly Reports on Form 10-Q. Investors and security holders are urged to read these documents free of charge on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The Company assumes no obligation to publicly update or revise its forward-looking statements as a result of new information, future events or otherwise except as required by law. As noted above, investors are cautioned that the Subject Periods, and related investor communications, should no longer be relied upon; such communications include earnings releases, press releases, shareholder communications, investor presentations and other communications describing relevant portions of the Subject Periods.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Mansouri, CFA or Aaron D’Souza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Elevate IR</w:t>
      </w:r>
    </w:p>
    <w:p>
      <w:pPr>
        <w:spacing w:after="0" w:line="9" w:lineRule="exact"/>
        <w:rPr>
          <w:sz w:val="20"/>
          <w:szCs w:val="20"/>
          <w:color w:val="auto"/>
        </w:rPr>
      </w:pPr>
    </w:p>
    <w:p>
      <w:pPr>
        <w:ind w:right="9920" w:firstLine="8"/>
        <w:spacing w:after="0" w:line="290"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330-2829 </w:t>
      </w:r>
      <w:r>
        <w:rPr>
          <w:rFonts w:ascii="Times New Roman" w:cs="Times New Roman" w:eastAsia="Times New Roman" w:hAnsi="Times New Roman"/>
          <w:sz w:val="17"/>
          <w:szCs w:val="17"/>
          <w:u w:val="single" w:color="auto"/>
          <w:color w:val="auto"/>
        </w:rPr>
        <w:t>ir@schwazze.com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72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2024-12-04T15:10:48Z</dcterms:created>
  <dcterms:modified xsi:type="dcterms:W3CDTF">2024-12-04T15:10:48Z</dcterms:modified>
</cp:coreProperties>
</file>