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120"/>
        <w:ind w:left="0" w:right="0" w:hanging="0"/>
        <w:rPr/>
      </w:pPr>
      <w:hyperlink w:anchor="TOC">
        <w:bookmarkStart w:id="0" w:name="shwz-20221231x10k.htm"/>
        <w:bookmarkStart w:id="1" w:name="ksshwz20221231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spacing w:before="0" w:after="240"/>
        <w:ind w:left="0" w:right="0" w:hanging="0"/>
        <w:jc w:val="center"/>
        <w:rPr/>
      </w:pPr>
      <w:r>
        <w:rPr/>
        <w:t>​</w:t>
      </w:r>
    </w:p>
    <w:p>
      <w:pPr>
        <w:pStyle w:val="TextBody"/>
        <w:spacing w:before="0" w:after="240"/>
        <w:ind w:left="0" w:right="0" w:hanging="0"/>
        <w:jc w:val="center"/>
        <w:rPr/>
      </w:pPr>
      <w:r>
        <w:rPr/>
        <w:t>​</w:t>
      </w:r>
    </w:p>
    <w:p>
      <w:pPr>
        <w:pStyle w:val="TextBody"/>
        <w:spacing w:before="0" w:after="0"/>
        <w:ind w:left="0" w:right="0" w:hanging="0"/>
        <w:jc w:val="center"/>
        <w:rPr>
          <w:rFonts w:ascii="Times New Roman;Times;serif" w:hAnsi="Times New Roman;Times;serif"/>
          <w:b/>
          <w:sz w:val="18"/>
        </w:rPr>
      </w:pPr>
      <w:bookmarkStart w:id="2" w:name="_61bbee89_4af9_4231_ae6d_986914ca270e"/>
      <w:bookmarkEnd w:id="2"/>
      <w:r>
        <w:rPr>
          <w:rFonts w:ascii="Times New Roman;Times;serif" w:hAnsi="Times New Roman;Times;serif"/>
          <w:b/>
          <w:sz w:val="18"/>
        </w:rPr>
        <w:t>UNITED STATES</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SECURITIES AND EXCHANGE COMMISSION</w:t>
      </w:r>
    </w:p>
    <w:p>
      <w:pPr>
        <w:pStyle w:val="TextBody"/>
        <w:spacing w:before="0" w:after="6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spacing w:before="0" w:after="60"/>
        <w:ind w:left="0" w:right="0" w:hanging="0"/>
        <w:jc w:val="center"/>
        <w:rPr>
          <w:rFonts w:ascii="Times New Roman;Times;serif" w:hAnsi="Times New Roman;Times;serif"/>
          <w:b/>
          <w:sz w:val="18"/>
        </w:rPr>
      </w:pPr>
      <w:r>
        <w:rPr>
          <w:rFonts w:ascii="Times New Roman;Times;serif" w:hAnsi="Times New Roman;Times;serif"/>
          <w:b/>
          <w:sz w:val="18"/>
        </w:rPr>
        <w:t>FORM 10-K</w:t>
      </w:r>
    </w:p>
    <w:p>
      <w:pPr>
        <w:pStyle w:val="TextBody"/>
        <w:spacing w:before="0" w:after="60"/>
        <w:ind w:left="0" w:right="0" w:hanging="0"/>
        <w:rPr>
          <w:rFonts w:ascii="Times New Roman;Times;serif" w:hAnsi="Times New Roman;Times;serif"/>
          <w:sz w:val="18"/>
        </w:rPr>
      </w:pPr>
      <w:r>
        <w:rPr>
          <w:rFonts w:ascii="Times New Roman;Times;serif" w:hAnsi="Times New Roman;Times;serif"/>
          <w:sz w:val="18"/>
        </w:rPr>
        <w:t>(Mark one)</w:t>
      </w:r>
    </w:p>
    <w:p>
      <w:pPr>
        <w:pStyle w:val="TextBody"/>
        <w:spacing w:before="0" w:after="0"/>
        <w:ind w:left="0" w:right="0" w:hanging="0"/>
        <w:rPr/>
      </w:pPr>
      <w:r>
        <w:rPr>
          <w:caps w:val="false"/>
          <w:smallCaps w:val="false"/>
        </w:rPr>
        <w:t>☒</w:t>
      </w:r>
      <w:r>
        <w:rPr>
          <w:rFonts w:ascii="Times New Roman;Times;serif" w:hAnsi="Times New Roman;Times;serif"/>
          <w:sz w:val="18"/>
        </w:rPr>
        <w:t>ANNUAL REPORT PURSUANT TO SECTION 13 OR 15(d) OF THE SECURITIES EXCHANGE ACT OF 1934</w:t>
      </w:r>
    </w:p>
    <w:p>
      <w:pPr>
        <w:pStyle w:val="TextBody"/>
        <w:spacing w:before="0" w:after="60"/>
        <w:ind w:left="360" w:right="0" w:hanging="0"/>
        <w:rPr>
          <w:rFonts w:ascii="Times New Roman;Times;serif" w:hAnsi="Times New Roman;Times;serif"/>
          <w:sz w:val="18"/>
        </w:rPr>
      </w:pPr>
      <w:r>
        <w:rPr>
          <w:rFonts w:ascii="Times New Roman;Times;serif" w:hAnsi="Times New Roman;Times;serif"/>
          <w:sz w:val="18"/>
        </w:rPr>
        <w:t>for the fiscal year ended December 31, 2022</w:t>
      </w:r>
    </w:p>
    <w:p>
      <w:pPr>
        <w:pStyle w:val="TextBody"/>
        <w:spacing w:before="0" w:after="0"/>
        <w:ind w:left="0" w:right="0" w:hanging="0"/>
        <w:rPr/>
      </w:pPr>
      <w:r>
        <w:rPr>
          <w:caps w:val="false"/>
          <w:smallCaps w:val="false"/>
        </w:rPr>
        <w:t>☐</w:t>
      </w:r>
      <w:r>
        <w:rPr>
          <w:rFonts w:ascii="Times New Roman;Times;serif" w:hAnsi="Times New Roman;Times;serif"/>
          <w:sz w:val="18"/>
        </w:rPr>
        <w:t>TRANSITION REPORT PURSUANT TO SECTION 13 OR 15(d) OF THE SECURITIES EXCHANGE ACT OF 1934</w:t>
      </w:r>
    </w:p>
    <w:p>
      <w:pPr>
        <w:pStyle w:val="TextBody"/>
        <w:spacing w:before="0" w:after="60"/>
        <w:ind w:left="360" w:right="0" w:hanging="0"/>
        <w:rPr>
          <w:rFonts w:ascii="Times New Roman;Times;serif" w:hAnsi="Times New Roman;Times;serif"/>
          <w:sz w:val="18"/>
        </w:rPr>
      </w:pPr>
      <w:r>
        <w:rPr>
          <w:rFonts w:ascii="Times New Roman;Times;serif" w:hAnsi="Times New Roman;Times;serif"/>
          <w:sz w:val="18"/>
        </w:rPr>
        <w:t>for the transition period from ________________ to________________________.</w:t>
      </w:r>
    </w:p>
    <w:p>
      <w:pPr>
        <w:pStyle w:val="TextBody"/>
        <w:spacing w:before="0" w:after="60"/>
        <w:ind w:left="0" w:right="0" w:hanging="0"/>
        <w:jc w:val="center"/>
        <w:rPr>
          <w:rFonts w:ascii="Times New Roman;Times;serif" w:hAnsi="Times New Roman;Times;serif"/>
          <w:sz w:val="20"/>
        </w:rPr>
      </w:pPr>
      <w:r>
        <w:rPr>
          <w:rFonts w:ascii="Times New Roman;Times;serif" w:hAnsi="Times New Roman;Times;serif"/>
          <w:sz w:val="18"/>
        </w:rPr>
        <w:t xml:space="preserve">Commission File Number </w:t>
      </w:r>
      <w:r>
        <w:rPr>
          <w:rFonts w:ascii="Times New Roman;Times;serif" w:hAnsi="Times New Roman;Times;serif"/>
          <w:b/>
          <w:sz w:val="18"/>
        </w:rPr>
        <w:t>000-55450</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MEDICINE MAN TECHNOLOGIES, INC.</w:t>
      </w:r>
    </w:p>
    <w:p>
      <w:pPr>
        <w:pStyle w:val="TextBody"/>
        <w:spacing w:before="0" w:after="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TextBody"/>
        <w:spacing w:before="0" w:after="240"/>
        <w:ind w:left="0" w:right="0" w:hanging="0"/>
        <w:jc w:val="both"/>
        <w:rPr/>
      </w:pPr>
      <w:r>
        <w:rPr/>
        <w:t>​</w:t>
      </w:r>
    </w:p>
    <w:p>
      <w:pPr>
        <w:pStyle w:val="Normal"/>
        <w:spacing w:before="0" w:after="0"/>
        <w:rPr>
          <w:sz w:val="4"/>
          <w:szCs w:val="4"/>
        </w:rPr>
      </w:pPr>
      <w:r>
        <w:rPr>
          <w:sz w:val="4"/>
          <w:szCs w:val="4"/>
        </w:rPr>
      </w:r>
      <w:bookmarkStart w:id="3" w:name="Tc_grA3_Gv4_ky0NfFLcvG-UQ_2_2"/>
      <w:bookmarkStart w:id="4" w:name="Tc_CY8rhDhdh0aFAVYguRdnVw_2_0"/>
      <w:bookmarkStart w:id="5" w:name="_ced3f153_c7b9_4588_933a_bd43e7d653ce"/>
      <w:bookmarkStart w:id="6" w:name="Tc_grA3_Gv4_ky0NfFLcvG-UQ_2_2"/>
      <w:bookmarkStart w:id="7" w:name="Tc_CY8rhDhdh0aFAVYguRdnVw_2_0"/>
      <w:bookmarkStart w:id="8" w:name="_ced3f153_c7b9_4588_933a_bd43e7d653ce"/>
      <w:bookmarkEnd w:id="6"/>
      <w:bookmarkEnd w:id="7"/>
      <w:bookmarkEnd w:id="8"/>
    </w:p>
    <w:tbl>
      <w:tblPr>
        <w:tblW w:w="4033" w:type="dxa"/>
        <w:jc w:val="left"/>
        <w:tblInd w:w="0" w:type="dxa"/>
        <w:tblCellMar>
          <w:top w:w="0" w:type="dxa"/>
          <w:left w:w="0" w:type="dxa"/>
          <w:bottom w:w="0" w:type="dxa"/>
          <w:right w:w="0" w:type="dxa"/>
        </w:tblCellMar>
      </w:tblPr>
      <w:tblGrid>
        <w:gridCol w:w="2251"/>
        <w:gridCol w:w="326"/>
        <w:gridCol w:w="1456"/>
      </w:tblGrid>
      <w:tr>
        <w:trPr/>
        <w:tc>
          <w:tcPr>
            <w:tcW w:w="2251"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456" w:type="dxa"/>
            <w:tcBorders/>
            <w:shd w:fill="auto" w:val="clear"/>
            <w:vAlign w:val="center"/>
          </w:tcPr>
          <w:p>
            <w:pPr>
              <w:pStyle w:val="TableContents"/>
              <w:spacing w:before="0" w:after="283"/>
              <w:ind w:left="0" w:right="0" w:hanging="0"/>
              <w:rPr>
                <w:sz w:val="4"/>
                <w:szCs w:val="4"/>
              </w:rPr>
            </w:pPr>
            <w:r>
              <w:rPr>
                <w:sz w:val="4"/>
                <w:szCs w:val="4"/>
              </w:rPr>
            </w:r>
          </w:p>
        </w:tc>
      </w:tr>
      <w:tr>
        <w:trPr/>
        <w:tc>
          <w:tcPr>
            <w:tcW w:w="2251" w:type="dxa"/>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Nevada</w:t>
            </w:r>
          </w:p>
        </w:tc>
        <w:tc>
          <w:tcPr>
            <w:tcW w:w="326" w:type="dxa"/>
            <w:tcBorders/>
            <w:shd w:fill="auto" w:val="clear"/>
            <w:vAlign w:val="center"/>
          </w:tcPr>
          <w:p>
            <w:pPr>
              <w:pStyle w:val="TableContents"/>
              <w:spacing w:before="0" w:after="0"/>
              <w:ind w:left="0" w:right="0" w:hanging="0"/>
              <w:jc w:val="center"/>
              <w:rPr/>
            </w:pPr>
            <w:r>
              <w:rPr/>
              <w:t>    </w:t>
            </w:r>
          </w:p>
        </w:tc>
        <w:tc>
          <w:tcPr>
            <w:tcW w:w="1456" w:type="dxa"/>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46-5289499</w:t>
            </w:r>
          </w:p>
        </w:tc>
      </w:tr>
      <w:tr>
        <w:trPr/>
        <w:tc>
          <w:tcPr>
            <w:tcW w:w="2251"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w:t>
              <w:br/>
              <w:t>Incorporation or organization)</w:t>
            </w:r>
          </w:p>
        </w:tc>
        <w:tc>
          <w:tcPr>
            <w:tcW w:w="326" w:type="dxa"/>
            <w:tcBorders/>
            <w:shd w:fill="auto" w:val="clear"/>
            <w:vAlign w:val="center"/>
          </w:tcPr>
          <w:p>
            <w:pPr>
              <w:pStyle w:val="TableContents"/>
              <w:spacing w:before="0" w:after="0"/>
              <w:ind w:left="0" w:right="0" w:hanging="0"/>
              <w:jc w:val="center"/>
              <w:rPr/>
            </w:pPr>
            <w:r>
              <w:rPr/>
              <w:t> </w:t>
            </w:r>
          </w:p>
        </w:tc>
        <w:tc>
          <w:tcPr>
            <w:tcW w:w="1456"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w:t>
              <w:br/>
              <w:t>Identification No.)</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4880 Havana Street</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Suite 201</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b/>
          <w:sz w:val="18"/>
        </w:rPr>
        <w:t>Denver, Colorado</w:t>
      </w:r>
      <w:r>
        <w:rPr>
          <w:rFonts w:ascii="Times New Roman;Times;serif" w:hAnsi="Times New Roman;Times;serif"/>
          <w:sz w:val="20"/>
        </w:rPr>
        <w:t xml:space="preserve"> </w:t>
      </w:r>
      <w:r>
        <w:rPr>
          <w:rFonts w:ascii="Times New Roman;Times;serif" w:hAnsi="Times New Roman;Times;serif"/>
          <w:b/>
          <w:sz w:val="18"/>
        </w:rPr>
        <w:t>80239</w:t>
      </w:r>
    </w:p>
    <w:p>
      <w:pPr>
        <w:pStyle w:val="TextBody"/>
        <w:spacing w:before="0" w:after="6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b/>
          <w:sz w:val="18"/>
        </w:rPr>
        <w:t>(303)</w:t>
      </w:r>
      <w:r>
        <w:rPr>
          <w:rFonts w:ascii="Times New Roman;Times;serif" w:hAnsi="Times New Roman;Times;serif"/>
          <w:sz w:val="20"/>
        </w:rPr>
        <w:t xml:space="preserve"> </w:t>
      </w:r>
      <w:r>
        <w:rPr>
          <w:rFonts w:ascii="Times New Roman;Times;serif" w:hAnsi="Times New Roman;Times;serif"/>
          <w:b/>
          <w:sz w:val="18"/>
        </w:rPr>
        <w:t>371-0387</w:t>
      </w:r>
    </w:p>
    <w:p>
      <w:pPr>
        <w:pStyle w:val="TextBody"/>
        <w:spacing w:before="0" w:after="60"/>
        <w:ind w:left="0" w:right="0" w:hanging="0"/>
        <w:jc w:val="center"/>
        <w:rPr>
          <w:rFonts w:ascii="Times New Roman;Times;serif" w:hAnsi="Times New Roman;Times;serif"/>
          <w:sz w:val="18"/>
        </w:rPr>
      </w:pPr>
      <w:r>
        <w:rPr>
          <w:rFonts w:ascii="Times New Roman;Times;serif" w:hAnsi="Times New Roman;Times;serif"/>
          <w:sz w:val="18"/>
        </w:rPr>
        <w:t>(Registrant’s telephone number, including area code)</w:t>
      </w:r>
    </w:p>
    <w:p>
      <w:pPr>
        <w:pStyle w:val="TextBody"/>
        <w:spacing w:before="0" w:after="0"/>
        <w:ind w:left="0" w:right="0" w:hanging="0"/>
        <w:jc w:val="center"/>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spacing w:before="0" w:after="240"/>
        <w:ind w:left="0" w:right="0" w:hanging="0"/>
        <w:jc w:val="both"/>
        <w:rPr/>
      </w:pPr>
      <w:r>
        <w:rPr/>
        <w:t>​</w:t>
      </w:r>
    </w:p>
    <w:tbl>
      <w:tblPr>
        <w:tblW w:w="6543" w:type="dxa"/>
        <w:jc w:val="left"/>
        <w:tblInd w:w="0" w:type="dxa"/>
        <w:tblCellMar>
          <w:top w:w="28" w:type="dxa"/>
          <w:left w:w="28" w:type="dxa"/>
          <w:bottom w:w="28" w:type="dxa"/>
          <w:right w:w="28" w:type="dxa"/>
        </w:tblCellMar>
      </w:tblPr>
      <w:tblGrid>
        <w:gridCol w:w="1456"/>
        <w:gridCol w:w="1561"/>
        <w:gridCol w:w="3526"/>
      </w:tblGrid>
      <w:tr>
        <w:trPr/>
        <w:tc>
          <w:tcPr>
            <w:tcW w:w="145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1561"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52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on each exchange on which registered</w:t>
            </w:r>
          </w:p>
        </w:tc>
      </w:tr>
      <w:tr>
        <w:trPr/>
        <w:tc>
          <w:tcPr>
            <w:tcW w:w="145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None</w:t>
            </w:r>
          </w:p>
        </w:tc>
        <w:tc>
          <w:tcPr>
            <w:tcW w:w="1561"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None</w:t>
            </w:r>
          </w:p>
        </w:tc>
        <w:tc>
          <w:tcPr>
            <w:tcW w:w="352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None</w:t>
            </w:r>
          </w:p>
        </w:tc>
      </w:tr>
    </w:tbl>
    <w:p>
      <w:pPr>
        <w:pStyle w:val="TextBody"/>
        <w:spacing w:before="0" w:after="0"/>
        <w:ind w:left="0" w:right="0" w:hanging="0"/>
        <w:rPr/>
      </w:pPr>
      <w:r>
        <w:rPr/>
        <w:t>​</w:t>
      </w:r>
    </w:p>
    <w:p>
      <w:pPr>
        <w:pStyle w:val="TextBody"/>
        <w:spacing w:before="0" w:after="60"/>
        <w:ind w:left="0" w:right="0" w:hanging="0"/>
        <w:jc w:val="center"/>
        <w:rPr>
          <w:rFonts w:ascii="Times New Roman;Times;serif" w:hAnsi="Times New Roman;Times;serif"/>
          <w:sz w:val="18"/>
        </w:rPr>
      </w:pPr>
      <w:r>
        <w:rPr>
          <w:rFonts w:ascii="Times New Roman;Times;serif" w:hAnsi="Times New Roman;Times;serif"/>
          <w:sz w:val="18"/>
        </w:rPr>
        <w:t>Securities registered pursuant to Section 12(g) of the Act:</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Common Stock, $0.001 par value per share</w:t>
      </w:r>
    </w:p>
    <w:p>
      <w:pPr>
        <w:pStyle w:val="TextBody"/>
        <w:spacing w:before="0" w:after="60"/>
        <w:ind w:left="0" w:right="0" w:hanging="0"/>
        <w:jc w:val="center"/>
        <w:rPr>
          <w:rFonts w:ascii="Times New Roman;Times;serif" w:hAnsi="Times New Roman;Times;serif"/>
          <w:sz w:val="18"/>
        </w:rPr>
      </w:pPr>
      <w:r>
        <w:rPr>
          <w:rFonts w:ascii="Times New Roman;Times;serif" w:hAnsi="Times New Roman;Times;serif"/>
          <w:sz w:val="18"/>
        </w:rPr>
        <w:t>(Title of class)</w:t>
      </w:r>
    </w:p>
    <w:p>
      <w:pPr>
        <w:pStyle w:val="TextBody"/>
        <w:spacing w:before="0" w:after="60"/>
        <w:ind w:left="0" w:right="0" w:hanging="0"/>
        <w:jc w:val="both"/>
        <w:rPr>
          <w:rFonts w:ascii="Times New Roman;Times;serif" w:hAnsi="Times New Roman;Times;serif"/>
          <w:sz w:val="20"/>
        </w:rPr>
      </w:pPr>
      <w:r>
        <w:rPr>
          <w:rFonts w:ascii="Times New Roman;Times;serif" w:hAnsi="Times New Roman;Times;serif"/>
          <w:sz w:val="18"/>
        </w:rPr>
        <w:t xml:space="preserve">Indicate by check mark if the Registrant is a well-known seasoned issuer, as defined in Rule 405 of the Securities Act.   Yes </w:t>
      </w:r>
      <w:r>
        <w:rPr>
          <w:rFonts w:ascii="Times New Roman;Times;serif" w:hAnsi="Times New Roman;Times;serif"/>
          <w:sz w:val="20"/>
        </w:rPr>
        <w:t>☐     </w:t>
      </w:r>
      <w:r>
        <w:rPr>
          <w:rFonts w:ascii="Times New Roman;Times;serif" w:hAnsi="Times New Roman;Times;serif"/>
          <w:sz w:val="18"/>
        </w:rPr>
        <w:t>No</w:t>
      </w:r>
      <w:r>
        <w:rPr>
          <w:rFonts w:ascii="Times New Roman;Times;serif" w:hAnsi="Times New Roman;Times;serif"/>
          <w:sz w:val="20"/>
        </w:rPr>
        <w:t xml:space="preserve"> ☒</w:t>
      </w:r>
    </w:p>
    <w:p>
      <w:pPr>
        <w:pStyle w:val="TextBody"/>
        <w:spacing w:before="0" w:after="60"/>
        <w:ind w:left="0" w:right="0" w:hanging="0"/>
        <w:jc w:val="both"/>
        <w:rPr>
          <w:rFonts w:ascii="Times New Roman;Times;serif" w:hAnsi="Times New Roman;Times;serif"/>
          <w:sz w:val="20"/>
        </w:rPr>
      </w:pPr>
      <w:r>
        <w:rPr>
          <w:rFonts w:ascii="Times New Roman;Times;serif" w:hAnsi="Times New Roman;Times;serif"/>
          <w:sz w:val="18"/>
        </w:rPr>
        <w:t xml:space="preserve">Indicate by check mark if the Registrant is not required to file reports pursuant to Section 13 or Section 15(d) of the Act.   Yes </w:t>
      </w:r>
      <w:r>
        <w:rPr>
          <w:rFonts w:ascii="Times New Roman;Times;serif" w:hAnsi="Times New Roman;Times;serif"/>
          <w:sz w:val="20"/>
        </w:rPr>
        <w:t>☐     </w:t>
      </w:r>
      <w:r>
        <w:rPr>
          <w:rFonts w:ascii="Times New Roman;Times;serif" w:hAnsi="Times New Roman;Times;serif"/>
          <w:sz w:val="18"/>
        </w:rPr>
        <w:t>No</w:t>
      </w:r>
      <w:r>
        <w:rPr>
          <w:rFonts w:ascii="Times New Roman;Times;serif" w:hAnsi="Times New Roman;Times;serif"/>
          <w:sz w:val="20"/>
        </w:rPr>
        <w:t xml:space="preserve"> ☒</w:t>
      </w:r>
    </w:p>
    <w:p>
      <w:pPr>
        <w:pStyle w:val="TextBody"/>
        <w:spacing w:before="0" w:after="6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8"/>
        </w:rPr>
        <w:t xml:space="preserve">No </w:t>
      </w:r>
      <w:r>
        <w:rPr>
          <w:rFonts w:ascii="Times New Roman;Times;serif" w:hAnsi="Times New Roman;Times;serif"/>
          <w:sz w:val="20"/>
        </w:rPr>
        <w:t>☐</w:t>
      </w:r>
    </w:p>
    <w:p>
      <w:pPr>
        <w:pStyle w:val="TextBody"/>
        <w:spacing w:before="0" w:after="6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 xml:space="preserve">No  </w:t>
      </w:r>
      <w:r>
        <w:rPr>
          <w:rFonts w:ascii="Times New Roman;Times;serif" w:hAnsi="Times New Roman;Times;serif"/>
          <w:sz w:val="20"/>
        </w:rPr>
        <w:t>☐</w:t>
      </w:r>
    </w:p>
    <w:p>
      <w:pPr>
        <w:pStyle w:val="TextBody"/>
        <w:spacing w:before="0" w:after="0"/>
        <w:ind w:left="0" w:right="0" w:hanging="0"/>
        <w:jc w:val="both"/>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240"/>
        <w:ind w:left="0" w:right="0" w:hanging="0"/>
        <w:jc w:val="both"/>
        <w:rPr/>
      </w:pPr>
      <w:r>
        <w:rPr/>
        <w:t>​</w:t>
      </w:r>
    </w:p>
    <w:tbl>
      <w:tblPr>
        <w:tblW w:w="4277" w:type="dxa"/>
        <w:jc w:val="left"/>
        <w:tblInd w:w="0" w:type="dxa"/>
        <w:tblCellMar>
          <w:top w:w="0" w:type="dxa"/>
          <w:left w:w="0" w:type="dxa"/>
          <w:bottom w:w="0" w:type="dxa"/>
          <w:right w:w="0" w:type="dxa"/>
        </w:tblCellMar>
      </w:tblPr>
      <w:tblGrid>
        <w:gridCol w:w="1921"/>
        <w:gridCol w:w="2356"/>
      </w:tblGrid>
      <w:tr>
        <w:trPr/>
        <w:tc>
          <w:tcPr>
            <w:tcW w:w="1921" w:type="dxa"/>
            <w:tcBorders/>
            <w:shd w:fill="auto" w:val="clear"/>
            <w:vAlign w:val="center"/>
          </w:tcPr>
          <w:p>
            <w:pPr>
              <w:pStyle w:val="TableContents"/>
              <w:spacing w:before="0" w:after="283"/>
              <w:ind w:left="0" w:right="0" w:hanging="0"/>
              <w:rPr>
                <w:sz w:val="4"/>
                <w:szCs w:val="4"/>
              </w:rPr>
            </w:pPr>
            <w:r>
              <w:rPr>
                <w:sz w:val="4"/>
                <w:szCs w:val="4"/>
              </w:rPr>
            </w:r>
          </w:p>
        </w:tc>
        <w:tc>
          <w:tcPr>
            <w:tcW w:w="2356" w:type="dxa"/>
            <w:tcBorders/>
            <w:shd w:fill="auto" w:val="clear"/>
            <w:vAlign w:val="center"/>
          </w:tcPr>
          <w:p>
            <w:pPr>
              <w:pStyle w:val="TableContents"/>
              <w:spacing w:before="0" w:after="283"/>
              <w:ind w:left="0" w:right="0" w:hanging="0"/>
              <w:rPr>
                <w:sz w:val="4"/>
                <w:szCs w:val="4"/>
              </w:rPr>
            </w:pPr>
            <w:r>
              <w:rPr>
                <w:sz w:val="4"/>
                <w:szCs w:val="4"/>
              </w:rPr>
            </w:r>
          </w:p>
        </w:tc>
      </w:tr>
      <w:tr>
        <w:trPr/>
        <w:tc>
          <w:tcPr>
            <w:tcW w:w="192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Large accelerated filer  ☐</w:t>
            </w:r>
          </w:p>
        </w:tc>
        <w:tc>
          <w:tcPr>
            <w:tcW w:w="235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Accelerated filer  ☐</w:t>
            </w:r>
          </w:p>
        </w:tc>
      </w:tr>
      <w:tr>
        <w:trPr/>
        <w:tc>
          <w:tcPr>
            <w:tcW w:w="192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18"/>
              </w:rPr>
              <w:t>Non-accelerated filer</w:t>
            </w:r>
            <w:r>
              <w:rPr>
                <w:rFonts w:ascii="Times New Roman;Times;serif" w:hAnsi="Times New Roman;Times;serif"/>
                <w:sz w:val="20"/>
              </w:rPr>
              <w:t>  ☒</w:t>
            </w:r>
          </w:p>
        </w:tc>
        <w:tc>
          <w:tcPr>
            <w:tcW w:w="235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18"/>
              </w:rPr>
              <w:t xml:space="preserve">Smaller reporting company  </w:t>
            </w:r>
            <w:r>
              <w:rPr>
                <w:rFonts w:ascii="Times New Roman;Times;serif" w:hAnsi="Times New Roman;Times;serif"/>
                <w:sz w:val="20"/>
              </w:rPr>
              <w:t>☒</w:t>
            </w:r>
          </w:p>
        </w:tc>
      </w:tr>
      <w:tr>
        <w:trPr/>
        <w:tc>
          <w:tcPr>
            <w:tcW w:w="1921" w:type="dxa"/>
            <w:tcBorders/>
            <w:shd w:fill="auto" w:val="clear"/>
            <w:vAlign w:val="center"/>
          </w:tcPr>
          <w:p>
            <w:pPr>
              <w:pStyle w:val="TableContents"/>
              <w:spacing w:before="0" w:after="0"/>
              <w:ind w:left="0" w:right="0" w:hanging="0"/>
              <w:rPr/>
            </w:pPr>
            <w:r>
              <w:rPr/>
              <w:t> </w:t>
            </w:r>
          </w:p>
        </w:tc>
        <w:tc>
          <w:tcPr>
            <w:tcW w:w="23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18"/>
              </w:rPr>
              <w:t xml:space="preserve">Emerging growth company  </w:t>
            </w: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60"/>
        <w:ind w:left="0" w:right="0" w:hanging="0"/>
        <w:jc w:val="both"/>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60"/>
        <w:ind w:left="0" w:right="0" w:hanging="0"/>
        <w:jc w:val="both"/>
        <w:rPr>
          <w:rFonts w:ascii="Times New Roman;Times;serif" w:hAnsi="Times New Roman;Times;serif"/>
          <w:sz w:val="20"/>
        </w:rPr>
      </w:pPr>
      <w:r>
        <w:rPr>
          <w:rFonts w:ascii="Times New Roman;Times;serif" w:hAnsi="Times New Roman;Times;serif"/>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w:t>
      </w:r>
    </w:p>
    <w:p>
      <w:pPr>
        <w:pStyle w:val="TextBody"/>
        <w:spacing w:before="0" w:after="60"/>
        <w:ind w:left="0" w:right="0" w:hanging="0"/>
        <w:jc w:val="both"/>
        <w:rPr>
          <w:rFonts w:ascii="Times New Roman;Times;serif" w:hAnsi="Times New Roman;Times;serif"/>
          <w:sz w:val="18"/>
        </w:rPr>
      </w:pPr>
      <w:r>
        <w:rPr>
          <w:rFonts w:ascii="Times New Roman;Times;serif" w:hAnsi="Times New Roman;Times;serif"/>
          <w:sz w:val="18"/>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spacing w:before="0" w:after="60"/>
        <w:ind w:left="0" w:right="0" w:hanging="0"/>
        <w:jc w:val="both"/>
        <w:rPr>
          <w:rFonts w:ascii="Times New Roman;Times;serif" w:hAnsi="Times New Roman;Times;serif"/>
          <w:sz w:val="18"/>
        </w:rPr>
      </w:pPr>
      <w:r>
        <w:rPr>
          <w:rFonts w:ascii="Times New Roman;Times;serif" w:hAnsi="Times New Roman;Times;serif"/>
          <w:sz w:val="18"/>
        </w:rPr>
        <w:t>Indicate by check mark whether any of those error corrections are restatements that required a recovery analysis of incentive-based compensation received by any of the Registrant’s executive oﬃcers during the relevant recovery period pursuant to §240.10D-1(b).   ☐</w:t>
      </w:r>
    </w:p>
    <w:p>
      <w:pPr>
        <w:pStyle w:val="TextBody"/>
        <w:spacing w:before="0" w:after="6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spacing w:before="0" w:after="60"/>
        <w:ind w:left="0" w:right="0" w:hanging="0"/>
        <w:jc w:val="both"/>
        <w:rPr>
          <w:rFonts w:ascii="Times New Roman;Times;serif" w:hAnsi="Times New Roman;Times;serif"/>
          <w:sz w:val="18"/>
        </w:rPr>
      </w:pPr>
      <w:r>
        <w:rPr>
          <w:rFonts w:ascii="Times New Roman;Times;serif" w:hAnsi="Times New Roman;Times;serif"/>
          <w:sz w:val="18"/>
        </w:rPr>
        <w:t>The aggregate market value of the voting and non-voting common equity (common stock) held by non-affiliates of the Registrant as of the close of business on June 30, 2022 was approximately $50.8 million based upon the closing sale price of the Common Stock on OTC Markets Group, Inc. on that date.</w:t>
      </w:r>
    </w:p>
    <w:p>
      <w:pPr>
        <w:pStyle w:val="TextBody"/>
        <w:spacing w:before="0" w:after="60"/>
        <w:ind w:left="0" w:right="0" w:hanging="0"/>
        <w:rPr>
          <w:rFonts w:ascii="Times New Roman;Times;serif" w:hAnsi="Times New Roman;Times;serif"/>
          <w:sz w:val="18"/>
        </w:rPr>
      </w:pPr>
      <w:r>
        <w:rPr>
          <w:rFonts w:ascii="Times New Roman;Times;serif" w:hAnsi="Times New Roman;Times;serif"/>
          <w:sz w:val="18"/>
        </w:rPr>
        <w:t>The number of shares outstanding of the Registrant’s $0.001 par value Common Stock as of the close of business on March 15, 2023 was 55,212,547.</w:t>
      </w:r>
    </w:p>
    <w:p>
      <w:pPr>
        <w:pStyle w:val="TextBody"/>
        <w:spacing w:before="0" w:after="0"/>
        <w:ind w:left="0" w:right="0" w:hanging="0"/>
        <w:rPr/>
      </w:pPr>
      <w:r>
        <w:rPr/>
        <w:t>​</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60"/>
        <w:ind w:left="0" w:right="0" w:hanging="0"/>
        <w:jc w:val="center"/>
        <w:rPr>
          <w:rFonts w:ascii="Times New Roman;Times;serif" w:hAnsi="Times New Roman;Times;serif"/>
          <w:b/>
          <w:sz w:val="18"/>
        </w:rPr>
      </w:pPr>
      <w:r>
        <w:rPr>
          <w:rFonts w:ascii="Times New Roman;Times;serif" w:hAnsi="Times New Roman;Times;serif"/>
          <w:b/>
          <w:sz w:val="18"/>
        </w:rPr>
        <w:t>DOCUMENTS INCORPORATED BY REFERENCE</w:t>
      </w:r>
    </w:p>
    <w:p>
      <w:pPr>
        <w:pStyle w:val="TextBody"/>
        <w:spacing w:before="0" w:after="0"/>
        <w:ind w:left="0" w:right="0" w:hanging="0"/>
        <w:jc w:val="both"/>
        <w:rPr>
          <w:rFonts w:ascii="Times New Roman;Times;serif" w:hAnsi="Times New Roman;Times;serif"/>
          <w:sz w:val="18"/>
        </w:rPr>
      </w:pPr>
      <w:r>
        <w:rPr>
          <w:rFonts w:ascii="Times New Roman;Times;serif" w:hAnsi="Times New Roman;Times;serif"/>
          <w:sz w:val="18"/>
        </w:rPr>
        <w:t>Portions of the Registrant’s proxy statement for our 2023 Annual Meeting of Shareholders are incorporated by reference into Part III of this report.</w:t>
      </w:r>
    </w:p>
    <w:p>
      <w:pPr>
        <w:pStyle w:val="TextBody"/>
        <w:pBdr>
          <w:top w:val="single" w:sz="8" w:space="1" w:color="000000"/>
          <w:bottom w:val="single" w:sz="24" w:space="1" w:color="000000"/>
        </w:pBdr>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0"/>
        <w:ind w:left="0" w:right="0" w:hanging="0"/>
        <w:rPr/>
      </w:pPr>
      <w:r>
        <w:rPr/>
        <w:t>​</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9" w:name="TOC"/>
      <w:bookmarkStart w:id="10" w:name="_1ff79354_9743_4e5a_92c0_58d5fe43780d"/>
      <w:bookmarkEnd w:id="9"/>
      <w:bookmarkEnd w:id="10"/>
      <w:r>
        <w:rPr>
          <w:rFonts w:ascii="Times New Roman;Times;serif" w:hAnsi="Times New Roman;Times;serif"/>
          <w:b/>
          <w:sz w:val="20"/>
        </w:rPr>
        <w:t>TABLE OF CONTENTS</w:t>
      </w:r>
    </w:p>
    <w:tbl>
      <w:tblPr>
        <w:tblW w:w="10205" w:type="dxa"/>
        <w:jc w:val="left"/>
        <w:tblInd w:w="0" w:type="dxa"/>
        <w:tblCellMar>
          <w:top w:w="0" w:type="dxa"/>
          <w:left w:w="0" w:type="dxa"/>
          <w:bottom w:w="0" w:type="dxa"/>
          <w:right w:w="0" w:type="dxa"/>
        </w:tblCellMar>
      </w:tblPr>
      <w:tblGrid>
        <w:gridCol w:w="916"/>
        <w:gridCol w:w="8418"/>
        <w:gridCol w:w="871"/>
      </w:tblGrid>
      <w:tr>
        <w:trPr/>
        <w:tc>
          <w:tcPr>
            <w:tcW w:w="916" w:type="dxa"/>
            <w:tcBorders/>
            <w:shd w:fill="auto" w:val="clear"/>
            <w:vAlign w:val="center"/>
          </w:tcPr>
          <w:p>
            <w:pPr>
              <w:pStyle w:val="TableContents"/>
              <w:spacing w:before="0" w:after="283"/>
              <w:ind w:left="0" w:right="0" w:hanging="0"/>
              <w:rPr>
                <w:sz w:val="4"/>
                <w:szCs w:val="4"/>
              </w:rPr>
            </w:pPr>
            <w:r>
              <w:rPr>
                <w:sz w:val="4"/>
                <w:szCs w:val="4"/>
              </w:rPr>
            </w:r>
          </w:p>
        </w:tc>
        <w:tc>
          <w:tcPr>
            <w:tcW w:w="8418" w:type="dxa"/>
            <w:tcBorders/>
            <w:shd w:fill="auto" w:val="clear"/>
            <w:vAlign w:val="center"/>
          </w:tcPr>
          <w:p>
            <w:pPr>
              <w:pStyle w:val="TableContents"/>
              <w:spacing w:before="0" w:after="283"/>
              <w:ind w:left="0" w:right="0" w:hanging="0"/>
              <w:rPr>
                <w:sz w:val="4"/>
                <w:szCs w:val="4"/>
              </w:rPr>
            </w:pPr>
            <w:r>
              <w:rPr>
                <w:sz w:val="4"/>
                <w:szCs w:val="4"/>
              </w:rPr>
            </w:r>
          </w:p>
        </w:tc>
        <w:tc>
          <w:tcPr>
            <w:tcW w:w="871" w:type="dxa"/>
            <w:tcBorders/>
            <w:shd w:fill="auto" w:val="clear"/>
            <w:vAlign w:val="center"/>
          </w:tcPr>
          <w:p>
            <w:pPr>
              <w:pStyle w:val="TableContents"/>
              <w:spacing w:before="0" w:after="283"/>
              <w:ind w:left="0" w:right="0" w:hanging="0"/>
              <w:rPr>
                <w:sz w:val="4"/>
                <w:szCs w:val="4"/>
              </w:rPr>
            </w:pPr>
            <w:r>
              <w:rPr>
                <w:sz w:val="4"/>
                <w:szCs w:val="4"/>
              </w:rPr>
            </w:r>
          </w:p>
        </w:tc>
      </w:tr>
      <w:tr>
        <w:trPr/>
        <w:tc>
          <w:tcPr>
            <w:tcW w:w="916" w:type="dxa"/>
            <w:tcBorders/>
            <w:shd w:fill="auto" w:val="clear"/>
            <w:vAlign w:val="center"/>
          </w:tcPr>
          <w:p>
            <w:pPr>
              <w:pStyle w:val="TableContents"/>
              <w:spacing w:before="0" w:after="0"/>
              <w:ind w:left="0" w:right="0" w:hanging="0"/>
              <w:rPr/>
            </w:pPr>
            <w:r>
              <w:rPr/>
              <w:t>​</w:t>
            </w:r>
          </w:p>
        </w:tc>
        <w:tc>
          <w:tcPr>
            <w:tcW w:w="8418" w:type="dxa"/>
            <w:tcBorders/>
            <w:shd w:fill="auto" w:val="clear"/>
            <w:vAlign w:val="center"/>
          </w:tcPr>
          <w:p>
            <w:pPr>
              <w:pStyle w:val="TableContents"/>
              <w:spacing w:before="0" w:after="0"/>
              <w:ind w:left="0" w:right="0" w:hanging="0"/>
              <w:rPr/>
            </w:pPr>
            <w:r>
              <w:rPr/>
              <w:t>​</w:t>
            </w:r>
          </w:p>
        </w:tc>
        <w:tc>
          <w:tcPr>
            <w:tcW w:w="8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Page No.</w:t>
            </w:r>
          </w:p>
        </w:tc>
      </w:tr>
      <w:tr>
        <w:trPr/>
        <w:tc>
          <w:tcPr>
            <w:tcW w:w="916" w:type="dxa"/>
            <w:tcBorders/>
            <w:shd w:fill="auto" w:val="clear"/>
            <w:vAlign w:val="center"/>
          </w:tcPr>
          <w:p>
            <w:pPr>
              <w:pStyle w:val="TableContents"/>
              <w:spacing w:before="0" w:after="0"/>
              <w:ind w:left="0" w:right="0" w:hanging="0"/>
              <w:rPr/>
            </w:pPr>
            <w:hyperlink w:anchor="PARTI_792736">
              <w:r>
                <w:rPr>
                  <w:rStyle w:val="InternetLink"/>
                  <w:rFonts w:ascii="Times New Roman;Times;serif" w:hAnsi="Times New Roman;Times;serif"/>
                  <w:b/>
                  <w:i w:val="false"/>
                  <w:caps w:val="false"/>
                  <w:smallCaps w:val="false"/>
                  <w:sz w:val="20"/>
                </w:rPr>
                <w:t>PART I</w:t>
              </w:r>
            </w:hyperlink>
          </w:p>
        </w:tc>
        <w:tc>
          <w:tcPr>
            <w:tcW w:w="8418" w:type="dxa"/>
            <w:tcBorders/>
            <w:shd w:fill="auto" w:val="clear"/>
            <w:vAlign w:val="center"/>
          </w:tcPr>
          <w:p>
            <w:pPr>
              <w:pStyle w:val="TableContents"/>
              <w:spacing w:before="0" w:after="0"/>
              <w:ind w:left="0" w:right="0" w:hanging="0"/>
              <w:rPr/>
            </w:pPr>
            <w:r>
              <w:rPr/>
              <w:t>​</w:t>
            </w:r>
          </w:p>
        </w:tc>
        <w:tc>
          <w:tcPr>
            <w:tcW w:w="871" w:type="dxa"/>
            <w:tcBorders>
              <w:top w:val="single" w:sz="2" w:space="0" w:color="000000"/>
            </w:tcBorders>
            <w:shd w:fill="auto" w:val="clear"/>
            <w:tcMar>
              <w:top w:w="28" w:type="dxa"/>
            </w:tcMar>
            <w:vAlign w:val="center"/>
          </w:tcPr>
          <w:p>
            <w:pPr>
              <w:pStyle w:val="TableContents"/>
              <w:spacing w:before="0" w:after="283"/>
              <w:ind w:left="0" w:right="0" w:hanging="0"/>
              <w:rPr>
                <w:sz w:val="4"/>
                <w:szCs w:val="4"/>
              </w:rPr>
            </w:pPr>
            <w:r>
              <w:rPr>
                <w:sz w:val="4"/>
                <w:szCs w:val="4"/>
              </w:rPr>
            </w:r>
          </w:p>
        </w:tc>
      </w:tr>
      <w:tr>
        <w:trPr/>
        <w:tc>
          <w:tcPr>
            <w:tcW w:w="916" w:type="dxa"/>
            <w:tcBorders/>
            <w:shd w:fill="auto" w:val="clear"/>
            <w:vAlign w:val="center"/>
          </w:tcPr>
          <w:p>
            <w:pPr>
              <w:pStyle w:val="TableContents"/>
              <w:spacing w:before="0" w:after="0"/>
              <w:ind w:left="0" w:right="0" w:hanging="0"/>
              <w:rPr/>
            </w:pPr>
            <w:hyperlink w:anchor="ITEM1BUSINESS_983298">
              <w:r>
                <w:rPr>
                  <w:rStyle w:val="InternetLink"/>
                  <w:rFonts w:ascii="Times New Roman;Times;serif" w:hAnsi="Times New Roman;Times;serif"/>
                  <w:b w:val="false"/>
                  <w:i w:val="false"/>
                  <w:caps w:val="false"/>
                  <w:smallCaps w:val="false"/>
                  <w:sz w:val="20"/>
                </w:rPr>
                <w:t>Item 1.</w:t>
              </w:r>
            </w:hyperlink>
          </w:p>
        </w:tc>
        <w:tc>
          <w:tcPr>
            <w:tcW w:w="8418" w:type="dxa"/>
            <w:tcBorders/>
            <w:shd w:fill="auto" w:val="clear"/>
            <w:vAlign w:val="center"/>
          </w:tcPr>
          <w:p>
            <w:pPr>
              <w:pStyle w:val="TableContents"/>
              <w:spacing w:before="0" w:after="0"/>
              <w:ind w:left="0" w:right="0" w:hanging="0"/>
              <w:rPr/>
            </w:pPr>
            <w:hyperlink w:anchor="ITEM1BUSINESS_983298">
              <w:r>
                <w:rPr>
                  <w:rStyle w:val="InternetLink"/>
                  <w:rFonts w:ascii="Times New Roman;Times;serif" w:hAnsi="Times New Roman;Times;serif"/>
                  <w:b w:val="false"/>
                  <w:i w:val="false"/>
                  <w:caps w:val="false"/>
                  <w:smallCaps w:val="false"/>
                  <w:sz w:val="20"/>
                </w:rPr>
                <w:t>Business</w:t>
              </w:r>
            </w:hyperlink>
          </w:p>
        </w:tc>
        <w:tc>
          <w:tcPr>
            <w:tcW w:w="8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916" w:type="dxa"/>
            <w:tcBorders/>
            <w:shd w:fill="auto" w:val="clear"/>
            <w:vAlign w:val="center"/>
          </w:tcPr>
          <w:p>
            <w:pPr>
              <w:pStyle w:val="TableContents"/>
              <w:spacing w:before="0" w:after="0"/>
              <w:ind w:left="0" w:right="0" w:hanging="0"/>
              <w:rPr/>
            </w:pPr>
            <w:hyperlink w:anchor="ITEM1ARISKFACTORS_967488">
              <w:r>
                <w:rPr>
                  <w:rStyle w:val="InternetLink"/>
                  <w:rFonts w:ascii="Times New Roman;Times;serif" w:hAnsi="Times New Roman;Times;serif"/>
                  <w:b w:val="false"/>
                  <w:i w:val="false"/>
                  <w:caps w:val="false"/>
                  <w:smallCaps w:val="false"/>
                  <w:sz w:val="20"/>
                </w:rPr>
                <w:t>Item 1A.</w:t>
              </w:r>
            </w:hyperlink>
          </w:p>
        </w:tc>
        <w:tc>
          <w:tcPr>
            <w:tcW w:w="8418" w:type="dxa"/>
            <w:tcBorders/>
            <w:shd w:fill="auto" w:val="clear"/>
            <w:vAlign w:val="center"/>
          </w:tcPr>
          <w:p>
            <w:pPr>
              <w:pStyle w:val="TableContents"/>
              <w:spacing w:before="0" w:after="0"/>
              <w:ind w:left="0" w:right="0" w:hanging="0"/>
              <w:rPr/>
            </w:pPr>
            <w:hyperlink w:anchor="ITEM1ARISKFACTORS_967488">
              <w:r>
                <w:rPr>
                  <w:rStyle w:val="InternetLink"/>
                  <w:rFonts w:ascii="Times New Roman;Times;serif" w:hAnsi="Times New Roman;Times;serif"/>
                  <w:b w:val="false"/>
                  <w:i w:val="false"/>
                  <w:caps w:val="false"/>
                  <w:smallCaps w:val="false"/>
                  <w:sz w:val="20"/>
                </w:rPr>
                <w:t>Risk Factors</w:t>
              </w:r>
            </w:hyperlink>
          </w:p>
        </w:tc>
        <w:tc>
          <w:tcPr>
            <w:tcW w:w="8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19</w:t>
            </w:r>
          </w:p>
        </w:tc>
      </w:tr>
      <w:tr>
        <w:trPr/>
        <w:tc>
          <w:tcPr>
            <w:tcW w:w="916" w:type="dxa"/>
            <w:tcBorders/>
            <w:shd w:fill="auto" w:val="clear"/>
            <w:vAlign w:val="center"/>
          </w:tcPr>
          <w:p>
            <w:pPr>
              <w:pStyle w:val="TableContents"/>
              <w:spacing w:before="0" w:after="0"/>
              <w:ind w:left="0" w:right="0" w:hanging="0"/>
              <w:rPr/>
            </w:pPr>
            <w:hyperlink w:anchor="ITEM1BUNRESOLVEDSTAFFCOMMENTS_669292">
              <w:r>
                <w:rPr>
                  <w:rStyle w:val="InternetLink"/>
                  <w:rFonts w:ascii="Times New Roman;Times;serif" w:hAnsi="Times New Roman;Times;serif"/>
                  <w:b w:val="false"/>
                  <w:i w:val="false"/>
                  <w:caps w:val="false"/>
                  <w:smallCaps w:val="false"/>
                  <w:sz w:val="20"/>
                </w:rPr>
                <w:t>Item 1B.</w:t>
              </w:r>
            </w:hyperlink>
          </w:p>
        </w:tc>
        <w:tc>
          <w:tcPr>
            <w:tcW w:w="8418" w:type="dxa"/>
            <w:tcBorders/>
            <w:shd w:fill="auto" w:val="clear"/>
            <w:vAlign w:val="center"/>
          </w:tcPr>
          <w:p>
            <w:pPr>
              <w:pStyle w:val="TableContents"/>
              <w:spacing w:before="0" w:after="0"/>
              <w:ind w:left="0" w:right="0" w:hanging="0"/>
              <w:rPr/>
            </w:pPr>
            <w:hyperlink w:anchor="ITEM1BUNRESOLVEDSTAFFCOMMENTS_669292">
              <w:r>
                <w:rPr>
                  <w:rStyle w:val="InternetLink"/>
                  <w:rFonts w:ascii="Times New Roman;Times;serif" w:hAnsi="Times New Roman;Times;serif"/>
                  <w:b w:val="false"/>
                  <w:i w:val="false"/>
                  <w:caps w:val="false"/>
                  <w:smallCaps w:val="false"/>
                  <w:sz w:val="20"/>
                </w:rPr>
                <w:t>Unresolved Staff Comments</w:t>
              </w:r>
            </w:hyperlink>
          </w:p>
        </w:tc>
        <w:tc>
          <w:tcPr>
            <w:tcW w:w="8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r>
      <w:tr>
        <w:trPr/>
        <w:tc>
          <w:tcPr>
            <w:tcW w:w="916" w:type="dxa"/>
            <w:tcBorders/>
            <w:shd w:fill="auto" w:val="clear"/>
            <w:vAlign w:val="center"/>
          </w:tcPr>
          <w:p>
            <w:pPr>
              <w:pStyle w:val="TableContents"/>
              <w:spacing w:before="0" w:after="0"/>
              <w:ind w:left="0" w:right="0" w:hanging="0"/>
              <w:rPr/>
            </w:pPr>
            <w:hyperlink w:anchor="ITEM2PROPERTIES_884650">
              <w:r>
                <w:rPr>
                  <w:rStyle w:val="InternetLink"/>
                  <w:rFonts w:ascii="Times New Roman;Times;serif" w:hAnsi="Times New Roman;Times;serif"/>
                  <w:b w:val="false"/>
                  <w:i w:val="false"/>
                  <w:caps w:val="false"/>
                  <w:smallCaps w:val="false"/>
                  <w:sz w:val="20"/>
                </w:rPr>
                <w:t>Item 2</w:t>
              </w:r>
            </w:hyperlink>
          </w:p>
        </w:tc>
        <w:tc>
          <w:tcPr>
            <w:tcW w:w="8418" w:type="dxa"/>
            <w:tcBorders/>
            <w:shd w:fill="auto" w:val="clear"/>
            <w:vAlign w:val="center"/>
          </w:tcPr>
          <w:p>
            <w:pPr>
              <w:pStyle w:val="TableContents"/>
              <w:spacing w:before="0" w:after="0"/>
              <w:ind w:left="0" w:right="0" w:hanging="0"/>
              <w:rPr/>
            </w:pPr>
            <w:hyperlink w:anchor="ITEM2PROPERTIES_884650">
              <w:r>
                <w:rPr>
                  <w:rStyle w:val="InternetLink"/>
                  <w:rFonts w:ascii="Times New Roman;Times;serif" w:hAnsi="Times New Roman;Times;serif"/>
                  <w:b w:val="false"/>
                  <w:i w:val="false"/>
                  <w:caps w:val="false"/>
                  <w:smallCaps w:val="false"/>
                  <w:sz w:val="20"/>
                </w:rPr>
                <w:t>Properties</w:t>
              </w:r>
            </w:hyperlink>
          </w:p>
        </w:tc>
        <w:tc>
          <w:tcPr>
            <w:tcW w:w="8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tc>
      </w:tr>
      <w:tr>
        <w:trPr/>
        <w:tc>
          <w:tcPr>
            <w:tcW w:w="916" w:type="dxa"/>
            <w:tcBorders/>
            <w:shd w:fill="auto" w:val="clear"/>
            <w:vAlign w:val="center"/>
          </w:tcPr>
          <w:p>
            <w:pPr>
              <w:pStyle w:val="TableContents"/>
              <w:spacing w:before="0" w:after="0"/>
              <w:ind w:left="0" w:right="0" w:hanging="0"/>
              <w:rPr/>
            </w:pPr>
            <w:hyperlink w:anchor="ITEM3LEGALPROCEEDINGS_745199">
              <w:r>
                <w:rPr>
                  <w:rStyle w:val="InternetLink"/>
                  <w:rFonts w:ascii="Times New Roman;Times;serif" w:hAnsi="Times New Roman;Times;serif"/>
                  <w:b w:val="false"/>
                  <w:i w:val="false"/>
                  <w:caps w:val="false"/>
                  <w:smallCaps w:val="false"/>
                  <w:sz w:val="20"/>
                </w:rPr>
                <w:t>Item 3.</w:t>
              </w:r>
            </w:hyperlink>
          </w:p>
        </w:tc>
        <w:tc>
          <w:tcPr>
            <w:tcW w:w="8418" w:type="dxa"/>
            <w:tcBorders/>
            <w:shd w:fill="auto" w:val="clear"/>
            <w:vAlign w:val="center"/>
          </w:tcPr>
          <w:p>
            <w:pPr>
              <w:pStyle w:val="TableContents"/>
              <w:spacing w:before="0" w:after="0"/>
              <w:ind w:left="0" w:right="0" w:hanging="0"/>
              <w:rPr/>
            </w:pPr>
            <w:hyperlink w:anchor="ITEM3LEGALPROCEEDINGS_745199">
              <w:r>
                <w:rPr>
                  <w:rStyle w:val="InternetLink"/>
                  <w:rFonts w:ascii="Times New Roman;Times;serif" w:hAnsi="Times New Roman;Times;serif"/>
                  <w:b w:val="false"/>
                  <w:i w:val="false"/>
                  <w:caps w:val="false"/>
                  <w:smallCaps w:val="false"/>
                  <w:sz w:val="20"/>
                </w:rPr>
                <w:t>Legal Proceedings</w:t>
              </w:r>
            </w:hyperlink>
          </w:p>
        </w:tc>
        <w:tc>
          <w:tcPr>
            <w:tcW w:w="8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44</w:t>
            </w:r>
          </w:p>
        </w:tc>
      </w:tr>
      <w:tr>
        <w:trPr/>
        <w:tc>
          <w:tcPr>
            <w:tcW w:w="916" w:type="dxa"/>
            <w:tcBorders/>
            <w:shd w:fill="auto" w:val="clear"/>
            <w:vAlign w:val="center"/>
          </w:tcPr>
          <w:p>
            <w:pPr>
              <w:pStyle w:val="TableContents"/>
              <w:spacing w:before="0" w:after="0"/>
              <w:ind w:left="0" w:right="0" w:hanging="0"/>
              <w:rPr/>
            </w:pPr>
            <w:hyperlink w:anchor="ITEM4MINESAFETYDISCLOSURES_172937">
              <w:r>
                <w:rPr>
                  <w:rStyle w:val="InternetLink"/>
                  <w:rFonts w:ascii="Times New Roman;Times;serif" w:hAnsi="Times New Roman;Times;serif"/>
                  <w:b w:val="false"/>
                  <w:i w:val="false"/>
                  <w:caps w:val="false"/>
                  <w:smallCaps w:val="false"/>
                  <w:sz w:val="20"/>
                </w:rPr>
                <w:t>Item 4.</w:t>
              </w:r>
            </w:hyperlink>
          </w:p>
        </w:tc>
        <w:tc>
          <w:tcPr>
            <w:tcW w:w="8418" w:type="dxa"/>
            <w:tcBorders/>
            <w:shd w:fill="auto" w:val="clear"/>
            <w:vAlign w:val="center"/>
          </w:tcPr>
          <w:p>
            <w:pPr>
              <w:pStyle w:val="TableContents"/>
              <w:spacing w:before="0" w:after="0"/>
              <w:ind w:left="0" w:right="0" w:hanging="0"/>
              <w:rPr/>
            </w:pPr>
            <w:hyperlink w:anchor="ITEM4MINESAFETYDISCLOSURES_172937">
              <w:r>
                <w:rPr>
                  <w:rStyle w:val="InternetLink"/>
                  <w:rFonts w:ascii="Times New Roman;Times;serif" w:hAnsi="Times New Roman;Times;serif"/>
                  <w:b w:val="false"/>
                  <w:i w:val="false"/>
                  <w:caps w:val="false"/>
                  <w:smallCaps w:val="false"/>
                  <w:sz w:val="20"/>
                </w:rPr>
                <w:t>Mine Safety Disclosures</w:t>
              </w:r>
            </w:hyperlink>
          </w:p>
        </w:tc>
        <w:tc>
          <w:tcPr>
            <w:tcW w:w="8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45</w:t>
            </w:r>
          </w:p>
        </w:tc>
      </w:tr>
      <w:tr>
        <w:trPr/>
        <w:tc>
          <w:tcPr>
            <w:tcW w:w="916" w:type="dxa"/>
            <w:tcBorders/>
            <w:shd w:fill="auto" w:val="clear"/>
            <w:vAlign w:val="center"/>
          </w:tcPr>
          <w:p>
            <w:pPr>
              <w:pStyle w:val="TableContents"/>
              <w:spacing w:before="0" w:after="0"/>
              <w:ind w:left="0" w:right="0" w:hanging="0"/>
              <w:rPr/>
            </w:pPr>
            <w:r>
              <w:rPr/>
              <w:t>​</w:t>
            </w:r>
          </w:p>
        </w:tc>
        <w:tc>
          <w:tcPr>
            <w:tcW w:w="8418"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center"/>
              <w:rPr/>
            </w:pPr>
            <w:r>
              <w:rPr/>
              <w:t>​</w:t>
            </w:r>
          </w:p>
        </w:tc>
      </w:tr>
      <w:tr>
        <w:trPr/>
        <w:tc>
          <w:tcPr>
            <w:tcW w:w="916" w:type="dxa"/>
            <w:tcBorders/>
            <w:shd w:fill="auto" w:val="clear"/>
            <w:vAlign w:val="center"/>
          </w:tcPr>
          <w:p>
            <w:pPr>
              <w:pStyle w:val="TableContents"/>
              <w:spacing w:before="0" w:after="0"/>
              <w:ind w:left="0" w:right="0" w:hanging="0"/>
              <w:rPr/>
            </w:pPr>
            <w:hyperlink w:anchor="PARTII_641537">
              <w:r>
                <w:rPr>
                  <w:rStyle w:val="InternetLink"/>
                  <w:rFonts w:ascii="Times New Roman;Times;serif" w:hAnsi="Times New Roman;Times;serif"/>
                  <w:b/>
                  <w:i w:val="false"/>
                  <w:caps w:val="false"/>
                  <w:smallCaps w:val="false"/>
                  <w:sz w:val="20"/>
                </w:rPr>
                <w:t>PART II</w:t>
              </w:r>
            </w:hyperlink>
          </w:p>
        </w:tc>
        <w:tc>
          <w:tcPr>
            <w:tcW w:w="8418"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center"/>
              <w:rPr/>
            </w:pPr>
            <w:r>
              <w:rPr/>
              <w:t>​</w:t>
            </w:r>
          </w:p>
        </w:tc>
      </w:tr>
      <w:tr>
        <w:trPr/>
        <w:tc>
          <w:tcPr>
            <w:tcW w:w="916" w:type="dxa"/>
            <w:tcBorders/>
            <w:shd w:fill="auto" w:val="clear"/>
            <w:vAlign w:val="center"/>
          </w:tcPr>
          <w:p>
            <w:pPr>
              <w:pStyle w:val="TableContents"/>
              <w:spacing w:before="0" w:after="0"/>
              <w:ind w:left="0" w:right="0" w:hanging="0"/>
              <w:rPr/>
            </w:pPr>
            <w:hyperlink w:anchor="ITEM5MARKETFORREGISTRANTSCOMMONEQUITYREL">
              <w:r>
                <w:rPr>
                  <w:rStyle w:val="InternetLink"/>
                  <w:rFonts w:ascii="Times New Roman;Times;serif" w:hAnsi="Times New Roman;Times;serif"/>
                  <w:b w:val="false"/>
                  <w:i w:val="false"/>
                  <w:caps w:val="false"/>
                  <w:smallCaps w:val="false"/>
                  <w:sz w:val="20"/>
                </w:rPr>
                <w:t>Item 5.</w:t>
              </w:r>
            </w:hyperlink>
          </w:p>
        </w:tc>
        <w:tc>
          <w:tcPr>
            <w:tcW w:w="8418" w:type="dxa"/>
            <w:tcBorders/>
            <w:shd w:fill="auto" w:val="clear"/>
            <w:vAlign w:val="center"/>
          </w:tcPr>
          <w:p>
            <w:pPr>
              <w:pStyle w:val="TableContents"/>
              <w:spacing w:before="0" w:after="0"/>
              <w:ind w:left="0" w:right="0" w:hanging="0"/>
              <w:rPr/>
            </w:pPr>
            <w:hyperlink w:anchor="ITEM5MARKETFORREGISTRANTSCOMMONEQUITYREL">
              <w:r>
                <w:rPr>
                  <w:rStyle w:val="InternetLink"/>
                  <w:rFonts w:ascii="Times New Roman;Times;serif" w:hAnsi="Times New Roman;Times;serif"/>
                  <w:b w:val="false"/>
                  <w:i w:val="false"/>
                  <w:caps w:val="false"/>
                  <w:smallCaps w:val="false"/>
                  <w:sz w:val="20"/>
                </w:rPr>
                <w:t>Market for the Registrant’s Common Equity, Related Stockholder Matters and Issuer Purchases of Equity Securities</w:t>
              </w:r>
            </w:hyperlink>
          </w:p>
        </w:tc>
        <w:tc>
          <w:tcPr>
            <w:tcW w:w="8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46</w:t>
            </w:r>
          </w:p>
        </w:tc>
      </w:tr>
      <w:tr>
        <w:trPr/>
        <w:tc>
          <w:tcPr>
            <w:tcW w:w="916" w:type="dxa"/>
            <w:tcBorders/>
            <w:shd w:fill="auto" w:val="clear"/>
            <w:vAlign w:val="center"/>
          </w:tcPr>
          <w:p>
            <w:pPr>
              <w:pStyle w:val="TableContents"/>
              <w:spacing w:before="0" w:after="0"/>
              <w:ind w:left="0" w:right="0" w:hanging="0"/>
              <w:rPr/>
            </w:pPr>
            <w:hyperlink w:anchor="ITEM6RESERVED_693122">
              <w:r>
                <w:rPr>
                  <w:rStyle w:val="InternetLink"/>
                  <w:rFonts w:ascii="Times New Roman;Times;serif" w:hAnsi="Times New Roman;Times;serif"/>
                  <w:b w:val="false"/>
                  <w:i w:val="false"/>
                  <w:caps w:val="false"/>
                  <w:smallCaps w:val="false"/>
                  <w:sz w:val="20"/>
                </w:rPr>
                <w:t>Item 6.</w:t>
              </w:r>
            </w:hyperlink>
          </w:p>
        </w:tc>
        <w:tc>
          <w:tcPr>
            <w:tcW w:w="8418" w:type="dxa"/>
            <w:tcBorders/>
            <w:shd w:fill="auto" w:val="clear"/>
            <w:vAlign w:val="center"/>
          </w:tcPr>
          <w:p>
            <w:pPr>
              <w:pStyle w:val="TableContents"/>
              <w:spacing w:before="0" w:after="0"/>
              <w:ind w:left="0" w:right="0" w:hanging="0"/>
              <w:rPr/>
            </w:pPr>
            <w:hyperlink w:anchor="ITEM6RESERVED_693122">
              <w:r>
                <w:rPr>
                  <w:rStyle w:val="InternetLink"/>
                  <w:rFonts w:ascii="Times New Roman;Times;serif" w:hAnsi="Times New Roman;Times;serif"/>
                  <w:b w:val="false"/>
                  <w:i w:val="false"/>
                  <w:caps w:val="false"/>
                  <w:smallCaps w:val="false"/>
                  <w:sz w:val="20"/>
                </w:rPr>
                <w:t>[Reserved]</w:t>
              </w:r>
            </w:hyperlink>
          </w:p>
        </w:tc>
        <w:tc>
          <w:tcPr>
            <w:tcW w:w="8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46</w:t>
            </w:r>
          </w:p>
        </w:tc>
      </w:tr>
      <w:tr>
        <w:trPr/>
        <w:tc>
          <w:tcPr>
            <w:tcW w:w="916" w:type="dxa"/>
            <w:tcBorders/>
            <w:shd w:fill="auto" w:val="clear"/>
            <w:vAlign w:val="center"/>
          </w:tcPr>
          <w:p>
            <w:pPr>
              <w:pStyle w:val="TableContents"/>
              <w:spacing w:before="0" w:after="0"/>
              <w:ind w:left="0" w:right="0" w:hanging="0"/>
              <w:rPr/>
            </w:pPr>
            <w:hyperlink w:anchor="ITEM7MANAGEMENTSDISCUSSIONANDANALYSISOFF">
              <w:r>
                <w:rPr>
                  <w:rStyle w:val="InternetLink"/>
                  <w:rFonts w:ascii="Times New Roman;Times;serif" w:hAnsi="Times New Roman;Times;serif"/>
                  <w:b w:val="false"/>
                  <w:i w:val="false"/>
                  <w:caps w:val="false"/>
                  <w:smallCaps w:val="false"/>
                  <w:sz w:val="20"/>
                </w:rPr>
                <w:t>Item 7.</w:t>
              </w:r>
            </w:hyperlink>
          </w:p>
        </w:tc>
        <w:tc>
          <w:tcPr>
            <w:tcW w:w="8418" w:type="dxa"/>
            <w:tcBorders/>
            <w:shd w:fill="auto" w:val="clear"/>
            <w:vAlign w:val="center"/>
          </w:tcPr>
          <w:p>
            <w:pPr>
              <w:pStyle w:val="TableContents"/>
              <w:spacing w:before="0" w:after="0"/>
              <w:ind w:left="0" w:right="0" w:hanging="0"/>
              <w:rPr/>
            </w:pPr>
            <w:hyperlink w:anchor="ITEM7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8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47</w:t>
            </w:r>
          </w:p>
        </w:tc>
      </w:tr>
      <w:tr>
        <w:trPr/>
        <w:tc>
          <w:tcPr>
            <w:tcW w:w="916" w:type="dxa"/>
            <w:tcBorders/>
            <w:shd w:fill="auto" w:val="clear"/>
            <w:vAlign w:val="center"/>
          </w:tcPr>
          <w:p>
            <w:pPr>
              <w:pStyle w:val="TableContents"/>
              <w:spacing w:before="0" w:after="0"/>
              <w:ind w:left="0" w:right="0" w:hanging="0"/>
              <w:rPr/>
            </w:pPr>
            <w:hyperlink w:anchor="ITEM7AQUANTITATIVEANDQUALITATIVEDISCLOSU">
              <w:r>
                <w:rPr>
                  <w:rStyle w:val="InternetLink"/>
                  <w:rFonts w:ascii="Times New Roman;Times;serif" w:hAnsi="Times New Roman;Times;serif"/>
                  <w:b w:val="false"/>
                  <w:i w:val="false"/>
                  <w:caps w:val="false"/>
                  <w:smallCaps w:val="false"/>
                  <w:sz w:val="20"/>
                </w:rPr>
                <w:t>Item 7A.</w:t>
              </w:r>
            </w:hyperlink>
          </w:p>
        </w:tc>
        <w:tc>
          <w:tcPr>
            <w:tcW w:w="8418" w:type="dxa"/>
            <w:tcBorders/>
            <w:shd w:fill="auto" w:val="clear"/>
            <w:vAlign w:val="center"/>
          </w:tcPr>
          <w:p>
            <w:pPr>
              <w:pStyle w:val="TableContents"/>
              <w:spacing w:before="0" w:after="0"/>
              <w:ind w:left="0" w:right="0" w:hanging="0"/>
              <w:rPr/>
            </w:pPr>
            <w:hyperlink w:anchor="ITEM7AQUANTITATIVEANDQUALITATIVEDISCLOSU">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8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58</w:t>
            </w:r>
          </w:p>
        </w:tc>
      </w:tr>
      <w:tr>
        <w:trPr/>
        <w:tc>
          <w:tcPr>
            <w:tcW w:w="916" w:type="dxa"/>
            <w:tcBorders/>
            <w:shd w:fill="auto" w:val="clear"/>
            <w:vAlign w:val="center"/>
          </w:tcPr>
          <w:p>
            <w:pPr>
              <w:pStyle w:val="TableContents"/>
              <w:spacing w:before="0" w:after="0"/>
              <w:ind w:left="0" w:right="0" w:hanging="0"/>
              <w:rPr/>
            </w:pPr>
            <w:hyperlink w:anchor="ITEM8FINANCIALSTATEMENTSANDSUPPLEMENTARY">
              <w:r>
                <w:rPr>
                  <w:rStyle w:val="InternetLink"/>
                  <w:rFonts w:ascii="Times New Roman;Times;serif" w:hAnsi="Times New Roman;Times;serif"/>
                  <w:b w:val="false"/>
                  <w:i w:val="false"/>
                  <w:caps w:val="false"/>
                  <w:smallCaps w:val="false"/>
                  <w:sz w:val="20"/>
                </w:rPr>
                <w:t>Item 8.</w:t>
              </w:r>
            </w:hyperlink>
          </w:p>
        </w:tc>
        <w:tc>
          <w:tcPr>
            <w:tcW w:w="8418" w:type="dxa"/>
            <w:tcBorders/>
            <w:shd w:fill="auto" w:val="clear"/>
            <w:vAlign w:val="center"/>
          </w:tcPr>
          <w:p>
            <w:pPr>
              <w:pStyle w:val="TableContents"/>
              <w:spacing w:before="0" w:after="0"/>
              <w:ind w:left="0" w:right="0" w:hanging="0"/>
              <w:rPr/>
            </w:pPr>
            <w:hyperlink w:anchor="ITEM8FINANCIALSTATEMENTSANDSUPPLEMENTARY">
              <w:r>
                <w:rPr>
                  <w:rStyle w:val="InternetLink"/>
                  <w:rFonts w:ascii="Times New Roman;Times;serif" w:hAnsi="Times New Roman;Times;serif"/>
                  <w:b w:val="false"/>
                  <w:i w:val="false"/>
                  <w:caps w:val="false"/>
                  <w:smallCaps w:val="false"/>
                  <w:sz w:val="20"/>
                </w:rPr>
                <w:t>Financial Statements and Supplementary Data</w:t>
              </w:r>
            </w:hyperlink>
          </w:p>
        </w:tc>
        <w:tc>
          <w:tcPr>
            <w:tcW w:w="8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59</w:t>
            </w:r>
          </w:p>
        </w:tc>
      </w:tr>
      <w:tr>
        <w:trPr/>
        <w:tc>
          <w:tcPr>
            <w:tcW w:w="916" w:type="dxa"/>
            <w:tcBorders/>
            <w:shd w:fill="auto" w:val="clear"/>
            <w:vAlign w:val="center"/>
          </w:tcPr>
          <w:p>
            <w:pPr>
              <w:pStyle w:val="TableContents"/>
              <w:spacing w:before="0" w:after="0"/>
              <w:ind w:left="0" w:right="0" w:hanging="0"/>
              <w:rPr/>
            </w:pPr>
            <w:hyperlink w:anchor="ITEM9CHANGESINANDDISAGREEMENTSWITHACCOUN">
              <w:r>
                <w:rPr>
                  <w:rStyle w:val="InternetLink"/>
                  <w:rFonts w:ascii="Times New Roman;Times;serif" w:hAnsi="Times New Roman;Times;serif"/>
                  <w:b w:val="false"/>
                  <w:i w:val="false"/>
                  <w:caps w:val="false"/>
                  <w:smallCaps w:val="false"/>
                  <w:sz w:val="20"/>
                </w:rPr>
                <w:t>Item 9.</w:t>
              </w:r>
            </w:hyperlink>
          </w:p>
        </w:tc>
        <w:tc>
          <w:tcPr>
            <w:tcW w:w="8418" w:type="dxa"/>
            <w:tcBorders/>
            <w:shd w:fill="auto" w:val="clear"/>
            <w:vAlign w:val="center"/>
          </w:tcPr>
          <w:p>
            <w:pPr>
              <w:pStyle w:val="TableContents"/>
              <w:spacing w:before="0" w:after="0"/>
              <w:ind w:left="0" w:right="0" w:hanging="0"/>
              <w:rPr/>
            </w:pPr>
            <w:hyperlink w:anchor="ITEM9CHANGESINANDDISAGREEMENTSWITHACCOUN">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8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60</w:t>
            </w:r>
          </w:p>
        </w:tc>
      </w:tr>
      <w:tr>
        <w:trPr/>
        <w:tc>
          <w:tcPr>
            <w:tcW w:w="916" w:type="dxa"/>
            <w:tcBorders/>
            <w:shd w:fill="auto" w:val="clear"/>
            <w:vAlign w:val="center"/>
          </w:tcPr>
          <w:p>
            <w:pPr>
              <w:pStyle w:val="TableContents"/>
              <w:spacing w:before="0" w:after="0"/>
              <w:ind w:left="0" w:right="0" w:hanging="0"/>
              <w:rPr/>
            </w:pPr>
            <w:hyperlink w:anchor="ITEM9ACONTROLSANDPROCEDURES_639402">
              <w:r>
                <w:rPr>
                  <w:rStyle w:val="InternetLink"/>
                  <w:rFonts w:ascii="Times New Roman;Times;serif" w:hAnsi="Times New Roman;Times;serif"/>
                  <w:b w:val="false"/>
                  <w:i w:val="false"/>
                  <w:caps w:val="false"/>
                  <w:smallCaps w:val="false"/>
                  <w:sz w:val="20"/>
                </w:rPr>
                <w:t>Item 9A.</w:t>
              </w:r>
            </w:hyperlink>
          </w:p>
        </w:tc>
        <w:tc>
          <w:tcPr>
            <w:tcW w:w="8418" w:type="dxa"/>
            <w:tcBorders/>
            <w:shd w:fill="auto" w:val="clear"/>
            <w:vAlign w:val="center"/>
          </w:tcPr>
          <w:p>
            <w:pPr>
              <w:pStyle w:val="TableContents"/>
              <w:spacing w:before="0" w:after="0"/>
              <w:ind w:left="0" w:right="0" w:hanging="0"/>
              <w:rPr/>
            </w:pPr>
            <w:hyperlink w:anchor="ITEM9ACONTROLSANDPROCEDURES_639402">
              <w:r>
                <w:rPr>
                  <w:rStyle w:val="InternetLink"/>
                  <w:rFonts w:ascii="Times New Roman;Times;serif" w:hAnsi="Times New Roman;Times;serif"/>
                  <w:b w:val="false"/>
                  <w:i w:val="false"/>
                  <w:caps w:val="false"/>
                  <w:smallCaps w:val="false"/>
                  <w:sz w:val="20"/>
                </w:rPr>
                <w:t>Controls and Procedures</w:t>
              </w:r>
            </w:hyperlink>
          </w:p>
        </w:tc>
        <w:tc>
          <w:tcPr>
            <w:tcW w:w="8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60</w:t>
            </w:r>
          </w:p>
        </w:tc>
      </w:tr>
      <w:tr>
        <w:trPr/>
        <w:tc>
          <w:tcPr>
            <w:tcW w:w="916" w:type="dxa"/>
            <w:tcBorders/>
            <w:shd w:fill="auto" w:val="clear"/>
            <w:vAlign w:val="center"/>
          </w:tcPr>
          <w:p>
            <w:pPr>
              <w:pStyle w:val="TableContents"/>
              <w:spacing w:before="0" w:after="0"/>
              <w:ind w:left="0" w:right="0" w:hanging="0"/>
              <w:rPr/>
            </w:pPr>
            <w:hyperlink w:anchor="ITEM9BOTHERINFORMATION_421296">
              <w:r>
                <w:rPr>
                  <w:rStyle w:val="InternetLink"/>
                  <w:rFonts w:ascii="Times New Roman;Times;serif" w:hAnsi="Times New Roman;Times;serif"/>
                  <w:b w:val="false"/>
                  <w:i w:val="false"/>
                  <w:caps w:val="false"/>
                  <w:smallCaps w:val="false"/>
                  <w:sz w:val="20"/>
                </w:rPr>
                <w:t>Item 9B.</w:t>
              </w:r>
            </w:hyperlink>
          </w:p>
        </w:tc>
        <w:tc>
          <w:tcPr>
            <w:tcW w:w="8418" w:type="dxa"/>
            <w:tcBorders/>
            <w:shd w:fill="auto" w:val="clear"/>
            <w:vAlign w:val="center"/>
          </w:tcPr>
          <w:p>
            <w:pPr>
              <w:pStyle w:val="TableContents"/>
              <w:spacing w:before="0" w:after="0"/>
              <w:ind w:left="0" w:right="0" w:hanging="0"/>
              <w:rPr/>
            </w:pPr>
            <w:hyperlink w:anchor="ITEM9BOTHERINFORMATION_421296">
              <w:r>
                <w:rPr>
                  <w:rStyle w:val="InternetLink"/>
                  <w:rFonts w:ascii="Times New Roman;Times;serif" w:hAnsi="Times New Roman;Times;serif"/>
                  <w:b w:val="false"/>
                  <w:i w:val="false"/>
                  <w:caps w:val="false"/>
                  <w:smallCaps w:val="false"/>
                  <w:sz w:val="20"/>
                </w:rPr>
                <w:t>Other Information</w:t>
              </w:r>
            </w:hyperlink>
          </w:p>
        </w:tc>
        <w:tc>
          <w:tcPr>
            <w:tcW w:w="8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61</w:t>
            </w:r>
          </w:p>
        </w:tc>
      </w:tr>
      <w:tr>
        <w:trPr/>
        <w:tc>
          <w:tcPr>
            <w:tcW w:w="916" w:type="dxa"/>
            <w:tcBorders/>
            <w:shd w:fill="auto" w:val="clear"/>
            <w:vAlign w:val="center"/>
          </w:tcPr>
          <w:p>
            <w:pPr>
              <w:pStyle w:val="TableContents"/>
              <w:spacing w:before="0" w:after="0"/>
              <w:ind w:left="0" w:right="0" w:hanging="0"/>
              <w:rPr/>
            </w:pPr>
            <w:hyperlink w:anchor="ITEM9CDISCLOSUREREGARDINGFOREIGNJURISDIC">
              <w:r>
                <w:rPr>
                  <w:rStyle w:val="InternetLink"/>
                  <w:rFonts w:ascii="Times New Roman;Times;serif" w:hAnsi="Times New Roman;Times;serif"/>
                  <w:b w:val="false"/>
                  <w:i w:val="false"/>
                  <w:caps w:val="false"/>
                  <w:smallCaps w:val="false"/>
                  <w:sz w:val="20"/>
                </w:rPr>
                <w:t>Item 9C.</w:t>
              </w:r>
            </w:hyperlink>
          </w:p>
        </w:tc>
        <w:tc>
          <w:tcPr>
            <w:tcW w:w="8418" w:type="dxa"/>
            <w:tcBorders/>
            <w:shd w:fill="auto" w:val="clear"/>
            <w:vAlign w:val="center"/>
          </w:tcPr>
          <w:p>
            <w:pPr>
              <w:pStyle w:val="TableContents"/>
              <w:spacing w:before="0" w:after="0"/>
              <w:ind w:left="0" w:right="0" w:hanging="0"/>
              <w:rPr/>
            </w:pPr>
            <w:hyperlink w:anchor="ITEM9CDISCLOSUREREGARDINGFOREIGNJURISDIC">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8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61</w:t>
            </w:r>
          </w:p>
        </w:tc>
      </w:tr>
      <w:tr>
        <w:trPr/>
        <w:tc>
          <w:tcPr>
            <w:tcW w:w="916" w:type="dxa"/>
            <w:tcBorders/>
            <w:shd w:fill="auto" w:val="clear"/>
            <w:vAlign w:val="center"/>
          </w:tcPr>
          <w:p>
            <w:pPr>
              <w:pStyle w:val="TableContents"/>
              <w:spacing w:before="0" w:after="0"/>
              <w:ind w:left="0" w:right="0" w:hanging="0"/>
              <w:rPr/>
            </w:pPr>
            <w:r>
              <w:rPr/>
              <w:t>​</w:t>
            </w:r>
          </w:p>
        </w:tc>
        <w:tc>
          <w:tcPr>
            <w:tcW w:w="8418"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center"/>
              <w:rPr/>
            </w:pPr>
            <w:r>
              <w:rPr/>
              <w:t> </w:t>
            </w:r>
          </w:p>
        </w:tc>
      </w:tr>
      <w:tr>
        <w:trPr/>
        <w:tc>
          <w:tcPr>
            <w:tcW w:w="916" w:type="dxa"/>
            <w:tcBorders/>
            <w:shd w:fill="auto" w:val="clear"/>
            <w:vAlign w:val="center"/>
          </w:tcPr>
          <w:p>
            <w:pPr>
              <w:pStyle w:val="TableContents"/>
              <w:spacing w:before="0" w:after="0"/>
              <w:ind w:left="0" w:right="0" w:hanging="0"/>
              <w:rPr/>
            </w:pPr>
            <w:hyperlink w:anchor="PARTIII_203065">
              <w:r>
                <w:rPr>
                  <w:rStyle w:val="InternetLink"/>
                  <w:rFonts w:ascii="Times New Roman;Times;serif" w:hAnsi="Times New Roman;Times;serif"/>
                  <w:b/>
                  <w:i w:val="false"/>
                  <w:caps w:val="false"/>
                  <w:smallCaps w:val="false"/>
                  <w:sz w:val="20"/>
                </w:rPr>
                <w:t>PART III</w:t>
              </w:r>
            </w:hyperlink>
          </w:p>
        </w:tc>
        <w:tc>
          <w:tcPr>
            <w:tcW w:w="8418"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center"/>
              <w:rPr/>
            </w:pPr>
            <w:r>
              <w:rPr/>
              <w:t>​</w:t>
            </w:r>
          </w:p>
        </w:tc>
      </w:tr>
      <w:tr>
        <w:trPr/>
        <w:tc>
          <w:tcPr>
            <w:tcW w:w="916" w:type="dxa"/>
            <w:tcBorders/>
            <w:shd w:fill="auto" w:val="clear"/>
            <w:vAlign w:val="center"/>
          </w:tcPr>
          <w:p>
            <w:pPr>
              <w:pStyle w:val="TableContents"/>
              <w:spacing w:before="0" w:after="0"/>
              <w:ind w:left="0" w:right="0" w:hanging="0"/>
              <w:rPr/>
            </w:pPr>
            <w:hyperlink w:anchor="ITEM10DIRECTORSEXECUTIVEOFFICERSANDCORPO">
              <w:r>
                <w:rPr>
                  <w:rStyle w:val="InternetLink"/>
                  <w:rFonts w:ascii="Times New Roman;Times;serif" w:hAnsi="Times New Roman;Times;serif"/>
                  <w:b w:val="false"/>
                  <w:i w:val="false"/>
                  <w:caps w:val="false"/>
                  <w:smallCaps w:val="false"/>
                  <w:sz w:val="20"/>
                </w:rPr>
                <w:t>Item 10.</w:t>
              </w:r>
            </w:hyperlink>
          </w:p>
        </w:tc>
        <w:tc>
          <w:tcPr>
            <w:tcW w:w="8418" w:type="dxa"/>
            <w:tcBorders/>
            <w:shd w:fill="auto" w:val="clear"/>
            <w:vAlign w:val="center"/>
          </w:tcPr>
          <w:p>
            <w:pPr>
              <w:pStyle w:val="TableContents"/>
              <w:spacing w:before="0" w:after="0"/>
              <w:ind w:left="0" w:right="0" w:hanging="0"/>
              <w:rPr/>
            </w:pPr>
            <w:hyperlink w:anchor="ITEM10DIRECTORSEXECUTIVEOFFICERSANDCORPO">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8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62</w:t>
            </w:r>
          </w:p>
        </w:tc>
      </w:tr>
      <w:tr>
        <w:trPr/>
        <w:tc>
          <w:tcPr>
            <w:tcW w:w="916" w:type="dxa"/>
            <w:tcBorders/>
            <w:shd w:fill="auto" w:val="clear"/>
            <w:vAlign w:val="center"/>
          </w:tcPr>
          <w:p>
            <w:pPr>
              <w:pStyle w:val="TableContents"/>
              <w:spacing w:before="0" w:after="0"/>
              <w:ind w:left="0" w:right="0" w:hanging="0"/>
              <w:rPr/>
            </w:pPr>
            <w:hyperlink w:anchor="ITEM11EXECUTIVECOMPENSATION_240511">
              <w:r>
                <w:rPr>
                  <w:rStyle w:val="InternetLink"/>
                  <w:rFonts w:ascii="Times New Roman;Times;serif" w:hAnsi="Times New Roman;Times;serif"/>
                  <w:b w:val="false"/>
                  <w:i w:val="false"/>
                  <w:caps w:val="false"/>
                  <w:smallCaps w:val="false"/>
                  <w:sz w:val="20"/>
                </w:rPr>
                <w:t>Item 11.</w:t>
              </w:r>
            </w:hyperlink>
          </w:p>
        </w:tc>
        <w:tc>
          <w:tcPr>
            <w:tcW w:w="8418" w:type="dxa"/>
            <w:tcBorders/>
            <w:shd w:fill="auto" w:val="clear"/>
            <w:vAlign w:val="center"/>
          </w:tcPr>
          <w:p>
            <w:pPr>
              <w:pStyle w:val="TableContents"/>
              <w:spacing w:before="0" w:after="0"/>
              <w:ind w:left="0" w:right="0" w:hanging="0"/>
              <w:rPr/>
            </w:pPr>
            <w:hyperlink w:anchor="ITEM11EXECUTIVECOMPENSATION_240511">
              <w:r>
                <w:rPr>
                  <w:rStyle w:val="InternetLink"/>
                  <w:rFonts w:ascii="Times New Roman;Times;serif" w:hAnsi="Times New Roman;Times;serif"/>
                  <w:b w:val="false"/>
                  <w:i w:val="false"/>
                  <w:caps w:val="false"/>
                  <w:smallCaps w:val="false"/>
                  <w:sz w:val="20"/>
                </w:rPr>
                <w:t>Executive Compensation</w:t>
              </w:r>
            </w:hyperlink>
          </w:p>
        </w:tc>
        <w:tc>
          <w:tcPr>
            <w:tcW w:w="8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62</w:t>
            </w:r>
          </w:p>
        </w:tc>
      </w:tr>
      <w:tr>
        <w:trPr/>
        <w:tc>
          <w:tcPr>
            <w:tcW w:w="916" w:type="dxa"/>
            <w:tcBorders/>
            <w:shd w:fill="auto" w:val="clear"/>
            <w:vAlign w:val="center"/>
          </w:tcPr>
          <w:p>
            <w:pPr>
              <w:pStyle w:val="TableContents"/>
              <w:spacing w:before="0" w:after="0"/>
              <w:ind w:left="0" w:right="0" w:hanging="0"/>
              <w:rPr/>
            </w:pPr>
            <w:hyperlink w:anchor="ITEM12SECURITYOWNERSHIPOFCERTAINBENEFICI">
              <w:r>
                <w:rPr>
                  <w:rStyle w:val="InternetLink"/>
                  <w:rFonts w:ascii="Times New Roman;Times;serif" w:hAnsi="Times New Roman;Times;serif"/>
                  <w:b w:val="false"/>
                  <w:i w:val="false"/>
                  <w:caps w:val="false"/>
                  <w:smallCaps w:val="false"/>
                  <w:sz w:val="20"/>
                </w:rPr>
                <w:t>Item 12.</w:t>
              </w:r>
            </w:hyperlink>
          </w:p>
        </w:tc>
        <w:tc>
          <w:tcPr>
            <w:tcW w:w="8418" w:type="dxa"/>
            <w:tcBorders/>
            <w:shd w:fill="auto" w:val="clear"/>
            <w:vAlign w:val="center"/>
          </w:tcPr>
          <w:p>
            <w:pPr>
              <w:pStyle w:val="TableContents"/>
              <w:spacing w:before="0" w:after="0"/>
              <w:ind w:left="0" w:right="0" w:hanging="0"/>
              <w:rPr/>
            </w:pPr>
            <w:hyperlink w:anchor="ITEM12SECURITYOWNERSHIPOFCERTAINBENEFICI">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8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62</w:t>
            </w:r>
          </w:p>
        </w:tc>
      </w:tr>
      <w:tr>
        <w:trPr/>
        <w:tc>
          <w:tcPr>
            <w:tcW w:w="916" w:type="dxa"/>
            <w:tcBorders/>
            <w:shd w:fill="auto" w:val="clear"/>
            <w:vAlign w:val="center"/>
          </w:tcPr>
          <w:p>
            <w:pPr>
              <w:pStyle w:val="TableContents"/>
              <w:spacing w:before="0" w:after="0"/>
              <w:ind w:left="0" w:right="0" w:hanging="0"/>
              <w:rPr/>
            </w:pPr>
            <w:hyperlink w:anchor="ITEM13CERTAINRELATIONSHIPSANDRELATEDTRAN">
              <w:r>
                <w:rPr>
                  <w:rStyle w:val="InternetLink"/>
                  <w:rFonts w:ascii="Times New Roman;Times;serif" w:hAnsi="Times New Roman;Times;serif"/>
                  <w:b w:val="false"/>
                  <w:i w:val="false"/>
                  <w:caps w:val="false"/>
                  <w:smallCaps w:val="false"/>
                  <w:sz w:val="20"/>
                </w:rPr>
                <w:t>Item 13.</w:t>
              </w:r>
            </w:hyperlink>
          </w:p>
        </w:tc>
        <w:tc>
          <w:tcPr>
            <w:tcW w:w="8418" w:type="dxa"/>
            <w:tcBorders/>
            <w:shd w:fill="auto" w:val="clear"/>
            <w:vAlign w:val="center"/>
          </w:tcPr>
          <w:p>
            <w:pPr>
              <w:pStyle w:val="TableContents"/>
              <w:spacing w:before="0" w:after="0"/>
              <w:ind w:left="0" w:right="0" w:hanging="0"/>
              <w:rPr/>
            </w:pPr>
            <w:hyperlink w:anchor="ITEM13CERTAINRELATIONSHIPSANDRELATEDTRAN">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8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62</w:t>
            </w:r>
          </w:p>
        </w:tc>
      </w:tr>
      <w:tr>
        <w:trPr/>
        <w:tc>
          <w:tcPr>
            <w:tcW w:w="916" w:type="dxa"/>
            <w:tcBorders/>
            <w:shd w:fill="auto" w:val="clear"/>
            <w:vAlign w:val="center"/>
          </w:tcPr>
          <w:p>
            <w:pPr>
              <w:pStyle w:val="TableContents"/>
              <w:spacing w:before="0" w:after="0"/>
              <w:ind w:left="0" w:right="0" w:hanging="0"/>
              <w:rPr/>
            </w:pPr>
            <w:hyperlink w:anchor="ITEM14PRINCIPALACCOUNTINGFEESANDSERVICES">
              <w:r>
                <w:rPr>
                  <w:rStyle w:val="InternetLink"/>
                  <w:rFonts w:ascii="Times New Roman;Times;serif" w:hAnsi="Times New Roman;Times;serif"/>
                  <w:b w:val="false"/>
                  <w:i w:val="false"/>
                  <w:caps w:val="false"/>
                  <w:smallCaps w:val="false"/>
                  <w:sz w:val="20"/>
                </w:rPr>
                <w:t>Item 14.</w:t>
              </w:r>
            </w:hyperlink>
          </w:p>
        </w:tc>
        <w:tc>
          <w:tcPr>
            <w:tcW w:w="8418" w:type="dxa"/>
            <w:tcBorders/>
            <w:shd w:fill="auto" w:val="clear"/>
            <w:vAlign w:val="center"/>
          </w:tcPr>
          <w:p>
            <w:pPr>
              <w:pStyle w:val="TableContents"/>
              <w:spacing w:before="0" w:after="0"/>
              <w:ind w:left="0" w:right="0" w:hanging="0"/>
              <w:rPr/>
            </w:pPr>
            <w:hyperlink w:anchor="ITEM14PRINCIPALACCOUNTINGFEESANDSERVICES">
              <w:r>
                <w:rPr>
                  <w:rStyle w:val="InternetLink"/>
                  <w:rFonts w:ascii="Times New Roman;Times;serif" w:hAnsi="Times New Roman;Times;serif"/>
                  <w:b w:val="false"/>
                  <w:i w:val="false"/>
                  <w:caps w:val="false"/>
                  <w:smallCaps w:val="false"/>
                  <w:sz w:val="20"/>
                </w:rPr>
                <w:t>Principal Accounting Fees and Services</w:t>
              </w:r>
            </w:hyperlink>
          </w:p>
        </w:tc>
        <w:tc>
          <w:tcPr>
            <w:tcW w:w="8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62</w:t>
            </w:r>
          </w:p>
        </w:tc>
      </w:tr>
      <w:tr>
        <w:trPr/>
        <w:tc>
          <w:tcPr>
            <w:tcW w:w="916" w:type="dxa"/>
            <w:tcBorders/>
            <w:shd w:fill="auto" w:val="clear"/>
            <w:vAlign w:val="center"/>
          </w:tcPr>
          <w:p>
            <w:pPr>
              <w:pStyle w:val="TableContents"/>
              <w:spacing w:before="0" w:after="0"/>
              <w:ind w:left="0" w:right="0" w:hanging="0"/>
              <w:rPr/>
            </w:pPr>
            <w:r>
              <w:rPr/>
              <w:t>​</w:t>
            </w:r>
          </w:p>
        </w:tc>
        <w:tc>
          <w:tcPr>
            <w:tcW w:w="8418"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center"/>
              <w:rPr/>
            </w:pPr>
            <w:r>
              <w:rPr/>
              <w:t> </w:t>
            </w:r>
          </w:p>
        </w:tc>
      </w:tr>
      <w:tr>
        <w:trPr/>
        <w:tc>
          <w:tcPr>
            <w:tcW w:w="916" w:type="dxa"/>
            <w:tcBorders/>
            <w:shd w:fill="auto" w:val="clear"/>
            <w:vAlign w:val="center"/>
          </w:tcPr>
          <w:p>
            <w:pPr>
              <w:pStyle w:val="TableContents"/>
              <w:spacing w:before="0" w:after="0"/>
              <w:ind w:left="0" w:right="0" w:hanging="0"/>
              <w:rPr/>
            </w:pPr>
            <w:hyperlink w:anchor="PARTIV_153419">
              <w:r>
                <w:rPr>
                  <w:rStyle w:val="InternetLink"/>
                  <w:rFonts w:ascii="Times New Roman;Times;serif" w:hAnsi="Times New Roman;Times;serif"/>
                  <w:b/>
                  <w:i w:val="false"/>
                  <w:caps w:val="false"/>
                  <w:smallCaps w:val="false"/>
                  <w:sz w:val="20"/>
                </w:rPr>
                <w:t>PART IV</w:t>
              </w:r>
            </w:hyperlink>
          </w:p>
        </w:tc>
        <w:tc>
          <w:tcPr>
            <w:tcW w:w="8418"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center"/>
              <w:rPr/>
            </w:pPr>
            <w:r>
              <w:rPr/>
              <w:t>​</w:t>
            </w:r>
          </w:p>
        </w:tc>
      </w:tr>
      <w:tr>
        <w:trPr/>
        <w:tc>
          <w:tcPr>
            <w:tcW w:w="916" w:type="dxa"/>
            <w:tcBorders/>
            <w:shd w:fill="auto" w:val="clear"/>
            <w:vAlign w:val="center"/>
          </w:tcPr>
          <w:p>
            <w:pPr>
              <w:pStyle w:val="TableContents"/>
              <w:spacing w:before="0" w:after="0"/>
              <w:ind w:left="0" w:right="0" w:hanging="0"/>
              <w:rPr/>
            </w:pPr>
            <w:hyperlink w:anchor="ITEM15EXHIBITSANDFINANCIALSTATEMENTSCHED">
              <w:r>
                <w:rPr>
                  <w:rStyle w:val="InternetLink"/>
                  <w:rFonts w:ascii="Times New Roman;Times;serif" w:hAnsi="Times New Roman;Times;serif"/>
                  <w:b w:val="false"/>
                  <w:i w:val="false"/>
                  <w:caps w:val="false"/>
                  <w:smallCaps w:val="false"/>
                  <w:sz w:val="20"/>
                </w:rPr>
                <w:t>Item 15.</w:t>
              </w:r>
            </w:hyperlink>
          </w:p>
        </w:tc>
        <w:tc>
          <w:tcPr>
            <w:tcW w:w="8418" w:type="dxa"/>
            <w:tcBorders/>
            <w:shd w:fill="auto" w:val="clear"/>
            <w:vAlign w:val="center"/>
          </w:tcPr>
          <w:p>
            <w:pPr>
              <w:pStyle w:val="TableContents"/>
              <w:spacing w:before="0" w:after="0"/>
              <w:ind w:left="0" w:right="0" w:hanging="0"/>
              <w:rPr/>
            </w:pPr>
            <w:hyperlink w:anchor="ITEM15EXHIBITSANDFINANCIALSTATEMENTSCHED">
              <w:r>
                <w:rPr>
                  <w:rStyle w:val="InternetLink"/>
                  <w:rFonts w:ascii="Times New Roman;Times;serif" w:hAnsi="Times New Roman;Times;serif"/>
                  <w:b w:val="false"/>
                  <w:i w:val="false"/>
                  <w:caps w:val="false"/>
                  <w:smallCaps w:val="false"/>
                  <w:sz w:val="20"/>
                </w:rPr>
                <w:t>Exhibit and Financial Statement Schedules</w:t>
              </w:r>
            </w:hyperlink>
          </w:p>
        </w:tc>
        <w:tc>
          <w:tcPr>
            <w:tcW w:w="8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63</w:t>
            </w:r>
          </w:p>
        </w:tc>
      </w:tr>
      <w:tr>
        <w:trPr/>
        <w:tc>
          <w:tcPr>
            <w:tcW w:w="916" w:type="dxa"/>
            <w:tcBorders/>
            <w:shd w:fill="auto" w:val="clear"/>
            <w:vAlign w:val="center"/>
          </w:tcPr>
          <w:p>
            <w:pPr>
              <w:pStyle w:val="TableContents"/>
              <w:spacing w:before="0" w:after="0"/>
              <w:ind w:left="0" w:right="0" w:hanging="0"/>
              <w:rPr/>
            </w:pPr>
            <w:hyperlink w:anchor="ITEM16FORM10KSUMMARY_700786">
              <w:r>
                <w:rPr>
                  <w:rStyle w:val="InternetLink"/>
                  <w:rFonts w:ascii="Times New Roman;Times;serif" w:hAnsi="Times New Roman;Times;serif"/>
                  <w:b w:val="false"/>
                  <w:i w:val="false"/>
                  <w:caps w:val="false"/>
                  <w:smallCaps w:val="false"/>
                  <w:sz w:val="20"/>
                </w:rPr>
                <w:t>Item 16.</w:t>
              </w:r>
            </w:hyperlink>
          </w:p>
        </w:tc>
        <w:tc>
          <w:tcPr>
            <w:tcW w:w="8418" w:type="dxa"/>
            <w:tcBorders/>
            <w:shd w:fill="auto" w:val="clear"/>
            <w:vAlign w:val="center"/>
          </w:tcPr>
          <w:p>
            <w:pPr>
              <w:pStyle w:val="TableContents"/>
              <w:spacing w:before="0" w:after="0"/>
              <w:ind w:left="0" w:right="0" w:hanging="0"/>
              <w:rPr/>
            </w:pPr>
            <w:hyperlink w:anchor="ITEM16FORM10KSUMMARY_700786">
              <w:r>
                <w:rPr>
                  <w:rStyle w:val="InternetLink"/>
                  <w:rFonts w:ascii="Times New Roman;Times;serif" w:hAnsi="Times New Roman;Times;serif"/>
                  <w:b w:val="false"/>
                  <w:i w:val="false"/>
                  <w:caps w:val="false"/>
                  <w:smallCaps w:val="false"/>
                  <w:sz w:val="20"/>
                </w:rPr>
                <w:t>Form 10-K Summary</w:t>
              </w:r>
            </w:hyperlink>
          </w:p>
        </w:tc>
        <w:tc>
          <w:tcPr>
            <w:tcW w:w="8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71</w:t>
            </w:r>
          </w:p>
        </w:tc>
      </w:tr>
      <w:tr>
        <w:trPr/>
        <w:tc>
          <w:tcPr>
            <w:tcW w:w="916" w:type="dxa"/>
            <w:tcBorders/>
            <w:shd w:fill="auto" w:val="clear"/>
            <w:vAlign w:val="center"/>
          </w:tcPr>
          <w:p>
            <w:pPr>
              <w:pStyle w:val="TableContents"/>
              <w:spacing w:before="0" w:after="0"/>
              <w:ind w:left="0" w:right="0" w:hanging="0"/>
              <w:rPr/>
            </w:pPr>
            <w:r>
              <w:rPr/>
              <w:t>​</w:t>
            </w:r>
          </w:p>
        </w:tc>
        <w:tc>
          <w:tcPr>
            <w:tcW w:w="8418"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center"/>
              <w:rPr/>
            </w:pPr>
            <w:r>
              <w:rPr/>
              <w:t> </w:t>
            </w:r>
          </w:p>
        </w:tc>
      </w:tr>
      <w:tr>
        <w:trPr/>
        <w:tc>
          <w:tcPr>
            <w:tcW w:w="916" w:type="dxa"/>
            <w:tcBorders/>
            <w:shd w:fill="auto" w:val="clear"/>
            <w:vAlign w:val="center"/>
          </w:tcPr>
          <w:p>
            <w:pPr>
              <w:pStyle w:val="TableContents"/>
              <w:spacing w:before="0" w:after="0"/>
              <w:ind w:left="0" w:right="0" w:hanging="0"/>
              <w:rPr/>
            </w:pPr>
            <w:r>
              <w:rPr/>
              <w:t>​</w:t>
            </w:r>
          </w:p>
        </w:tc>
        <w:tc>
          <w:tcPr>
            <w:tcW w:w="8418" w:type="dxa"/>
            <w:tcBorders/>
            <w:shd w:fill="auto" w:val="clear"/>
            <w:vAlign w:val="center"/>
          </w:tcPr>
          <w:p>
            <w:pPr>
              <w:pStyle w:val="TableContents"/>
              <w:spacing w:before="0" w:after="0"/>
              <w:ind w:left="0" w:right="0" w:hanging="0"/>
              <w:rPr/>
            </w:pPr>
            <w:hyperlink w:anchor="SIGNATURES_883660">
              <w:r>
                <w:rPr>
                  <w:rStyle w:val="InternetLink"/>
                  <w:rFonts w:ascii="Times New Roman;Times;serif" w:hAnsi="Times New Roman;Times;serif"/>
                  <w:b w:val="false"/>
                  <w:i w:val="false"/>
                  <w:caps w:val="false"/>
                  <w:smallCaps w:val="false"/>
                  <w:sz w:val="20"/>
                </w:rPr>
                <w:t>Signatures</w:t>
              </w:r>
            </w:hyperlink>
          </w:p>
        </w:tc>
        <w:tc>
          <w:tcPr>
            <w:tcW w:w="8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72</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11" w:name="_b45c9ed3_c1f8_409a_ae18_83802d62908f"/>
      <w:bookmarkEnd w:id="11"/>
      <w:r>
        <w:rPr>
          <w:rFonts w:ascii="Times New Roman;Times;serif" w:hAnsi="Times New Roman;Times;serif"/>
          <w:b/>
          <w:sz w:val="20"/>
        </w:rPr>
        <w:t xml:space="preserve">FORWARD-LOOKING STATEMENTS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This Annual Report on Form 10-K (the “Report”) contains “forward-looking statements” within the meaning of Section 27A of the Securities Act of 1933, as amended (the “Securities Act”), and Section 21E of the Securities Exchange Act of 1934, as amended (the “Exchange Act”), adopted pursuant to the Private Securities Litigation Reform Act of 1995. Forward-looking statements are based upon our good faith assumptions, expectations and beliefs concerning future developments and their potential effect on our business. In some cases, you can identify forward-looking statements by the following words: “may,” “will,” “could,” “would,” “should,” “expect,” “intends,” “plans,” “strategy,” “prospects,” “anticipate,” “believe,” “approximately,” “estimate,” “predict,” “project,” “potential,” “continue,” “ongoing,” or the negative of these terms or other words of similar meaning in connection with a discussion of future events or future operating or financial performance, although the absence of these words does not necessarily mean that a statement is not forward-looking. In particular, such statements include those relating to, among other things, (i) </w:t>
      </w:r>
      <w:r>
        <w:rPr>
          <w:rFonts w:ascii="Times New Roman;Times;serif" w:hAnsi="Times New Roman;Times;serif"/>
          <w:sz w:val="20"/>
          <w:highlight w:val="white"/>
        </w:rPr>
        <w:t>regulatory limitations on our products and services and the uncertainty in the application of federal, state, and local laws to our business, and any changes in such laws</w:t>
      </w:r>
      <w:r>
        <w:rPr>
          <w:rFonts w:ascii="Times New Roman;Times;serif" w:hAnsi="Times New Roman;Times;serif"/>
          <w:sz w:val="20"/>
        </w:rPr>
        <w:t>; (ii) </w:t>
      </w:r>
      <w:r>
        <w:rPr>
          <w:rFonts w:ascii="Times New Roman;Times;serif" w:hAnsi="Times New Roman;Times;serif"/>
          <w:sz w:val="20"/>
          <w:highlight w:val="white"/>
        </w:rPr>
        <w:t>our ability to manufacture our products and product candidates on a commercial scale on our own or in collaboration with third parties; (iii) our ability to identify, consummate, and integrate anticipated acquisitions; (iv) general industry and economic conditions; (v) our ability to access adequate capital upon terms and conditions that are acceptable to us; (vi) our ability to pay interest and principal on outstanding debt when due; (vii) volatility in credit and market conditions; (viii) the loss of one or more key executives or other key employees; and (ix) other risks and uncertainties related to the cannabis market and our business strategy</w:t>
      </w:r>
      <w:r>
        <w:rPr>
          <w:rFonts w:ascii="Times New Roman;Times;serif" w:hAnsi="Times New Roman;Times;serif"/>
          <w:sz w:val="20"/>
        </w:rPr>
        <w:t>. This information may involve known and unknown risks, uncertainties and other factors which may cause actual events or our actual results, performance or achievements to be materially different from the future events, results, performance or achievements expressed or implied by any forward-looking statements. There can be no assurance that future events, results, performance or achievements will be in accordance with our expectations or that the effect of future events, results, performance or achievements will be those anticipated by us.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These forward-looking statements represent our intentions, plans, expectations, assumptions and beliefs about future events and are subject to risks, uncertainties and other factors, including, but not limited to, those discussed in “Item 1. Business”, “Item 1A. Risk Factors”, “Item 3. Legal Proceedings,” “Item 7. Management’s Discussion and Analysis of Operations,” and elsewhere in this report. Many of those factors are outside of our control and could cause actual results to differ materially from the results expressed or implied by those forward-looking statements. Considering these risks, uncertainties and assumptions, the events described in the forward-looking statements might not occur or might occur to a different extent or at a different time than we have described. Although we believe that our plans, intentions and expectations reflected in or suggested by the forward-looking statements in this Report are reasonable, we cannot assure stockholders and potential investors that these plans, intentions or expectations will be achieved. These cautionary statements qualify all forward-looking statements attributable to us or persons acting on our behalf. You are cautioned not to place undue reliance on these forward-looking statements. All subsequent written and oral forward-looking statements concerning other matters addressed in this Report and attributable to us or any person acting on our behalf are expressly qualified in their entirety by the cautionary statements contained or referred to in this Report.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All forward-looking statements speak only as of the date of this Report. Except to the extent required by law, we undertake no obligation to update or revise any forward-looking statements, whether because of new information, future events, a change in events, conditions, circumstances or assumptions underlying such statements, or otherwise. Stockholders and potential investors should not place undue reliance on these forward-looking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ii</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Risk Factors Summary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highlight w:val="white"/>
        </w:rPr>
        <w:t xml:space="preserve">Our business faces significant risks and uncertainties. If any of the following risks are realized, our business, financial condition and results of operations could be materially and adversely affected. You should carefully review and consider the full discussion of our risk factors in </w:t>
      </w:r>
      <w:r>
        <w:rPr>
          <w:rFonts w:ascii="Times New Roman;Times;serif" w:hAnsi="Times New Roman;Times;serif"/>
          <w:sz w:val="20"/>
        </w:rPr>
        <w:t xml:space="preserve">“Item 1A. Risk Factors” </w:t>
      </w:r>
      <w:r>
        <w:rPr>
          <w:rFonts w:ascii="Times New Roman;Times;serif" w:hAnsi="Times New Roman;Times;serif"/>
          <w:sz w:val="20"/>
          <w:highlight w:val="white"/>
        </w:rPr>
        <w:t>of this Report. Set forth below is a summary list of the principal risk factors as of the date of the filing of this Report: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We have incurred both losses and profits in prior periods and there is no assurance we can generate profits in the future; future losses could cause the quoted price of our Common Stock to decline or have a material adverse effect on our financial condition, our ability to pay our debts as they become due, and on our cash flow.</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highlight w:val="white"/>
              </w:rPr>
              <w:t xml:space="preserve">We have </w:t>
            </w:r>
            <w:r>
              <w:rPr>
                <w:rFonts w:ascii="Times New Roman;Times;serif" w:hAnsi="Times New Roman;Times;serif"/>
                <w:b w:val="false"/>
                <w:i w:val="false"/>
                <w:caps w:val="false"/>
                <w:smallCaps w:val="false"/>
                <w:sz w:val="20"/>
              </w:rPr>
              <w:t>a relatively short operating history,</w:t>
            </w:r>
            <w:r>
              <w:rPr>
                <w:caps w:val="false"/>
                <w:smallCaps w:val="false"/>
                <w:highlight w:val="white"/>
              </w:rPr>
              <w:t xml:space="preserve"> </w:t>
            </w:r>
            <w:r>
              <w:rPr>
                <w:rFonts w:ascii="Times New Roman;Times;serif" w:hAnsi="Times New Roman;Times;serif"/>
                <w:b w:val="false"/>
                <w:i w:val="false"/>
                <w:caps w:val="false"/>
                <w:smallCaps w:val="false"/>
                <w:sz w:val="20"/>
                <w:highlight w:val="white"/>
              </w:rPr>
              <w:t>limited capitalization and limited funds available for operations, and we will require additional financing to successfully implement our business strategy. If we are unable to service or repay our indebtedness when due, the applicable lender may execute on the collateral.</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officers or directors may have conflicts of interest and some of our current officers have other interests outside of our business.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We may be unable to attract or retain skilled labor and personnel with experience in the cannabis sector, obtain adequate equipment, parts, and components, and we may be unable to attract, develop, and retain additional employees required for our operations and future developments.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We plan to expand our business and operations into jurisdictions outside of the current jurisdictions where we currently conduct business and doing so will expose us to new risks.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We may not be able to successfully identify and execute future acquisitions or dispositions or to successfully manage the impacts of such transactions on our operations. Resources spent researching acquisitions that are not consummated could materially adversely affect subsequent attempts to locate and acquire other businesses.</w:t>
            </w:r>
          </w:p>
        </w:tc>
      </w:tr>
    </w:tbl>
    <w:tbl>
      <w:tblPr>
        <w:tblW w:w="8001" w:type="dxa"/>
        <w:jc w:val="left"/>
        <w:tblInd w:w="0" w:type="dxa"/>
        <w:tblCellMar>
          <w:top w:w="28" w:type="dxa"/>
          <w:left w:w="28" w:type="dxa"/>
          <w:bottom w:w="28" w:type="dxa"/>
          <w:right w:w="28" w:type="dxa"/>
        </w:tblCellMar>
      </w:tblPr>
      <w:tblGrid>
        <w:gridCol w:w="124"/>
        <w:gridCol w:w="256"/>
        <w:gridCol w:w="76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6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Our sales are difficult to forecast, and changes in consumer spending may harm our business.</w:t>
            </w:r>
          </w:p>
        </w:tc>
      </w:tr>
    </w:tbl>
    <w:tbl>
      <w:tblPr>
        <w:tblW w:w="4761" w:type="dxa"/>
        <w:jc w:val="left"/>
        <w:tblInd w:w="0" w:type="dxa"/>
        <w:tblCellMar>
          <w:top w:w="28" w:type="dxa"/>
          <w:left w:w="28" w:type="dxa"/>
          <w:bottom w:w="28" w:type="dxa"/>
          <w:right w:w="28" w:type="dxa"/>
        </w:tblCellMar>
      </w:tblPr>
      <w:tblGrid>
        <w:gridCol w:w="124"/>
        <w:gridCol w:w="256"/>
        <w:gridCol w:w="43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3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risks from product liability claims.</w:t>
            </w:r>
          </w:p>
        </w:tc>
      </w:tr>
    </w:tbl>
    <w:tbl>
      <w:tblPr>
        <w:tblW w:w="4626" w:type="dxa"/>
        <w:jc w:val="left"/>
        <w:tblInd w:w="0" w:type="dxa"/>
        <w:tblCellMar>
          <w:top w:w="28" w:type="dxa"/>
          <w:left w:w="28" w:type="dxa"/>
          <w:bottom w:w="28" w:type="dxa"/>
          <w:right w:w="28" w:type="dxa"/>
        </w:tblCellMar>
      </w:tblPr>
      <w:tblGrid>
        <w:gridCol w:w="124"/>
        <w:gridCol w:w="256"/>
        <w:gridCol w:w="42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2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dependent on regulatory licensing.</w:t>
            </w:r>
          </w:p>
        </w:tc>
      </w:tr>
    </w:tbl>
    <w:tbl>
      <w:tblPr>
        <w:tblW w:w="7056" w:type="dxa"/>
        <w:jc w:val="left"/>
        <w:tblInd w:w="0" w:type="dxa"/>
        <w:tblCellMar>
          <w:top w:w="28" w:type="dxa"/>
          <w:left w:w="28" w:type="dxa"/>
          <w:bottom w:w="28" w:type="dxa"/>
          <w:right w:w="28" w:type="dxa"/>
        </w:tblCellMar>
      </w:tblPr>
      <w:tblGrid>
        <w:gridCol w:w="124"/>
        <w:gridCol w:w="256"/>
        <w:gridCol w:w="66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6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insurance coverage may be inadequate to cover all significant risk exposure.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Epidemics, pandemics, including the COVID-19 pandemic, and other health crises could adversely affect our business, financial condition, and results of operations.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Failure to execute our strategies and external market conditions could result in impairment of goodwill or other intangible assets, which may negatively impact profitability.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We are required to comply concurrently with various federal, state, and local laws, many of which are unsettled and still developing, in each jurisdiction where we operate. Cannabis remains illegal under federal law, and our business is dependent on state laws pertaining to the cannabis industry.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in our industry is intense, and competition from synthetic production, technological advances, and the illicit cannabis market could impact our ability to succeed.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Access to banking and other financial services is limited in the cannabis industry, and we are not always able to obtain quality services, favorable market rates, or financially advantageous opportunities as compared to businesses in other industries.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Our success is dependent on consumer acceptance of cannabis products generally, and specifically of our products. We, or the cannabis industry more generally, may receive unfavorable publicity or become subject to negative consumer or investor perception.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We are subject to risks related to unsafe concentration of heavy metals and other contaminants in our cannabis and nutrient products, and associated inconsistent treatment under state law.</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iii</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We are subject to risks inherent in an agricultural business, such as reliance on certain resources and utilities and the risk of crop failure.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If we are unable to source raw materials in sufficient quantities, on a timely basis, and at acceptable costs, our ability to manufacture and sell our products may be harmed.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The scientific community has not yet extensively studied the long-term health effects of the use of vaporizer products, and there is uncertainty related to the regulation of vaporization products and certain other consumption accessories. Increased regulatory compliance burdens could have a material adverse impact on our business development efforts and our operations.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The cannabis industry and market, which are relatively new in the United States, could face strong opposition from other industries, may not continue to exist or develop as anticipated, or we may ultimately be unable to succeed in the cannabis industry and market.</w:t>
            </w:r>
          </w:p>
        </w:tc>
      </w:tr>
    </w:tbl>
    <w:tbl>
      <w:tblPr>
        <w:tblW w:w="4836" w:type="dxa"/>
        <w:jc w:val="left"/>
        <w:tblInd w:w="0" w:type="dxa"/>
        <w:tblCellMar>
          <w:top w:w="28" w:type="dxa"/>
          <w:left w:w="28" w:type="dxa"/>
          <w:bottom w:w="28" w:type="dxa"/>
          <w:right w:w="28" w:type="dxa"/>
        </w:tblCellMar>
      </w:tblPr>
      <w:tblGrid>
        <w:gridCol w:w="124"/>
        <w:gridCol w:w="256"/>
        <w:gridCol w:w="44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4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unable to deduct all of our business expenses.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Businesses involved in the cannabis industry are subject to a variety of laws and regulations related to money laundering, financial recordkeeping, and proceeds of crimes. We could be subject to criminal prosecution or civil liabilities under RICO, and there is a risk of civil asset forfeiture of our assets.</w:t>
            </w:r>
          </w:p>
        </w:tc>
      </w:tr>
    </w:tbl>
    <w:tbl>
      <w:tblPr>
        <w:tblW w:w="5901" w:type="dxa"/>
        <w:jc w:val="left"/>
        <w:tblInd w:w="0" w:type="dxa"/>
        <w:tblCellMar>
          <w:top w:w="28" w:type="dxa"/>
          <w:left w:w="28" w:type="dxa"/>
          <w:bottom w:w="28" w:type="dxa"/>
          <w:right w:w="28" w:type="dxa"/>
        </w:tblCellMar>
      </w:tblPr>
      <w:tblGrid>
        <w:gridCol w:w="124"/>
        <w:gridCol w:w="256"/>
        <w:gridCol w:w="55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5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seek the protection of the bankruptcy courts.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seek to raise additional funds, finance acquisitions, or develop strategic relationships by issuing securities that would dilute the ownership of our existing stockholders. Our Preferred Stock ranks senior to our Common Stock but junior to all of our existing and future liabilities in the event of a liquidation, winding up, or dissolution of our business.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for our Common Stock will be particularly volatile given our status as a relatively unknown company with a limited operating history and lack of profits, which could lead to wide fluctuations in our share price, and there is no assurance that there will continue to be an active trading market for our Common Stock. Our stockholders may be unable to sell their Common Stock at or above their purchase price, which may result in substantial losses to such stockholders.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FINRA sales practice requirements may also limit a stockholder’s ability to buy and sell our Common Stock, which could depress the price of our Common Stock.</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hold a license to operate a cannabis business in Colorado and New Mexico, our stockholders may be required to make filings with the Colorado Marijuana Enforcement Division or the New Mexico Cannabis Control Division and we may be forced to redeem shares of our capital stock held by stockholders who are deemed “unsuitable” to be owners of our Company.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Preferred Stock, our right to issue additional preferred stock, our classified Board of Directors, the provisions of our Articles of Incorporation and Bylaws, and the concentration of board appointment rights with a few insiders may delay or prevent a take-over that may not be in the best interests of our stockholders.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and principal stockholders could significantly influence or control matters requiring a stockholder vote, and other stockholders may not have the ability to influence corporate transactions.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classified as a “smaller reporting company,” and we cannot be certain if the reduced disclosure requirements applicable to smaller reporting companies will make our Common Stock and other securities less attractive to investors.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paid dividends on our Common Stock in the past and do not expect to pay dividends on our Common Stock for the foreseeable future. Any return on investment may be limited to potential future appreciation in the value of our Common Stock.</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risks related to our information technology systems, including the risk that we may be the subject of a cyber-attack and the risk that we may be in non-compliance with applicable privacy laws.</w:t>
            </w:r>
          </w:p>
        </w:tc>
      </w:tr>
    </w:tbl>
    <w:tbl>
      <w:tblPr>
        <w:tblW w:w="9516" w:type="dxa"/>
        <w:jc w:val="left"/>
        <w:tblInd w:w="0" w:type="dxa"/>
        <w:tblCellMar>
          <w:top w:w="28" w:type="dxa"/>
          <w:left w:w="28" w:type="dxa"/>
          <w:bottom w:w="28" w:type="dxa"/>
          <w:right w:w="28" w:type="dxa"/>
        </w:tblCellMar>
      </w:tblPr>
      <w:tblGrid>
        <w:gridCol w:w="124"/>
        <w:gridCol w:w="256"/>
        <w:gridCol w:w="91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1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enforce our intellectual property as a result of our participation in the cannabis industry.</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iv</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12" w:name="PARTI_792736"/>
      <w:bookmarkStart w:id="13" w:name="_be87f87b_e7e3_4619_a6aa_5af73ae7d19f"/>
      <w:bookmarkEnd w:id="12"/>
      <w:bookmarkEnd w:id="13"/>
      <w:r>
        <w:rPr>
          <w:rFonts w:ascii="Times New Roman;Times;serif" w:hAnsi="Times New Roman;Times;serif"/>
          <w:b/>
          <w:sz w:val="20"/>
        </w:rPr>
        <w:t>PART I</w:t>
      </w:r>
    </w:p>
    <w:p>
      <w:pPr>
        <w:pStyle w:val="TextBody"/>
        <w:spacing w:before="0" w:after="240"/>
        <w:ind w:left="0" w:right="0" w:hanging="0"/>
        <w:rPr>
          <w:rFonts w:ascii="Times New Roman;Times;serif" w:hAnsi="Times New Roman;Times;serif"/>
          <w:b/>
          <w:sz w:val="20"/>
        </w:rPr>
      </w:pPr>
      <w:bookmarkStart w:id="14" w:name="ITEM1BUSINESS_983298"/>
      <w:bookmarkEnd w:id="14"/>
      <w:r>
        <w:rPr>
          <w:rFonts w:ascii="Times New Roman;Times;serif" w:hAnsi="Times New Roman;Times;serif"/>
          <w:b/>
          <w:sz w:val="20"/>
        </w:rPr>
        <w:t>ITEM 1. BUSINESS.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mallCaps/>
          <w:sz w:val="20"/>
        </w:rPr>
        <w:t>Overview</w:t>
      </w:r>
      <w:r>
        <w:rPr>
          <w:rFonts w:ascii="Times New Roman;Times;serif" w:hAnsi="Times New Roman;Times;serif"/>
          <w:b/>
          <w:sz w:val="20"/>
        </w:rPr>
        <w:t xml:space="preserve">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Medicine Man Technologies, Inc., doing business as Schwazze (“we,” “us,” “our,” the “Company,” or “Schwazze”), is a vertically integrated multi-state cannabis operator focused on growth through expansion and acquisition in existing and new markets. The Company’s business involves the cultivation, manufacturing, distribution, and retail sale of cannabis and cannabis related products. The Company sells products it manufactures and cultivates and a variety of other cannabis goods through wholly-owned retail stores, licensing arrangements, and/or third-party operators and retailers.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focused on organic growth as well as growing through geographic expansion, acquisition, and application for new licenses in the Colorado and New Mexico cannabis markets. The Company is focused on building a premier vertically integrated cannabis company in Colorado and New Mexico with the goal of expanding into new and emerging markets, potentially including new states, compatible with the Company’s business strategy. The Company’s leadership team has deep expertise in mainstream consumer packaged goods, retail, manufacturing, and product development at Fortune 500 companies as well as at companies of various sizes in the cannabis sector. The Company strives to build and maintain a high-performance culture and a focus on analytical decision making, supported by data. Customer-centric thinking inspires the Company’s strategy and provides the foundation for the Company’s operational playbook.</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currently has operations in Colorado and New Mexico. As of March 1, 2023, the Company owned and operated (i) 42 retail dispensaries, 25 in Colorado under the banners Star Buds and Emerald Fields and 17 in New Mexico under the banner R. Greenleaf; (ii) five cultivation facilities, two in Colorado and three in New Mexico; and (iii) two manufacturing facilities, one in Colorado and one in New Mexico.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Schwazze is a reporting issuer in the United States and Canada. The Company’s common stock, par value $0.001 (“Common Stock” ) is listed for trading in the United States on the OTCQX Best Market under the symbol “SHWZ” and also listed for trading in Canada on the NEO Exchange under the symbol “SHWZ.” Schwazze is a smaller reporting company under U.S. federal securities laws and has elected to follow scaled disclosure requirements.</w:t>
      </w:r>
    </w:p>
    <w:p>
      <w:pPr>
        <w:pStyle w:val="TextBody"/>
        <w:spacing w:before="0" w:after="240"/>
        <w:ind w:left="0" w:right="0" w:hanging="0"/>
        <w:rPr>
          <w:rFonts w:ascii="Times New Roman;Times;serif" w:hAnsi="Times New Roman;Times;serif"/>
          <w:b/>
          <w:smallCaps/>
          <w:sz w:val="20"/>
        </w:rPr>
      </w:pPr>
      <w:r>
        <w:rPr>
          <w:rFonts w:ascii="Times New Roman;Times;serif" w:hAnsi="Times New Roman;Times;serif"/>
          <w:b/>
          <w:smallCaps/>
          <w:sz w:val="20"/>
        </w:rPr>
        <w:t xml:space="preserve">History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was incorporated in Nevada on March 20, 2014 under the name Medicine Man Technologies, Inc., and it rebranded its name to Schwazze in April 2020. The Company’s operations began through the licensing of proprietary processes developed, implemented, and practiced at other cannabis facilities relating to the commercial growth, cultivation, marketing and distribution of medical and recreational marijuana pursuant to relevant state laws. The Company continued early expansion with the acquisition of Success Nutrients™ and Pono Publications, including the rights to the book titled “Three A Light” and the proprietary cultivation techniques documented therein, which have been part of the Company’s product and service offerings since the acquisition. The Company then entered into the retail market by way of its acquisition of Two J’s LLC d/b/a The Big Tomato in 2018, a leading supplier of hydroponics and indoor gardening supplies in the Denver metro area.</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Prior to 2020, the Company was focused on cannabis dispensary and cultivation consulting and providing equipment and nutrients to cannabis cultivators. In 2019, the Company made a strategic decision to move toward direct plant-touching operations due to changes in Colorado law expanding permitted investments into plant-touching cannabis companies. The Company developed a plan to roll up a number of direct plant-touching dispensaries, manufacturing, and cultivation facilities with the goal of being one of the largest seed-to-sale cannabis businesses in Colorado. In April 2020, the Company acquired its first plant-touching business, Mesa Organics Ltd. d/b/a Purplebee’s (“Purplebee’s”), which consisted of four dispensaries and one manufacturing infused products facility. Following the acquisition of Purplebee’s, the Company established a substantial retail presence in Colorado with its acquisition of 13 Star Buds branded dispensaries between December 2020 and March 2021 and its acquisition of two Emerald Fields branded dispensaries in February 2022, which it has continued to build through additional acquisitions. The Company entered the New Mexico cannabis market in 2022 when it acquired ten R. Greenleaf branded dispensaries, one manufacturing facility, and four cultivation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facilities. Since its first plant-touching acquisition in April 2020, the Company has completed a number of acquisitions in an effort to expand its market presence and achieve complete vertical integration.</w:t>
      </w:r>
    </w:p>
    <w:p>
      <w:pPr>
        <w:pStyle w:val="TextBody"/>
        <w:spacing w:before="0" w:after="240"/>
        <w:ind w:left="0" w:right="0" w:hanging="0"/>
        <w:jc w:val="both"/>
        <w:rPr>
          <w:rFonts w:ascii="Times New Roman;Times;serif" w:hAnsi="Times New Roman;Times;serif"/>
          <w:b/>
          <w:smallCaps/>
          <w:sz w:val="20"/>
        </w:rPr>
      </w:pPr>
      <w:r>
        <w:rPr>
          <w:rFonts w:ascii="Times New Roman;Times;serif" w:hAnsi="Times New Roman;Times;serif"/>
          <w:b/>
          <w:smallCaps/>
          <w:sz w:val="20"/>
        </w:rPr>
        <w:t>Financings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two classes of stock: common stock, $0.001 par value per share (“Common Stock”) and Series A Cumulative Convertible Preferred Stock, par value $0.001 per share (“Preferred Stock”). The Preferred Stock votes with the Common Stock as a single class on an as-converted basis. Among other terms, each share of Preferred Stock (i) earns an annual dividend of 8% on the “preference amount,” which initially was equal to the $1,000 per-share purchase price and subject to increase, by having such dividends automatically accrete to, and increase, the outstanding preference amount; (ii) is entitled to a liquidation preference under certain circumstances, (iii) is convertible into shares of Common Stock by dividing the preference amount by $1.20 per share under certain circumstances, and (iv) is subject to a redemption right or obligation under certain circumstances.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From June 5, 2019 through May 21, 2020, the Company completed a private placement of shares of Common Stock and warrants to purchase shares of Common Stock for aggregate gross cash proceeds of approximately $18,575,000. In the private placement, the Company issued and sold an aggregate of 9,287,000 shares of Common Stock at a price of $2.00 per share and warrants to purchase an aggregate of 9,287,000 additional shares of Common Stock at an exercise price of $3.50 per share.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16, 2020, the Company issued and sold a Convertible Promissory Note and Security Agreement in the original principal amount of $5,000,000 to Dye Capital &amp; Company, LLC (“Dye Capital”). On February 26, 2021, Dye Capital converted all outstanding amounts under the note into 5,060 shares of Preferred Stock.</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From December 2020 through March 2021 the Company completed a private placement of Preferred Stock for aggregate gross proceeds of $52.7 million dollars. In the private placement, the Company issued and sold an aggregate of 52,700 shares of Preferred Stock at a price of $1,000 per share under securities purchase agreements with Dye Capital Cann Holdings II, LLC (“Dye Cann II”) and CRW Capital Cann Holdings, LLC (“CRW”) as well as subscription agreements with unaffiliated investors.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 xml:space="preserve">On February 26, 2021, the Company entered into a Loan Agreement with SHWZ Altmore, LLC (“Altmore”), as lender, and GGG Partners LLC, as collateral agent (the “Loan Agreement”). Upon execution of the Loan Agreement, the Company received $10,000,000 of loan proceeds. In connection with the Company’s acquisition of Southern Colorado Growers (“SCG”), the Company received an additional $5,000,000 of loan proceeds under the Loan Agreement. The loan carries an interest rate of 15% per annum, and the Company is required to make principal payments in the amount of $750,000 quarterly starting June 1, 2023. The Loan Agreement is secured by a first priority security interest in the assets of PBS Holdco LLC (“PBS”), a wholly owned subsidiary of the company and the Company’s Colorado manufacturing operation, and the SCG Cultivation (the “Altmore Collateral”).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3, 2021, the Company and all its direct and indirect subsidiaries (the “Subsidiary Guarantors”) entered into a Securities Purchase Agreement (the “Note Purchase Agreement”) with 31 accredited investors (the “Note Investors”), pursuant to which the Company agreed to issue and sell to the Note Investors 13% senior secured convertible notes due December 7, 2026 (the “Investor Notes”) in an aggregate principal amount of $95,000,000 for an aggregate purchase price of $93,100,000 (reflecting an original issue discount of $1,900,000, or 2%) in a private placement. On December 7, 2021, the Company consummated the private placement and issued and sold the Investor Notes pursuant to the Indenture entered into among the Company, Chicago Admin, LLC, as collateral agent (the “Indenture Collateral Agent”), Ankura Trust Company, LLC, as trustee (the “Indenture Trustee”), and the Subsidiary Guarantors (the “Indenture”). The Company received net proceeds of approximately $92 million at the closing, after deducting a commission to the placement agent and estimated offering expenses. Such net proceeds are required to be used to fund previously identified acquisitions and other growth initiatives. The Company’s obligations under the Indenture and the Investor Notes are secured by (i) junior security interest in the Altmore Collateral and the Star Buds Collateral, and (ii) a first priority security interest in all assets owned by the Company and the Subsidiary Guarantors on or after December 7, 2021.</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mallCaps/>
          <w:sz w:val="20"/>
        </w:rPr>
      </w:pPr>
      <w:r>
        <w:rPr>
          <w:rFonts w:ascii="Times New Roman;Times;serif" w:hAnsi="Times New Roman;Times;serif"/>
          <w:b/>
          <w:smallCaps/>
          <w:sz w:val="20"/>
        </w:rPr>
        <w:t>Material Acquisitions &amp; Investments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June 3, 2017, the Company issued 7,000,000 shares of its Common Stock as consideration for the acquisitions of Pono Publications Ltd and Success Nutrients, Inc., pursuant to which the Company acquired the rights to its proprietary cultivation techniques codified in the proprietary work Three A Light and nutrients brand line offered by Success Nutrients.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July 26, 2017, the Company issued 2,258,065 shares of its Common Stock for 100% ownership of Denver Consulting Group, Inc., a cannabis industry consultant that expanded the Company’s consulting offerings.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September 20, 2018, the Company issued 1,933,329 shares of its Common Stock and paid approximately $307,000 in cash for 100% ownership of Two Js LLC d/b/a The Big Tomato (“The Big Tomato”), the Company’s retail store that provides the industry with cultivation supplies and equipment.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Between December 17, 2020 and March 3, 2021, the Company acquired 13 retail dispensaries and one cultivation facility located primarily in and around Denver, Colorado branded under the Star Buds banner. On December 17, 2020, the Company acquired the assets of (i) Starbuds Pueblo LLC, and (ii) Starbuds Alameda LLC. On December 18, 2020, the Company acquired the assets of (i) Starbuds Commerce City LLC, (ii) Lucky Ticket LLC, (iii) Starbuds Niwot LLC, and (iv) LM MJC LLC. On February 4, 2021, the Company acquired the assets of (i) Colorado Health Consultants LLC, and (ii) Mountain View 44th LLC. On March 2, 2021, the Company acquired the assets of (i) Starbuds Aurora LLC, (ii) SB Arapahoe LLC, (iii) Citi-Med LLC, (iv) Starbuds Louisville LLC, and (v) KEW LLC. The Company refers to this series of acquisitions as the “Star Buds Acquisition” and each of the aforementioned entities generically as “Star Buds” unless otherwise specified. In connection with the Star Buds Acquisition, the Company also acquired the exclusive right to use the Star Buds tradename in Colorado. The purchase price for the Star Buds Acquisitions was paid in cash, Preferred Stock, and deferred payments referred to in this report as “seller note(s)”. The seller notes are secured by a first priority security interest in substantially all of the assets owned by SBUD LLC, a wholly-owned subsidiary of the Company that acquired the Star Buds assets (the “Star Buds Collateral”). The aggregate purchase price for the Star Buds Acquisition was $118,000,000, paid as follows: (i) $44,250,000 in cash at the applicable closings, (ii) $44,250,000 in deferred cash, also referred to in this report as “seller note(s),” (iii) 29,506 shares of Preferred Stock, of which 25,078 shares were issued at the applicable closings and 4,428 shares were held back by the Company as collateral for potential indemnification obligations pursuant to the applicable purchase agreements. In addition, the Company issued warrants to purchase an aggregate of 5,531,250 shares of Common Stock to the sellers under the applicable purchase agreement.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July 21, 2021, the Company acquired the cultivation assets and real property of SCG, which included approximately 36 acres of real property with outdoor cultivation capacity located in Huerfano County, Colorado, for a total purchase price of approximately $5.8 million in cash and 2,197,978 shares of Common Stock.</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21, 2021, the Company, through its wholly-owned subsidiary Double Brow, LLC (“Double Brow”), acquired one retail dispensary located in Glendale, Colorado from Smoking Gun, LLC (“SG”) and Smoking Gun Land Company, LLC (“SG Land,” and together with SG, “Smoking Gun”) for a total purchase price of $4 million in cash and 100,000 shares of Common Stock.</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January 26, 2022, the Company, through Double Brow, acquired two retail dispensaries located in Boulder, Colorado from BG3 Investments, LLC, d/b/a Drift (“Drift”), and Black Box Licensing, LLC pursuant to an Asset Purchase Agreement entered into on June 25, 2021 with Double Brow, Drift, Black Box Licensing, LLC and Brian Searchinger, the sole equity holder of Drift and an equity holder of Black Box Licensing, LLC, as amended on October 28, 2021 (the “Drift Purchase Agreement”). The acquired assets include (i) the assets used in or related to Drift’s business of distributing, marketing, and selling recreational cannabis products and (ii) the leases for two retail dispensaries located in Boulder, Colorado. The aggregate closing consideration for the acquisition was (i) $1.92 million in cash, and (ii) 1,146,099 shares of Common Stock issued to Drift.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February 9, 2022, the Company, through its wholly-owned subsidiary Emerald Fields Merger Sub, LLC (“Emerald Fields Sub”), acquired two retail dispensaries located in Manitou Springs, Colorado and Glendale, Colorado branded under the banner Emerald Fields pursuant to the terms of an Agreement and Plan of Merger, dated November 15, 2021, with Emerald Fields Sub, MCG, LLC (“MCG”), MCG’s owners, and Donald Douglas Burkhalter and James Gulbrandsen in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their capacity as the Member Representatives, as amended on February 9, 2022 (the “MCG Merger Agreement”). Under the MCG Merger Agreement, MCG merged with and into Emerald Fields Sub, with Emerald Fields Sub continuing as the surviving entity. The aggregate closing consideration for the merger was $29 million, consisting of: (i) $16.0 million in cash; (ii) 6,547,239 shares of the Common Stock issued to the members of MCG; and (iii) an aggregate of $2.32 million was held back as collateral for potential claims for indemnification under the MCG Merger Agreement as follows: (y) $1.39 million in cash and (z) 569,325 shares of Common Stock. The MCG Merger Agreement provides for the escrowed portion of the purchase price (less any claims for indemnity) to be released 50% on February 9, 2023 and 50% on August 9, 2023.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February 8, 2022, the Company entered the New Mexico market with its acquisition of ten retail dispensaries located throughout the State of New Mexico operating under the banner R. Greenleaf, one manufacturing facility, and four cultivation facilities under the terms of a Purchase Agreement, dated November 29, 2021, with Nuevo Holding, LLC and Nuevo Elemental Holding, LLC, both of which are indirect wholly-owned subsidiaries of the Company (collectively, the “Nuevo Purchasers”), Reynold Greenleaf &amp; Associates, LLC (“RGA”), Elemental Kitchen and Laboratories, LLC (“Elemental”), the equity holders of RGA and Elemental, and William N. Ford, in his capacity as Representative, as amended on February 8, 2022 (the “Nuevo Purchase Agreement”). The Nuevo Purchasers acquired substantially all of the operating assets of RGA and all of the equity of Elemental and assumed specified liabilities of RGA and Elemental. Pursuant to existing laws and regulations in New Mexico, the cannabis licenses for certain facilities managed by RGA are held by two not-for-profit entities: Medzen Services, Inc. (“Medzen”) and R. Greenleaf Organics, Inc. (“R. Greenleaf” and together with Medzen, the “NFPs”). At the closing, Nuevo Holding, LLC gained control over the NFPs by becoming the sole member of each of the NFPs and replacing the directors of the two NFPs with the Company’s Chief Executive Officer, the Company’s Chief Financial Officer, and the Company’s General Counsel. The business acquired from RGA consists of serving as a branding, marketing and consulting company, licensing certain intellectual property related to the business of THC-based products to Elemental and the NFPs, providing consulting services to Elemental and the NFPs, and supporting Elemental and the NFPs to promote, support, and develop sales and distribution of products. Elemental is engaged in the business of creating and distributing cannabis-derived products to licensed cannabis producers. Elemental and the NFPs are in the business of cultivating, processing and dispensing marijuana in New Mexico, with 10 dispensaries, four cultivation facilities (three operating and one under development) and one manufacturing facility. The dispensaries are located in Albuquerque, Santa Fe, Roswell, Las Cruces, Grants and Las Vegas, New Mexico. The cultivation and manufacturing facilities are located in Albuquerque, New Mexico and consists of approximately 70,000 square feet of cultivation and 6,000 square feet of manufacturing. On the same date, Nuevo Holding, LLC entered into two separate Call Option Agreements containing substantially identical terms with each of the NFPs. Each Call Option Agreement gives Nuevo Holding, LLC the right to acquire 100% of the equity or 100% of the assets of the applicable NFP for a purchase price of $100 if, in the future, the New Mexico legislature adopts legislation that permits a NFP to (i) convert to a for-profit corporation and maintain its cannabis license or (ii) sell its assets (including its cannabis license) to a for-profit corporation. The aggregate closing consideration for the acquisitions was approximately (i) $32.2 million in cash,  which included a $4.5 million cash earnout based on EBITDA of the acquired businesses for the calendar year 2021, and (ii) $17.0 million in the form of an unsecured promissory note issued by Nuevo Holding, LLC to RGA, the principal amount of which is payable on February 8, 2025 with interest payable monthly at an annual interest rate of 5% (the “Nuevo Note”).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February 15, 2022, the Company acquired substantially all of the operating assets of Brow 2, LLC (“Brow”) related to its indoor cannabis cultivation operations located in Denver, Colorado (other than assets expressly excluded) and assumed certain liabilities for contracts acquired pursuant to the terms of the Asset Purchase Agreement, dated August 20, 2021, among Double Brow, Brow, and Brian Welsh, as the owner of Brow (the “Brow Purchase Agreement”). The acquired assets included a 37,000 square foot building, the associated lease and equipment designed for indoor cultivation. After purchase price adjustments for pre-closing inventory, the aggregate consideration was $6.7 million, of which Double Brow paid $6.2 million at closing and held back $500,000 as collateral for potential claims for indemnification under the Brow Purchase Agreement. Any of the purchase price held back and not used to satisfy indemnification claims will be released on February 15, 2023 plus 3% simple interest.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May 31, 2022, the Company acquired one retail dispensary operating under the banner Urban Dispensary and one cultivation facility, each located in Denver, Colorado, pursuant to an Asset and Personal Goodwill Purchase Agreement (the “Urban Dispensary Purchase Agreement”) with Double Brow, Urban Health &amp; Wellness, Inc. d/b/a Urban Dispensary (“Urban Dispensary”), Productive Investments, LLC (“Productive Investments”), and Patrick Johnson (together with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Productive Investments, the “Urban Equityholders”), pursuant to which the Purchaser acquired (i) all of Urban Dispensary’s assets used or held for use in Urban Dispensary’s business of owning and operating a retail marijuana store and a grow facility, each located in Denver, Colorado, and (ii) all of Equityholders’ personal goodwill arising from Equityholders’ independent, separate, individual and personal efforts relating to Urban Dispensary’s business on the terms and subject to the conditions set forth in the Purchase Agreement (the “Urban Dispensary Purchase”), and assume obligations under contracts acquired as part of the Urban Dispensary Purchase. The aggregate consideration for the Urban Dispensary Purchase was $1.32 million in cash and 1,230,534 shares of Common Stock. The Company held back $288,000 of the stock consideration at closing as collateral for potential claims for indemnification from Urban Dispensary under the Urban Dispensary Purchase Agreement. Any portion of the held back consideration not used to satisfy indemnification claims will be released to Urban Dispensary on November 30, 2023.</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July 13, 2022, the Company entered into a strategic relationship with Mission Holdings US, Inc. (“Mission Holdings”), an entity affiliated with MCG, by purchasing a non-controlling equity interest in Mission Holdings. Mission Holdings offers various cannabis products and brands, including proprietary cannabis-infused gummies and premium flower for medical and recreational sale in Colorado and California. The Company has the right to acquire 100% of the equity interest in Mission Holdings on or after the three-year anniversary of the investment.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December 15, 2022, the Company acquired substantially all of the operating assets associated with two retail dispensaries located in Denver, Colorado and Aurora, Colorado owned by Lightshade Labs LLC (“Lightshade”) pursuant to the terms of two Asset Purchase Agreements, dated September 9, 2022, among Double Brow, the Company, Lightshade, and Lightshade’s owners, </w:t>
      </w:r>
      <w:r>
        <w:rPr>
          <w:rFonts w:ascii="Times New Roman;Times;serif" w:hAnsi="Times New Roman;Times;serif"/>
          <w:sz w:val="20"/>
          <w:highlight w:val="white"/>
        </w:rPr>
        <w:t xml:space="preserve">Thomas Van Alsburg, Steve Brooks, and John Fritzel, as amended on December 15, 2021 </w:t>
      </w:r>
      <w:r>
        <w:rPr>
          <w:rFonts w:ascii="Times New Roman;Times;serif" w:hAnsi="Times New Roman;Times;serif"/>
          <w:sz w:val="20"/>
        </w:rPr>
        <w:t>(the “Lightshade Purchase Agreements”)</w:t>
      </w:r>
      <w:r>
        <w:rPr>
          <w:rFonts w:ascii="Times New Roman;Times;serif" w:hAnsi="Times New Roman;Times;serif"/>
          <w:sz w:val="20"/>
          <w:highlight w:val="white"/>
        </w:rPr>
        <w:t xml:space="preserve">. After purchase price adjustments for transaction and related expenses, the aggregate consideration for the acquisition was approximately $2.75 million, all of which was paid in cash. The Company deposited $300,000 of the purchase price in escrow as collateral for potential claims for indemnification from Lightshade under the Lightshade Purchase Agreements. Any of the purchase price placed in escrow and not used to satisfy indemnification claims will be released on December 15, 2023. </w:t>
      </w:r>
    </w:p>
    <w:p>
      <w:pPr>
        <w:pStyle w:val="TextBody"/>
        <w:spacing w:before="0" w:after="240"/>
        <w:ind w:left="0" w:right="0" w:hanging="0"/>
        <w:jc w:val="both"/>
        <w:rPr>
          <w:rFonts w:ascii="Times New Roman;Times;serif" w:hAnsi="Times New Roman;Times;serif"/>
          <w:b/>
          <w:smallCaps/>
          <w:sz w:val="20"/>
        </w:rPr>
      </w:pPr>
      <w:r>
        <w:rPr>
          <w:rFonts w:ascii="Times New Roman;Times;serif" w:hAnsi="Times New Roman;Times;serif"/>
          <w:b/>
          <w:smallCaps/>
          <w:sz w:val="20"/>
        </w:rPr>
        <w:t>Current Operations and Developments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Operating Segments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operations are organized into three different segments as follows: (i) Retail, consisting of retail locations for sale of cannabis products; (ii) Wholesale, consisting of manufacturing, cultivation and sale of both wholesale cannabis and non-cannabis products; and (iii) Other, consisting of all other income and expenses, which primarily includes those related to in-store advertising and general corporate operations. Each of our operating segments are discussed in further detail below.</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SEGMENT 1 –Retail – This segment currently includes our Retail dispensaries located in Colorado and New Mexico.</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December 31, 2022, the Company owned and operated 25 retail cannabis dispensaries in the State of Colorado—19 retail dispensaries under the banner name Star Buds and six retail dispensaries under the banner name Emerald Fields—and  16 retail cannabis dispensaries in the State of New Mexico, all under the banner name R. Greenleaf.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highlight w:val="white"/>
        </w:rPr>
        <w:t>Our dispensaries sell a wide variety of cannabis products directly to tens of thousands of consumers. These products include loose flower, concentrates, edibles, pre-rolls, topicals, infused beverages, and other associated cannabis products produced by a large variety of cannabis vendors. In Colorado, our retail dispensaries sell products sourced from our Wholesale segment, investment partners, licensing arrangements, and other third party suppliers.</w:t>
      </w:r>
      <w:r>
        <w:rPr>
          <w:rFonts w:ascii="Times New Roman;Times;serif" w:hAnsi="Times New Roman;Times;serif"/>
          <w:sz w:val="20"/>
        </w:rPr>
        <w:t xml:space="preserve"> </w:t>
      </w:r>
      <w:r>
        <w:rPr>
          <w:rFonts w:ascii="Times New Roman;Times;serif" w:hAnsi="Times New Roman;Times;serif"/>
          <w:sz w:val="20"/>
          <w:highlight w:val="white"/>
        </w:rPr>
        <w:t xml:space="preserve">In New Mexico, our retail dispensaries sell products predominantly sourced through internal wholesale operations and a small percentage of third party products.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SEGMENT 2 – Wholesale – This segment includes consolidated Wholesale, Cultivation, and Manufacturing. </w:t>
      </w:r>
    </w:p>
    <w:p>
      <w:pPr>
        <w:pStyle w:val="TextBody"/>
        <w:spacing w:before="0" w:after="240"/>
        <w:ind w:left="0" w:right="0" w:hanging="0"/>
        <w:rPr>
          <w:rFonts w:ascii="Times New Roman;Times;serif" w:hAnsi="Times New Roman;Times;serif"/>
          <w:b w:val="false"/>
          <w:sz w:val="20"/>
        </w:rPr>
      </w:pPr>
      <w:r>
        <w:rPr>
          <w:rFonts w:ascii="Times New Roman;Times;serif" w:hAnsi="Times New Roman;Times;serif"/>
          <w:b w:val="false"/>
          <w:sz w:val="20"/>
        </w:rPr>
        <w:t>The Company supports its retail operations and growth through the operation of wholly-owned manufacturing and cultivation facilities. The Company’s wholly-owned manufacturing and cultivation facilities also engage with the wholesale markets in Colorado and New Mexico. The Company’s wholesale business includes cannabis and non-cannabis operations, although the Company’s cannabis wholesale operations are more substantial than its non-cannabis activities.</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Wholesale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participates in the wholesale market through both its cultivation and manufacturing operations based on market conditions and internal needs.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wholesale cannabis market is influenced by a number of factors outside of the Company’s control largely due to the cyclical nature of the agricultural industry. The Company has acquired robust cultivation capacity such that it can expand production and sell its cultivation products to the wholesale market during certain market cycles when advantageous to do so, and it also has the ability to scale back production when the wholesale market is less profitable.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manufacturing operations are used to extract oil from the cannabis plant and refine the oil into distillate oil.  It sells this distillate oil to other product manufacturers. Like its cultivation facilities, the Company can increase or curtail its production capacity to adjust to market conditions.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Lastly, the Company also supplies the wholesale markets through the sale of cannabis cultivation materials, nutrients, and equipment. The Company sells a variety of indoor gardening supplies and hydroponics through its online and retail store, The Big Tomato, located in Aurora, Colorado. While these wholesale activities were a meaningful component of the Company’s operations in the past, the Company’s business strategy has trended away from these revenue sources in recent years due to growth and expansion of the Company’s retail, manufacturing, and cultivation activities as well as the impact of the greater wholesale market downturn in Colorado and nationwide. Management is assessing the ongoing value and anticipated future utilization of these particular wholesale operations. </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 xml:space="preserve">Cultivation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December 31, 2022, the Company owned eight cultivation facilities: four in Colorado and four in New Mexico. The Company leverages its cultivating capacity in both states where it operates to participate in the wholesale market and/or support internal operations based on market conditions and profitability in wholesale transactions.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operated four active cultivations in Colorado throughout 2022, but it ceased operations at two of its facilities located in Denver, Colorado during the year to consolidate production activities and drive synergies. The Company maintains four active cultivation licenses in Colorado as of March 1, 2023.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Company’s primary cultivation facilities in Colorado include (i) a 37,000 square foot building located in Denver, Colorado leased by the Company for indoor cultivation (the “Brow Cultivation”) and (ii) 36 acres of land in Huerfano County, Colorado owned by the Company and designed for indoor and outdoor cultivation (the “SCG Cultivation”). The SCG Cultivation includes a greenhouse and 24 hoop houses, and the Company is expanding the SCG Cultivation to include additional hoop houses for increased outdoor cultivation capacity.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operated four active indoor cultivations in New Mexico during 2022, and it discontinued operations at one of its cultivation facilities located in Albuquerque, New Mexico during 2022 to consolidate production activities and drive synergies. The Company maintains three active cultivation licenses in New Mexico as of March 1, 2023.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Company’s primary cultivation facility in New Mexico is a 40,000 square foot building located in Albuquerque, New Mexico (the “Edith Grow”). The Company completed the first phase of planned renovation of the Edith Grow in 2022 with the goal of completing additional phases of construction and renovation to expand the cultivation capacity of the Edith Grow for increased synergies and cost savings. The Edith Grow, together with the Company’s other indoor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cultivation facilities in New Mexico, primarily support Elemental’s manufacturing operations and the New Mexico Retail segment operations.</w:t>
      </w:r>
    </w:p>
    <w:p>
      <w:pPr>
        <w:pStyle w:val="TextBody"/>
        <w:spacing w:before="0" w:after="240"/>
        <w:ind w:left="0" w:right="0" w:hanging="0"/>
        <w:rPr>
          <w:rFonts w:ascii="Times New Roman;Times;serif" w:hAnsi="Times New Roman;Times;serif"/>
          <w:b w:val="false"/>
          <w:i/>
          <w:sz w:val="20"/>
        </w:rPr>
      </w:pPr>
      <w:r>
        <w:rPr>
          <w:rFonts w:ascii="Times New Roman;Times;serif" w:hAnsi="Times New Roman;Times;serif"/>
          <w:b w:val="false"/>
          <w:i/>
          <w:sz w:val="20"/>
        </w:rPr>
        <w:t>Manufacturing and Extraction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December 31, 2022, the Company owned and operated two manufacturing facilities: one in Colorado and one in New Mexico.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manufacturing facilities primarily conduct cannabis extraction, distillation, manufacturing, and infusion operations for incorporation into retail cannabis products or sale through internal and external channels. The Company purchases cannabis biomass and trim to support manufacturing operations both internally from its cultivation operations as well as from a number of different vendors across Colorado and New Mexico. The Company maintains the ability to strategically adjust the amount of materials sourced from internal and external sources based on market conditions due to vertical integration in both states.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Company’s Colorado manufacturing facility is owned and operated by PBS. PBS leases a facility in Pueblo, Colorado containing approximately 7,000 square feet of space where PBS conducts ethanol extraction, distillation, and manufacturing of cannabis plants and biomass for sale and distribution to external buyers and internally to support the Company’s retail segment. PBS also supports the Colorado Retail segment by processing and packaging products for retail distribution from time to time. The Company acquires cannabis biomass and trim to support PBS’s manufacturing operations both internally from its cultivation operations at SCG and the Brow Cultivation as well as from a number of different vendors across Colorado. However, manufacturing operations in Colorado source raw materials from external vendors to a greater degree than manufacturing operations in New Mexico due to pricing and market conditions. PBS produces vapes, cartridges, and syringes for internal and external distribution, which includes the Company’s proprietary brand of vape products: Purplebee’s and Autograph by Purplebee’s.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Company’s New Mexico manufacturing facility is owned and operated by Elemental, a wholly-owned subsidiary of the Company. Elemental leases a manufacturing facility located in Albuquerque, New Mexico representing approximately 6,000 square feet where it performs extraction, infusion, and manufacturing operations. Elemental produces a number of cannabis products that are sold in R. Greenleaf dispensaries, including edibles and vapes. Elemental primarily sources the raw materials used for its operations through the Company’s cultivation and wholesale operations due to increased vertical integration in New Mexico, although Elemental does purchase biomass and trim from external sources to support its operations. </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SEGMENT 3 – Other – This segment includes General Corporate and Other.</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 xml:space="preserve">General Corporate and Other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Other segment encompasses the Company’s general corporate operations not otherwise categorized as retail or wholesale, and it also includes revenue from in-store advertisements and certain vendor promotions. This segment also includes the Company’s research and development subsidiary, Schwazze Biosciences LLC, which is committed to pursuing a program of basic and applied research focused on bringing consumers, as well as pets, the most beneficial properties of the cannabis plant. </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 xml:space="preserve">Marketing </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Company markets its products, retail establishments and services to consumers through a variety of channels, including: digital marketing efforts, print advertising, outdoor billboards, coupons, a consolidated loyalty program across all states and retail banners, ecommerce websites, budtender appreciation events, universal gift card program, “search engine optimization” activities, grand opening or newly remodeled store events, brand pop-up events, and in-store promotions. In 2022, the Company’s Colorado retail banner, Star Buds, was the first cannabis sponsor of a professional ultimate frisbee sporting team, The Colorado Summit.</w:t>
      </w:r>
    </w:p>
    <w:p>
      <w:pPr>
        <w:pStyle w:val="TextBody"/>
        <w:spacing w:before="0" w:after="0"/>
        <w:ind w:left="0" w:right="0" w:hanging="0"/>
        <w:rPr/>
      </w:pPr>
      <w:r>
        <w:rPr/>
        <w:t>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Schwazze has created and maintains a database of marketing collateral materials and resources used for the Schwazze parent company brand, its in-house products/brands, and across all retail banners in the states in which it operates. The Company also coalesces interest and a presence within the industry through participation in various industry events, building relationships with key regulatory and government affairs officials, and through direct promotion.</w:t>
      </w:r>
    </w:p>
    <w:p>
      <w:pPr>
        <w:pStyle w:val="TextBody"/>
        <w:spacing w:before="0" w:after="0"/>
        <w:ind w:left="0" w:right="0" w:hanging="0"/>
        <w:rPr/>
      </w:pPr>
      <w:r>
        <w:rPr/>
        <w:t> </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Company continues to enhance its online presence via its house of brands website, http://www.schwazze.com, and its investor relations website, http://www.ir.schwazze.com. During 2022, the Company revamped its website to include an overview of its retail and wholesale brands, features on management and its Board of Directors, latest investor relations presentations, links to media, analyst coverage and press relations, Securities and Exchange Commission (“SEC”) reports, and our industry partners.</w:t>
      </w:r>
    </w:p>
    <w:p>
      <w:pPr>
        <w:pStyle w:val="TextBody"/>
        <w:spacing w:before="0" w:after="240"/>
        <w:ind w:left="0" w:right="0" w:hanging="0"/>
        <w:jc w:val="both"/>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Intellectual Property, Brand Development, and Licensing</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operational success and business strategy incorporates various pieces of proprietary intellectual property, including trademarks, trade names, and copyrights owned by the Company and licensing of third party intellectual property pursuant to licensing agreements. We also acknowledge that certain protections normally available to us related to design or other utility patents in the cannabis industry are not currently enforceable under federal law. We attempt to protect our intellectual property via the deployment of robust non-disclosure agreements with both prospective partners, employees, and licensees prior to engagement. We also register our owned intellectual property in the states where we operate in an effort to enhance protection against infringement. There are no assurances that these non-disclosure agreements will prevent a third party from infringing upon our rights, and we also cannot enforce our owned cannabis-related intellectual property outside of the states of Colorado and New Mexico where our marks are registered. We intend to register for federal patent and trademark protection that is otherwise currently prohibited if and when the federal government eliminates the cannabis prohibition.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Schwazze is actively building a house of brands that includes both our active retail banners as well as products for sale at both the retail and wholesale level, manufacturing all products and controlling the quality for such brands through its vertical integration. The Company has developed three internally owned product brands as of March 1, 2023. These brands include: (i) Purplebee’s and (ii) Autograph by Purplebee’s, the Company’s distillate vaporizer product line, and (iii) EDW (Every Day Weed), which is a pre-packaged pouch of loose-ground flower offered in half-ounce increments at an affordable price point. Purplebee’s, Autograph by Purplebee’s, and EDW are available for sale in Indica, Sativa and Hybrid strains. </w:t>
      </w:r>
    </w:p>
    <w:p>
      <w:pPr>
        <w:pStyle w:val="TextBody"/>
        <w:spacing w:before="0" w:after="0"/>
        <w:ind w:left="0" w:right="0" w:hanging="0"/>
        <w:rPr/>
      </w:pPr>
      <w:r>
        <w:rPr/>
        <w:t>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to internal brand development efforts, we also enter into advantageous licensing agreements with other cannabis companies with recognizable brand value to maximize the success of our product offerings and sales. Schwazze has an exclusive licensing partnership with the premium California-based cannabis flower brand, Lowell Herb Company, which gives the Company exclusive right to manufacture, distribute and promote Lowell Farms products in the Colorado and New Mexico markets. Current products include: Quicks, Classics and Singles. Quicks and Classics are sold in 3.5g multi-units packs in blends of strains of indica, sativa, and hybrid dominances, while “singles” are 1g, single strain pre-rolls. The Lowell Farms brand is promoted through in-store advertising and promotion, customer loyalty programming, and budtender appreciation events. We also maintain a non-exclusive branding partnership with Mission Holdings pursuant to which we sell Mission Holdings’ proprietary brand of low-cost edibles, Nfuzed gummies, and premium flower, Level 10, in our retail channels in the states where we operate.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also acquired a number of brands through previous acquisitions of existing dispensaries with varying degrees of brand recognition and loyalty that we actively utilize in our house of brands. In connection with the Star Buds acquisitions, we acquired the exclusive right to use the Star Buds brand in Colorado pursuant to a licensing agreement with the owners of the Star Buds intellectual property. We also acquired all of the rights in and interest to the Emerald Fields intellectual property owned by MCG that was acquired pursuant to the MGC Merger Agreement. In Colorado, we currently operate all of our retail dispensaries under the Emerald Fields or Star Buds banner. In New Mexico, we acquired the intellectual property associated with R. Greenleaf and operate all existing dispensaries under the R. Greenleaf banner.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i/>
          <w:sz w:val="20"/>
        </w:rPr>
        <w:t>Government Regulations</w:t>
      </w:r>
      <w:r>
        <w:rPr>
          <w:rFonts w:ascii="Times New Roman;Times;serif" w:hAnsi="Times New Roman;Times;serif"/>
          <w:b/>
          <w:sz w:val="20"/>
        </w:rPr>
        <w:t xml:space="preserve">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Below is a discussion of the federal and state-level U.S. regulatory regimes in those jurisdictions where we are currently involved in the cannabis industry. The Company is directly engaged in the manufacture, possession, sale, and distribution of cannabis in the adult-use cannabis marketplace in the State of Colorado and the State of New Mexico.</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Federal Regulations</w:t>
      </w:r>
    </w:p>
    <w:p>
      <w:pPr>
        <w:pStyle w:val="TextBody"/>
        <w:spacing w:before="0" w:after="240"/>
        <w:ind w:left="0" w:right="113" w:hanging="0"/>
        <w:jc w:val="both"/>
        <w:rPr>
          <w:rFonts w:ascii="Times New Roman;Times;serif" w:hAnsi="Times New Roman;Times;serif"/>
          <w:sz w:val="20"/>
        </w:rPr>
      </w:pPr>
      <w:bookmarkStart w:id="15" w:name="_bookmark0"/>
      <w:bookmarkStart w:id="16" w:name="_bookmark1"/>
      <w:bookmarkStart w:id="17" w:name="_bookmark2"/>
      <w:bookmarkEnd w:id="15"/>
      <w:bookmarkEnd w:id="16"/>
      <w:bookmarkEnd w:id="17"/>
      <w:r>
        <w:rPr>
          <w:rFonts w:ascii="Times New Roman;Times;serif" w:hAnsi="Times New Roman;Times;serif"/>
          <w:sz w:val="20"/>
        </w:rPr>
        <w:t>The United</w:t>
      </w:r>
      <w:r>
        <w:rPr>
          <w:rFonts w:ascii="Times New Roman;Times;serif" w:hAnsi="Times New Roman;Times;serif"/>
          <w:spacing w:val="9"/>
          <w:sz w:val="20"/>
        </w:rPr>
        <w:t xml:space="preserve"> </w:t>
      </w:r>
      <w:r>
        <w:rPr>
          <w:rFonts w:ascii="Times New Roman;Times;serif" w:hAnsi="Times New Roman;Times;serif"/>
          <w:sz w:val="20"/>
        </w:rPr>
        <w:t>States</w:t>
      </w:r>
      <w:r>
        <w:rPr>
          <w:rFonts w:ascii="Times New Roman;Times;serif" w:hAnsi="Times New Roman;Times;serif"/>
          <w:spacing w:val="7"/>
          <w:sz w:val="20"/>
        </w:rPr>
        <w:t xml:space="preserve"> </w:t>
      </w:r>
      <w:r>
        <w:rPr>
          <w:rFonts w:ascii="Times New Roman;Times;serif" w:hAnsi="Times New Roman;Times;serif"/>
          <w:sz w:val="20"/>
        </w:rPr>
        <w:t>federal</w:t>
      </w:r>
      <w:r>
        <w:rPr>
          <w:rFonts w:ascii="Times New Roman;Times;serif" w:hAnsi="Times New Roman;Times;serif"/>
          <w:spacing w:val="7"/>
          <w:sz w:val="20"/>
        </w:rPr>
        <w:t xml:space="preserve"> </w:t>
      </w:r>
      <w:r>
        <w:rPr>
          <w:rFonts w:ascii="Times New Roman;Times;serif" w:hAnsi="Times New Roman;Times;serif"/>
          <w:sz w:val="20"/>
        </w:rPr>
        <w:t>government</w:t>
      </w:r>
      <w:r>
        <w:rPr>
          <w:rFonts w:ascii="Times New Roman;Times;serif" w:hAnsi="Times New Roman;Times;serif"/>
          <w:spacing w:val="7"/>
          <w:sz w:val="20"/>
        </w:rPr>
        <w:t xml:space="preserve"> </w:t>
      </w:r>
      <w:r>
        <w:rPr>
          <w:rFonts w:ascii="Times New Roman;Times;serif" w:hAnsi="Times New Roman;Times;serif"/>
          <w:sz w:val="20"/>
        </w:rPr>
        <w:t>regulates</w:t>
      </w:r>
      <w:r>
        <w:rPr>
          <w:rFonts w:ascii="Times New Roman;Times;serif" w:hAnsi="Times New Roman;Times;serif"/>
          <w:spacing w:val="7"/>
          <w:sz w:val="20"/>
        </w:rPr>
        <w:t xml:space="preserve"> </w:t>
      </w:r>
      <w:r>
        <w:rPr>
          <w:rFonts w:ascii="Times New Roman;Times;serif" w:hAnsi="Times New Roman;Times;serif"/>
          <w:sz w:val="20"/>
        </w:rPr>
        <w:t>drugs</w:t>
      </w:r>
      <w:r>
        <w:rPr>
          <w:rFonts w:ascii="Times New Roman;Times;serif" w:hAnsi="Times New Roman;Times;serif"/>
          <w:spacing w:val="7"/>
          <w:sz w:val="20"/>
        </w:rPr>
        <w:t xml:space="preserve"> </w:t>
      </w:r>
      <w:r>
        <w:rPr>
          <w:rFonts w:ascii="Times New Roman;Times;serif" w:hAnsi="Times New Roman;Times;serif"/>
          <w:sz w:val="20"/>
        </w:rPr>
        <w:t>through</w:t>
      </w:r>
      <w:r>
        <w:rPr>
          <w:rFonts w:ascii="Times New Roman;Times;serif" w:hAnsi="Times New Roman;Times;serif"/>
          <w:spacing w:val="9"/>
          <w:sz w:val="20"/>
        </w:rPr>
        <w:t xml:space="preserve"> </w:t>
      </w:r>
      <w:r>
        <w:rPr>
          <w:rFonts w:ascii="Times New Roman;Times;serif" w:hAnsi="Times New Roman;Times;serif"/>
          <w:sz w:val="20"/>
        </w:rPr>
        <w:t>the</w:t>
      </w:r>
      <w:r>
        <w:rPr>
          <w:rFonts w:ascii="Times New Roman;Times;serif" w:hAnsi="Times New Roman;Times;serif"/>
          <w:spacing w:val="8"/>
          <w:sz w:val="20"/>
        </w:rPr>
        <w:t xml:space="preserve"> </w:t>
      </w:r>
      <w:r>
        <w:rPr>
          <w:rFonts w:ascii="Times New Roman;Times;serif" w:hAnsi="Times New Roman;Times;serif"/>
          <w:sz w:val="20"/>
        </w:rPr>
        <w:t>federal</w:t>
      </w:r>
      <w:r>
        <w:rPr>
          <w:rFonts w:ascii="Times New Roman;Times;serif" w:hAnsi="Times New Roman;Times;serif"/>
          <w:spacing w:val="7"/>
          <w:sz w:val="20"/>
        </w:rPr>
        <w:t xml:space="preserve"> </w:t>
      </w:r>
      <w:r>
        <w:rPr>
          <w:rFonts w:ascii="Times New Roman;Times;serif" w:hAnsi="Times New Roman;Times;serif"/>
          <w:sz w:val="20"/>
        </w:rPr>
        <w:t>Controlled</w:t>
      </w:r>
      <w:r>
        <w:rPr>
          <w:rFonts w:ascii="Times New Roman;Times;serif" w:hAnsi="Times New Roman;Times;serif"/>
          <w:spacing w:val="9"/>
          <w:sz w:val="20"/>
        </w:rPr>
        <w:t xml:space="preserve"> </w:t>
      </w:r>
      <w:r>
        <w:rPr>
          <w:rFonts w:ascii="Times New Roman;Times;serif" w:hAnsi="Times New Roman;Times;serif"/>
          <w:sz w:val="20"/>
        </w:rPr>
        <w:t>Substances</w:t>
      </w:r>
      <w:r>
        <w:rPr>
          <w:rFonts w:ascii="Times New Roman;Times;serif" w:hAnsi="Times New Roman;Times;serif"/>
          <w:spacing w:val="7"/>
          <w:sz w:val="20"/>
        </w:rPr>
        <w:t xml:space="preserve"> </w:t>
      </w:r>
      <w:r>
        <w:rPr>
          <w:rFonts w:ascii="Times New Roman;Times;serif" w:hAnsi="Times New Roman;Times;serif"/>
          <w:sz w:val="20"/>
        </w:rPr>
        <w:t>Act</w:t>
      </w:r>
      <w:r>
        <w:rPr>
          <w:rFonts w:ascii="Times New Roman;Times;serif" w:hAnsi="Times New Roman;Times;serif"/>
          <w:spacing w:val="10"/>
          <w:sz w:val="20"/>
        </w:rPr>
        <w:t xml:space="preserve"> </w:t>
      </w:r>
      <w:r>
        <w:rPr>
          <w:rFonts w:ascii="Times New Roman;Times;serif" w:hAnsi="Times New Roman;Times;serif"/>
          <w:sz w:val="20"/>
        </w:rPr>
        <w:t>(21</w:t>
      </w:r>
      <w:r>
        <w:rPr>
          <w:rFonts w:ascii="Times New Roman;Times;serif" w:hAnsi="Times New Roman;Times;serif"/>
          <w:spacing w:val="9"/>
          <w:sz w:val="20"/>
        </w:rPr>
        <w:t xml:space="preserve"> </w:t>
      </w:r>
      <w:r>
        <w:rPr>
          <w:rFonts w:ascii="Times New Roman;Times;serif" w:hAnsi="Times New Roman;Times;serif"/>
          <w:sz w:val="20"/>
        </w:rPr>
        <w:t>U.S.C.</w:t>
      </w:r>
      <w:r>
        <w:rPr>
          <w:rFonts w:ascii="Times New Roman;Times;serif" w:hAnsi="Times New Roman;Times;serif"/>
          <w:spacing w:val="8"/>
          <w:sz w:val="20"/>
        </w:rPr>
        <w:t xml:space="preserve"> </w:t>
      </w:r>
      <w:r>
        <w:rPr>
          <w:rFonts w:ascii="Times New Roman;Times;serif" w:hAnsi="Times New Roman;Times;serif"/>
          <w:sz w:val="20"/>
        </w:rPr>
        <w:t>§</w:t>
      </w:r>
      <w:r>
        <w:rPr>
          <w:rFonts w:ascii="Times New Roman;Times;serif" w:hAnsi="Times New Roman;Times;serif"/>
          <w:spacing w:val="9"/>
          <w:sz w:val="20"/>
        </w:rPr>
        <w:t xml:space="preserve"> </w:t>
      </w:r>
      <w:r>
        <w:rPr>
          <w:rFonts w:ascii="Times New Roman;Times;serif" w:hAnsi="Times New Roman;Times;serif"/>
          <w:sz w:val="20"/>
        </w:rPr>
        <w:t>811)</w:t>
      </w:r>
      <w:r>
        <w:rPr>
          <w:rFonts w:ascii="Times New Roman;Times;serif" w:hAnsi="Times New Roman;Times;serif"/>
          <w:spacing w:val="8"/>
          <w:sz w:val="20"/>
        </w:rPr>
        <w:t xml:space="preserve"> </w:t>
      </w:r>
      <w:r>
        <w:rPr>
          <w:rFonts w:ascii="Times New Roman;Times;serif" w:hAnsi="Times New Roman;Times;serif"/>
          <w:sz w:val="20"/>
        </w:rPr>
        <w:t>(the</w:t>
      </w:r>
      <w:r>
        <w:rPr>
          <w:rFonts w:ascii="Times New Roman;Times;serif" w:hAnsi="Times New Roman;Times;serif"/>
          <w:spacing w:val="-1"/>
          <w:sz w:val="20"/>
        </w:rPr>
        <w:t xml:space="preserve"> </w:t>
      </w:r>
      <w:r>
        <w:rPr>
          <w:rFonts w:ascii="Times New Roman;Times;serif" w:hAnsi="Times New Roman;Times;serif"/>
          <w:sz w:val="20"/>
        </w:rPr>
        <w:t>“CSA”),</w:t>
      </w:r>
      <w:r>
        <w:rPr>
          <w:rFonts w:ascii="Times New Roman;Times;serif" w:hAnsi="Times New Roman;Times;serif"/>
          <w:spacing w:val="1"/>
          <w:sz w:val="20"/>
        </w:rPr>
        <w:t xml:space="preserve"> </w:t>
      </w:r>
      <w:r>
        <w:rPr>
          <w:rFonts w:ascii="Times New Roman;Times;serif" w:hAnsi="Times New Roman;Times;serif"/>
          <w:sz w:val="20"/>
        </w:rPr>
        <w:t>which</w:t>
      </w:r>
      <w:r>
        <w:rPr>
          <w:rFonts w:ascii="Times New Roman;Times;serif" w:hAnsi="Times New Roman;Times;serif"/>
          <w:spacing w:val="1"/>
          <w:sz w:val="20"/>
        </w:rPr>
        <w:t xml:space="preserve"> </w:t>
      </w:r>
      <w:r>
        <w:rPr>
          <w:rFonts w:ascii="Times New Roman;Times;serif" w:hAnsi="Times New Roman;Times;serif"/>
          <w:sz w:val="20"/>
        </w:rPr>
        <w:t>places controlled</w:t>
      </w:r>
      <w:r>
        <w:rPr>
          <w:rFonts w:ascii="Times New Roman;Times;serif" w:hAnsi="Times New Roman;Times;serif"/>
          <w:spacing w:val="1"/>
          <w:sz w:val="20"/>
        </w:rPr>
        <w:t xml:space="preserve"> </w:t>
      </w:r>
      <w:r>
        <w:rPr>
          <w:rFonts w:ascii="Times New Roman;Times;serif" w:hAnsi="Times New Roman;Times;serif"/>
          <w:sz w:val="20"/>
        </w:rPr>
        <w:t>substances,</w:t>
      </w:r>
      <w:r>
        <w:rPr>
          <w:rFonts w:ascii="Times New Roman;Times;serif" w:hAnsi="Times New Roman;Times;serif"/>
          <w:spacing w:val="1"/>
          <w:sz w:val="20"/>
        </w:rPr>
        <w:t xml:space="preserve"> </w:t>
      </w:r>
      <w:r>
        <w:rPr>
          <w:rFonts w:ascii="Times New Roman;Times;serif" w:hAnsi="Times New Roman;Times;serif"/>
          <w:sz w:val="20"/>
        </w:rPr>
        <w:t>including</w:t>
      </w:r>
      <w:r>
        <w:rPr>
          <w:rFonts w:ascii="Times New Roman;Times;serif" w:hAnsi="Times New Roman;Times;serif"/>
          <w:spacing w:val="1"/>
          <w:sz w:val="20"/>
        </w:rPr>
        <w:t xml:space="preserve"> </w:t>
      </w:r>
      <w:r>
        <w:rPr>
          <w:rFonts w:ascii="Times New Roman;Times;serif" w:hAnsi="Times New Roman;Times;serif"/>
          <w:sz w:val="20"/>
        </w:rPr>
        <w:t>cannabis,</w:t>
      </w:r>
      <w:r>
        <w:rPr>
          <w:rFonts w:ascii="Times New Roman;Times;serif" w:hAnsi="Times New Roman;Times;serif"/>
          <w:spacing w:val="1"/>
          <w:sz w:val="20"/>
        </w:rPr>
        <w:t xml:space="preserve"> </w:t>
      </w:r>
      <w:r>
        <w:rPr>
          <w:rFonts w:ascii="Times New Roman;Times;serif" w:hAnsi="Times New Roman;Times;serif"/>
          <w:sz w:val="20"/>
        </w:rPr>
        <w:t>in</w:t>
      </w:r>
      <w:r>
        <w:rPr>
          <w:rFonts w:ascii="Times New Roman;Times;serif" w:hAnsi="Times New Roman;Times;serif"/>
          <w:spacing w:val="1"/>
          <w:sz w:val="20"/>
        </w:rPr>
        <w:t xml:space="preserve"> </w:t>
      </w:r>
      <w:r>
        <w:rPr>
          <w:rFonts w:ascii="Times New Roman;Times;serif" w:hAnsi="Times New Roman;Times;serif"/>
          <w:sz w:val="20"/>
        </w:rPr>
        <w:t>one</w:t>
      </w:r>
      <w:r>
        <w:rPr>
          <w:rFonts w:ascii="Times New Roman;Times;serif" w:hAnsi="Times New Roman;Times;serif"/>
          <w:spacing w:val="1"/>
          <w:sz w:val="20"/>
        </w:rPr>
        <w:t xml:space="preserve"> </w:t>
      </w:r>
      <w:r>
        <w:rPr>
          <w:rFonts w:ascii="Times New Roman;Times;serif" w:hAnsi="Times New Roman;Times;serif"/>
          <w:sz w:val="20"/>
        </w:rPr>
        <w:t>of</w:t>
      </w:r>
      <w:r>
        <w:rPr>
          <w:rFonts w:ascii="Times New Roman;Times;serif" w:hAnsi="Times New Roman;Times;serif"/>
          <w:spacing w:val="1"/>
          <w:sz w:val="20"/>
        </w:rPr>
        <w:t xml:space="preserve"> </w:t>
      </w:r>
      <w:r>
        <w:rPr>
          <w:rFonts w:ascii="Times New Roman;Times;serif" w:hAnsi="Times New Roman;Times;serif"/>
          <w:sz w:val="20"/>
        </w:rPr>
        <w:t>five</w:t>
      </w:r>
      <w:r>
        <w:rPr>
          <w:rFonts w:ascii="Times New Roman;Times;serif" w:hAnsi="Times New Roman;Times;serif"/>
          <w:spacing w:val="1"/>
          <w:sz w:val="20"/>
        </w:rPr>
        <w:t xml:space="preserve"> </w:t>
      </w:r>
      <w:r>
        <w:rPr>
          <w:rFonts w:ascii="Times New Roman;Times;serif" w:hAnsi="Times New Roman;Times;serif"/>
          <w:sz w:val="20"/>
        </w:rPr>
        <w:t>different schedules.</w:t>
      </w:r>
      <w:r>
        <w:rPr>
          <w:rFonts w:ascii="Times New Roman;Times;serif" w:hAnsi="Times New Roman;Times;serif"/>
          <w:spacing w:val="1"/>
          <w:sz w:val="20"/>
        </w:rPr>
        <w:t xml:space="preserve"> </w:t>
      </w:r>
      <w:r>
        <w:rPr>
          <w:rFonts w:ascii="Times New Roman;Times;serif" w:hAnsi="Times New Roman;Times;serif"/>
          <w:sz w:val="20"/>
        </w:rPr>
        <w:t>Cannabis,</w:t>
      </w:r>
      <w:r>
        <w:rPr>
          <w:rFonts w:ascii="Times New Roman;Times;serif" w:hAnsi="Times New Roman;Times;serif"/>
          <w:spacing w:val="1"/>
          <w:sz w:val="20"/>
        </w:rPr>
        <w:t xml:space="preserve"> </w:t>
      </w:r>
      <w:r>
        <w:rPr>
          <w:rFonts w:ascii="Times New Roman;Times;serif" w:hAnsi="Times New Roman;Times;serif"/>
          <w:sz w:val="20"/>
        </w:rPr>
        <w:t>except hemp</w:t>
      </w:r>
      <w:r>
        <w:rPr>
          <w:rFonts w:ascii="Times New Roman;Times;serif" w:hAnsi="Times New Roman;Times;serif"/>
          <w:spacing w:val="2"/>
          <w:sz w:val="20"/>
        </w:rPr>
        <w:t xml:space="preserve"> </w:t>
      </w:r>
      <w:r>
        <w:rPr>
          <w:rFonts w:ascii="Times New Roman;Times;serif" w:hAnsi="Times New Roman;Times;serif"/>
          <w:sz w:val="20"/>
        </w:rPr>
        <w:t>containing</w:t>
      </w:r>
      <w:r>
        <w:rPr>
          <w:rFonts w:ascii="Times New Roman;Times;serif" w:hAnsi="Times New Roman;Times;serif"/>
          <w:spacing w:val="-1"/>
          <w:sz w:val="20"/>
        </w:rPr>
        <w:t xml:space="preserve"> </w:t>
      </w:r>
      <w:r>
        <w:rPr>
          <w:rFonts w:ascii="Times New Roman;Times;serif" w:hAnsi="Times New Roman;Times;serif"/>
          <w:sz w:val="20"/>
        </w:rPr>
        <w:t>less</w:t>
      </w:r>
      <w:r>
        <w:rPr>
          <w:rFonts w:ascii="Times New Roman;Times;serif" w:hAnsi="Times New Roman;Times;serif"/>
          <w:spacing w:val="-8"/>
          <w:sz w:val="20"/>
        </w:rPr>
        <w:t xml:space="preserve"> </w:t>
      </w:r>
      <w:r>
        <w:rPr>
          <w:rFonts w:ascii="Times New Roman;Times;serif" w:hAnsi="Times New Roman;Times;serif"/>
          <w:sz w:val="20"/>
        </w:rPr>
        <w:t>than</w:t>
      </w:r>
      <w:r>
        <w:rPr>
          <w:rFonts w:ascii="Times New Roman;Times;serif" w:hAnsi="Times New Roman;Times;serif"/>
          <w:spacing w:val="-6"/>
          <w:sz w:val="20"/>
        </w:rPr>
        <w:t xml:space="preserve"> </w:t>
      </w:r>
      <w:r>
        <w:rPr>
          <w:rFonts w:ascii="Times New Roman;Times;serif" w:hAnsi="Times New Roman;Times;serif"/>
          <w:sz w:val="20"/>
        </w:rPr>
        <w:t>.3%</w:t>
      </w:r>
      <w:r>
        <w:rPr>
          <w:rFonts w:ascii="Times New Roman;Times;serif" w:hAnsi="Times New Roman;Times;serif"/>
          <w:spacing w:val="-7"/>
          <w:sz w:val="20"/>
        </w:rPr>
        <w:t xml:space="preserve"> </w:t>
      </w:r>
      <w:r>
        <w:rPr>
          <w:rFonts w:ascii="Times New Roman;Times;serif" w:hAnsi="Times New Roman;Times;serif"/>
          <w:sz w:val="20"/>
        </w:rPr>
        <w:t>(on</w:t>
      </w:r>
      <w:r>
        <w:rPr>
          <w:rFonts w:ascii="Times New Roman;Times;serif" w:hAnsi="Times New Roman;Times;serif"/>
          <w:spacing w:val="-6"/>
          <w:sz w:val="20"/>
        </w:rPr>
        <w:t xml:space="preserve"> </w:t>
      </w:r>
      <w:r>
        <w:rPr>
          <w:rFonts w:ascii="Times New Roman;Times;serif" w:hAnsi="Times New Roman;Times;serif"/>
          <w:sz w:val="20"/>
        </w:rPr>
        <w:t>a</w:t>
      </w:r>
      <w:r>
        <w:rPr>
          <w:rFonts w:ascii="Times New Roman;Times;serif" w:hAnsi="Times New Roman;Times;serif"/>
          <w:spacing w:val="-7"/>
          <w:sz w:val="20"/>
        </w:rPr>
        <w:t xml:space="preserve"> </w:t>
      </w:r>
      <w:r>
        <w:rPr>
          <w:rFonts w:ascii="Times New Roman;Times;serif" w:hAnsi="Times New Roman;Times;serif"/>
          <w:sz w:val="20"/>
        </w:rPr>
        <w:t>dry</w:t>
      </w:r>
      <w:r>
        <w:rPr>
          <w:rFonts w:ascii="Times New Roman;Times;serif" w:hAnsi="Times New Roman;Times;serif"/>
          <w:spacing w:val="-6"/>
          <w:sz w:val="20"/>
        </w:rPr>
        <w:t xml:space="preserve"> </w:t>
      </w:r>
      <w:r>
        <w:rPr>
          <w:rFonts w:ascii="Times New Roman;Times;serif" w:hAnsi="Times New Roman;Times;serif"/>
          <w:sz w:val="20"/>
        </w:rPr>
        <w:t>weight</w:t>
      </w:r>
      <w:r>
        <w:rPr>
          <w:rFonts w:ascii="Times New Roman;Times;serif" w:hAnsi="Times New Roman;Times;serif"/>
          <w:spacing w:val="-9"/>
          <w:sz w:val="20"/>
        </w:rPr>
        <w:t xml:space="preserve"> </w:t>
      </w:r>
      <w:r>
        <w:rPr>
          <w:rFonts w:ascii="Times New Roman;Times;serif" w:hAnsi="Times New Roman;Times;serif"/>
          <w:sz w:val="20"/>
        </w:rPr>
        <w:t>basis)</w:t>
      </w:r>
      <w:r>
        <w:rPr>
          <w:rFonts w:ascii="Times New Roman;Times;serif" w:hAnsi="Times New Roman;Times;serif"/>
          <w:spacing w:val="-6"/>
          <w:sz w:val="20"/>
        </w:rPr>
        <w:t xml:space="preserve"> </w:t>
      </w:r>
      <w:r>
        <w:rPr>
          <w:rFonts w:ascii="Times New Roman;Times;serif" w:hAnsi="Times New Roman;Times;serif"/>
          <w:sz w:val="20"/>
        </w:rPr>
        <w:t>of</w:t>
      </w:r>
      <w:r>
        <w:rPr>
          <w:rFonts w:ascii="Times New Roman;Times;serif" w:hAnsi="Times New Roman;Times;serif"/>
          <w:spacing w:val="-6"/>
          <w:sz w:val="20"/>
        </w:rPr>
        <w:t xml:space="preserve"> </w:t>
      </w:r>
      <w:r>
        <w:rPr>
          <w:rFonts w:ascii="Times New Roman;Times;serif" w:hAnsi="Times New Roman;Times;serif"/>
          <w:sz w:val="20"/>
        </w:rPr>
        <w:t>the</w:t>
      </w:r>
      <w:r>
        <w:rPr>
          <w:rFonts w:ascii="Times New Roman;Times;serif" w:hAnsi="Times New Roman;Times;serif"/>
          <w:spacing w:val="-7"/>
          <w:sz w:val="20"/>
        </w:rPr>
        <w:t xml:space="preserve"> </w:t>
      </w:r>
      <w:r>
        <w:rPr>
          <w:rFonts w:ascii="Times New Roman;Times;serif" w:hAnsi="Times New Roman;Times;serif"/>
          <w:sz w:val="20"/>
        </w:rPr>
        <w:t>psychoactive</w:t>
      </w:r>
      <w:r>
        <w:rPr>
          <w:rFonts w:ascii="Times New Roman;Times;serif" w:hAnsi="Times New Roman;Times;serif"/>
          <w:spacing w:val="-7"/>
          <w:sz w:val="20"/>
        </w:rPr>
        <w:t xml:space="preserve"> </w:t>
      </w:r>
      <w:r>
        <w:rPr>
          <w:rFonts w:ascii="Times New Roman;Times;serif" w:hAnsi="Times New Roman;Times;serif"/>
          <w:sz w:val="20"/>
        </w:rPr>
        <w:t>ingredient</w:t>
      </w:r>
      <w:r>
        <w:rPr>
          <w:rFonts w:ascii="Times New Roman;Times;serif" w:hAnsi="Times New Roman;Times;serif"/>
          <w:spacing w:val="-7"/>
          <w:sz w:val="20"/>
        </w:rPr>
        <w:t xml:space="preserve"> </w:t>
      </w:r>
      <w:r>
        <w:rPr>
          <w:rFonts w:ascii="Times New Roman;Times;serif" w:hAnsi="Times New Roman;Times;serif"/>
          <w:sz w:val="20"/>
        </w:rPr>
        <w:t>in</w:t>
      </w:r>
      <w:r>
        <w:rPr>
          <w:rFonts w:ascii="Times New Roman;Times;serif" w:hAnsi="Times New Roman;Times;serif"/>
          <w:spacing w:val="-6"/>
          <w:sz w:val="20"/>
        </w:rPr>
        <w:t xml:space="preserve"> </w:t>
      </w:r>
      <w:r>
        <w:rPr>
          <w:rFonts w:ascii="Times New Roman;Times;serif" w:hAnsi="Times New Roman;Times;serif"/>
          <w:sz w:val="20"/>
        </w:rPr>
        <w:t>cannabis,</w:t>
      </w:r>
      <w:r>
        <w:rPr>
          <w:rFonts w:ascii="Times New Roman;Times;serif" w:hAnsi="Times New Roman;Times;serif"/>
          <w:spacing w:val="-6"/>
          <w:sz w:val="20"/>
        </w:rPr>
        <w:t xml:space="preserve"> </w:t>
      </w:r>
      <w:r>
        <w:rPr>
          <w:rFonts w:ascii="Times New Roman;Times;serif" w:hAnsi="Times New Roman;Times;serif"/>
          <w:sz w:val="20"/>
        </w:rPr>
        <w:t>is</w:t>
      </w:r>
      <w:r>
        <w:rPr>
          <w:rFonts w:ascii="Times New Roman;Times;serif" w:hAnsi="Times New Roman;Times;serif"/>
          <w:spacing w:val="-8"/>
          <w:sz w:val="20"/>
        </w:rPr>
        <w:t xml:space="preserve"> </w:t>
      </w:r>
      <w:r>
        <w:rPr>
          <w:rFonts w:ascii="Times New Roman;Times;serif" w:hAnsi="Times New Roman;Times;serif"/>
          <w:sz w:val="20"/>
        </w:rPr>
        <w:t>classified</w:t>
      </w:r>
      <w:r>
        <w:rPr>
          <w:rFonts w:ascii="Times New Roman;Times;serif" w:hAnsi="Times New Roman;Times;serif"/>
          <w:spacing w:val="-6"/>
          <w:sz w:val="20"/>
        </w:rPr>
        <w:t xml:space="preserve"> </w:t>
      </w:r>
      <w:r>
        <w:rPr>
          <w:rFonts w:ascii="Times New Roman;Times;serif" w:hAnsi="Times New Roman;Times;serif"/>
          <w:sz w:val="20"/>
        </w:rPr>
        <w:t>as</w:t>
      </w:r>
      <w:r>
        <w:rPr>
          <w:rFonts w:ascii="Times New Roman;Times;serif" w:hAnsi="Times New Roman;Times;serif"/>
          <w:spacing w:val="-8"/>
          <w:sz w:val="20"/>
        </w:rPr>
        <w:t xml:space="preserve"> </w:t>
      </w:r>
      <w:r>
        <w:rPr>
          <w:rFonts w:ascii="Times New Roman;Times;serif" w:hAnsi="Times New Roman;Times;serif"/>
          <w:sz w:val="20"/>
        </w:rPr>
        <w:t>a</w:t>
      </w:r>
      <w:r>
        <w:rPr>
          <w:rFonts w:ascii="Times New Roman;Times;serif" w:hAnsi="Times New Roman;Times;serif"/>
          <w:spacing w:val="-6"/>
          <w:sz w:val="20"/>
        </w:rPr>
        <w:t xml:space="preserve"> </w:t>
      </w:r>
      <w:r>
        <w:rPr>
          <w:rFonts w:ascii="Times New Roman;Times;serif" w:hAnsi="Times New Roman;Times;serif"/>
          <w:sz w:val="20"/>
        </w:rPr>
        <w:t>Schedule</w:t>
      </w:r>
      <w:r>
        <w:rPr>
          <w:rFonts w:ascii="Times New Roman;Times;serif" w:hAnsi="Times New Roman;Times;serif"/>
          <w:spacing w:val="-7"/>
          <w:sz w:val="20"/>
        </w:rPr>
        <w:t xml:space="preserve"> </w:t>
      </w:r>
      <w:r>
        <w:rPr>
          <w:rFonts w:ascii="Times New Roman;Times;serif" w:hAnsi="Times New Roman;Times;serif"/>
          <w:sz w:val="20"/>
        </w:rPr>
        <w:t>I</w:t>
      </w:r>
      <w:r>
        <w:rPr>
          <w:rFonts w:ascii="Times New Roman;Times;serif" w:hAnsi="Times New Roman;Times;serif"/>
          <w:spacing w:val="-6"/>
          <w:sz w:val="20"/>
        </w:rPr>
        <w:t xml:space="preserve"> </w:t>
      </w:r>
      <w:r>
        <w:rPr>
          <w:rFonts w:ascii="Times New Roman;Times;serif" w:hAnsi="Times New Roman;Times;serif"/>
          <w:sz w:val="20"/>
        </w:rPr>
        <w:t>drug.</w:t>
      </w:r>
      <w:r>
        <w:rPr>
          <w:rFonts w:ascii="Times New Roman;Times;serif" w:hAnsi="Times New Roman;Times;serif"/>
          <w:spacing w:val="-6"/>
          <w:sz w:val="20"/>
        </w:rPr>
        <w:t xml:space="preserve"> </w:t>
      </w:r>
      <w:r>
        <w:rPr>
          <w:rFonts w:ascii="Times New Roman;Times;serif" w:hAnsi="Times New Roman;Times;serif"/>
          <w:sz w:val="20"/>
        </w:rPr>
        <w:t>As</w:t>
      </w:r>
      <w:r>
        <w:rPr>
          <w:rFonts w:ascii="Times New Roman;Times;serif" w:hAnsi="Times New Roman;Times;serif"/>
          <w:spacing w:val="-8"/>
          <w:sz w:val="20"/>
        </w:rPr>
        <w:t xml:space="preserve"> </w:t>
      </w:r>
      <w:r>
        <w:rPr>
          <w:rFonts w:ascii="Times New Roman;Times;serif" w:hAnsi="Times New Roman;Times;serif"/>
          <w:sz w:val="20"/>
        </w:rPr>
        <w:t>a</w:t>
      </w:r>
      <w:r>
        <w:rPr>
          <w:rFonts w:ascii="Times New Roman;Times;serif" w:hAnsi="Times New Roman;Times;serif"/>
          <w:spacing w:val="-6"/>
          <w:sz w:val="20"/>
        </w:rPr>
        <w:t xml:space="preserve"> </w:t>
      </w:r>
      <w:r>
        <w:rPr>
          <w:rFonts w:ascii="Times New Roman;Times;serif" w:hAnsi="Times New Roman;Times;serif"/>
          <w:sz w:val="20"/>
        </w:rPr>
        <w:t>Schedule</w:t>
      </w:r>
      <w:r>
        <w:rPr>
          <w:rFonts w:ascii="Times New Roman;Times;serif" w:hAnsi="Times New Roman;Times;serif"/>
          <w:spacing w:val="-6"/>
          <w:sz w:val="20"/>
        </w:rPr>
        <w:t xml:space="preserve"> </w:t>
      </w:r>
      <w:r>
        <w:rPr>
          <w:rFonts w:ascii="Times New Roman;Times;serif" w:hAnsi="Times New Roman;Times;serif"/>
          <w:sz w:val="20"/>
        </w:rPr>
        <w:t>I</w:t>
      </w:r>
      <w:r>
        <w:rPr>
          <w:rFonts w:ascii="Times New Roman;Times;serif" w:hAnsi="Times New Roman;Times;serif"/>
          <w:spacing w:val="-6"/>
          <w:sz w:val="20"/>
        </w:rPr>
        <w:t xml:space="preserve"> </w:t>
      </w:r>
      <w:r>
        <w:rPr>
          <w:rFonts w:ascii="Times New Roman;Times;serif" w:hAnsi="Times New Roman;Times;serif"/>
          <w:sz w:val="20"/>
        </w:rPr>
        <w:t>drug,</w:t>
      </w:r>
      <w:r>
        <w:rPr>
          <w:rFonts w:ascii="Times New Roman;Times;serif" w:hAnsi="Times New Roman;Times;serif"/>
          <w:spacing w:val="-1"/>
          <w:sz w:val="20"/>
        </w:rPr>
        <w:t xml:space="preserve"> </w:t>
      </w:r>
      <w:r>
        <w:rPr>
          <w:rFonts w:ascii="Times New Roman;Times;serif" w:hAnsi="Times New Roman;Times;serif"/>
          <w:sz w:val="20"/>
        </w:rPr>
        <w:t>the</w:t>
      </w:r>
      <w:r>
        <w:rPr>
          <w:rFonts w:ascii="Times New Roman;Times;serif" w:hAnsi="Times New Roman;Times;serif"/>
          <w:spacing w:val="22"/>
          <w:sz w:val="20"/>
        </w:rPr>
        <w:t xml:space="preserve"> </w:t>
      </w:r>
      <w:r>
        <w:rPr>
          <w:rFonts w:ascii="Times New Roman;Times;serif" w:hAnsi="Times New Roman;Times;serif"/>
          <w:sz w:val="20"/>
        </w:rPr>
        <w:t>federal</w:t>
      </w:r>
      <w:r>
        <w:rPr>
          <w:rFonts w:ascii="Times New Roman;Times;serif" w:hAnsi="Times New Roman;Times;serif"/>
          <w:spacing w:val="22"/>
          <w:sz w:val="20"/>
        </w:rPr>
        <w:t xml:space="preserve"> </w:t>
      </w:r>
      <w:r>
        <w:rPr>
          <w:rFonts w:ascii="Times New Roman;Times;serif" w:hAnsi="Times New Roman;Times;serif"/>
          <w:sz w:val="20"/>
        </w:rPr>
        <w:t>Drug</w:t>
      </w:r>
      <w:r>
        <w:rPr>
          <w:rFonts w:ascii="Times New Roman;Times;serif" w:hAnsi="Times New Roman;Times;serif"/>
          <w:spacing w:val="23"/>
          <w:sz w:val="20"/>
        </w:rPr>
        <w:t xml:space="preserve"> </w:t>
      </w:r>
      <w:r>
        <w:rPr>
          <w:rFonts w:ascii="Times New Roman;Times;serif" w:hAnsi="Times New Roman;Times;serif"/>
          <w:sz w:val="20"/>
        </w:rPr>
        <w:t>Enforcement</w:t>
      </w:r>
      <w:r>
        <w:rPr>
          <w:rFonts w:ascii="Times New Roman;Times;serif" w:hAnsi="Times New Roman;Times;serif"/>
          <w:spacing w:val="22"/>
          <w:sz w:val="20"/>
        </w:rPr>
        <w:t xml:space="preserve"> </w:t>
      </w:r>
      <w:r>
        <w:rPr>
          <w:rFonts w:ascii="Times New Roman;Times;serif" w:hAnsi="Times New Roman;Times;serif"/>
          <w:sz w:val="20"/>
        </w:rPr>
        <w:t>Agency (“DEA”)</w:t>
      </w:r>
      <w:r>
        <w:rPr>
          <w:rFonts w:ascii="Times New Roman;Times;serif" w:hAnsi="Times New Roman;Times;serif"/>
          <w:spacing w:val="21"/>
          <w:sz w:val="20"/>
        </w:rPr>
        <w:t xml:space="preserve"> </w:t>
      </w:r>
      <w:r>
        <w:rPr>
          <w:rFonts w:ascii="Times New Roman;Times;serif" w:hAnsi="Times New Roman;Times;serif"/>
          <w:sz w:val="20"/>
        </w:rPr>
        <w:t>considers</w:t>
      </w:r>
      <w:r>
        <w:rPr>
          <w:rFonts w:ascii="Times New Roman;Times;serif" w:hAnsi="Times New Roman;Times;serif"/>
          <w:spacing w:val="19"/>
          <w:sz w:val="20"/>
        </w:rPr>
        <w:t xml:space="preserve"> </w:t>
      </w:r>
      <w:r>
        <w:rPr>
          <w:rFonts w:ascii="Times New Roman;Times;serif" w:hAnsi="Times New Roman;Times;serif"/>
          <w:sz w:val="20"/>
        </w:rPr>
        <w:t>cannabis</w:t>
      </w:r>
      <w:r>
        <w:rPr>
          <w:rFonts w:ascii="Times New Roman;Times;serif" w:hAnsi="Times New Roman;Times;serif"/>
          <w:spacing w:val="19"/>
          <w:sz w:val="20"/>
        </w:rPr>
        <w:t xml:space="preserve"> </w:t>
      </w:r>
      <w:r>
        <w:rPr>
          <w:rFonts w:ascii="Times New Roman;Times;serif" w:hAnsi="Times New Roman;Times;serif"/>
          <w:sz w:val="20"/>
        </w:rPr>
        <w:t>to</w:t>
      </w:r>
      <w:r>
        <w:rPr>
          <w:rFonts w:ascii="Times New Roman;Times;serif" w:hAnsi="Times New Roman;Times;serif"/>
          <w:spacing w:val="23"/>
          <w:sz w:val="20"/>
        </w:rPr>
        <w:t xml:space="preserve"> </w:t>
      </w:r>
      <w:r>
        <w:rPr>
          <w:rFonts w:ascii="Times New Roman;Times;serif" w:hAnsi="Times New Roman;Times;serif"/>
          <w:sz w:val="20"/>
        </w:rPr>
        <w:t>have</w:t>
      </w:r>
      <w:r>
        <w:rPr>
          <w:rFonts w:ascii="Times New Roman;Times;serif" w:hAnsi="Times New Roman;Times;serif"/>
          <w:spacing w:val="20"/>
          <w:sz w:val="20"/>
        </w:rPr>
        <w:t xml:space="preserve"> </w:t>
      </w:r>
      <w:r>
        <w:rPr>
          <w:rFonts w:ascii="Times New Roman;Times;serif" w:hAnsi="Times New Roman;Times;serif"/>
          <w:sz w:val="20"/>
        </w:rPr>
        <w:t>a</w:t>
      </w:r>
      <w:r>
        <w:rPr>
          <w:rFonts w:ascii="Times New Roman;Times;serif" w:hAnsi="Times New Roman;Times;serif"/>
          <w:spacing w:val="20"/>
          <w:sz w:val="20"/>
        </w:rPr>
        <w:t xml:space="preserve"> </w:t>
      </w:r>
      <w:r>
        <w:rPr>
          <w:rFonts w:ascii="Times New Roman;Times;serif" w:hAnsi="Times New Roman;Times;serif"/>
          <w:sz w:val="20"/>
        </w:rPr>
        <w:t>high</w:t>
      </w:r>
      <w:r>
        <w:rPr>
          <w:rFonts w:ascii="Times New Roman;Times;serif" w:hAnsi="Times New Roman;Times;serif"/>
          <w:spacing w:val="21"/>
          <w:sz w:val="20"/>
        </w:rPr>
        <w:t xml:space="preserve"> </w:t>
      </w:r>
      <w:r>
        <w:rPr>
          <w:rFonts w:ascii="Times New Roman;Times;serif" w:hAnsi="Times New Roman;Times;serif"/>
          <w:sz w:val="20"/>
        </w:rPr>
        <w:t>potential</w:t>
      </w:r>
      <w:r>
        <w:rPr>
          <w:rFonts w:ascii="Times New Roman;Times;serif" w:hAnsi="Times New Roman;Times;serif"/>
          <w:spacing w:val="22"/>
          <w:sz w:val="20"/>
        </w:rPr>
        <w:t xml:space="preserve"> </w:t>
      </w:r>
      <w:r>
        <w:rPr>
          <w:rFonts w:ascii="Times New Roman;Times;serif" w:hAnsi="Times New Roman;Times;serif"/>
          <w:sz w:val="20"/>
        </w:rPr>
        <w:t>for</w:t>
      </w:r>
      <w:r>
        <w:rPr>
          <w:rFonts w:ascii="Times New Roman;Times;serif" w:hAnsi="Times New Roman;Times;serif"/>
          <w:spacing w:val="23"/>
          <w:sz w:val="20"/>
        </w:rPr>
        <w:t xml:space="preserve"> </w:t>
      </w:r>
      <w:r>
        <w:rPr>
          <w:rFonts w:ascii="Times New Roman;Times;serif" w:hAnsi="Times New Roman;Times;serif"/>
          <w:sz w:val="20"/>
        </w:rPr>
        <w:t>abuse,</w:t>
      </w:r>
      <w:r>
        <w:rPr>
          <w:rFonts w:ascii="Times New Roman;Times;serif" w:hAnsi="Times New Roman;Times;serif"/>
          <w:spacing w:val="23"/>
          <w:sz w:val="20"/>
        </w:rPr>
        <w:t xml:space="preserve"> </w:t>
      </w:r>
      <w:r>
        <w:rPr>
          <w:rFonts w:ascii="Times New Roman;Times;serif" w:hAnsi="Times New Roman;Times;serif"/>
          <w:sz w:val="20"/>
        </w:rPr>
        <w:t>no</w:t>
      </w:r>
      <w:r>
        <w:rPr>
          <w:rFonts w:ascii="Times New Roman;Times;serif" w:hAnsi="Times New Roman;Times;serif"/>
          <w:spacing w:val="23"/>
          <w:sz w:val="20"/>
        </w:rPr>
        <w:t xml:space="preserve"> </w:t>
      </w:r>
      <w:r>
        <w:rPr>
          <w:rFonts w:ascii="Times New Roman;Times;serif" w:hAnsi="Times New Roman;Times;serif"/>
          <w:sz w:val="20"/>
        </w:rPr>
        <w:t>currently</w:t>
      </w:r>
      <w:r>
        <w:rPr>
          <w:rFonts w:ascii="Times New Roman;Times;serif" w:hAnsi="Times New Roman;Times;serif"/>
          <w:spacing w:val="21"/>
          <w:sz w:val="20"/>
        </w:rPr>
        <w:t xml:space="preserve"> </w:t>
      </w:r>
      <w:r>
        <w:rPr>
          <w:rFonts w:ascii="Times New Roman;Times;serif" w:hAnsi="Times New Roman;Times;serif"/>
          <w:sz w:val="20"/>
        </w:rPr>
        <w:t>accepted</w:t>
      </w:r>
      <w:r>
        <w:rPr>
          <w:rFonts w:ascii="Times New Roman;Times;serif" w:hAnsi="Times New Roman;Times;serif"/>
          <w:spacing w:val="21"/>
          <w:sz w:val="20"/>
        </w:rPr>
        <w:t xml:space="preserve"> </w:t>
      </w:r>
      <w:r>
        <w:rPr>
          <w:rFonts w:ascii="Times New Roman;Times;serif" w:hAnsi="Times New Roman;Times;serif"/>
          <w:sz w:val="20"/>
        </w:rPr>
        <w:t>medical</w:t>
      </w:r>
      <w:r>
        <w:rPr>
          <w:rFonts w:ascii="Times New Roman;Times;serif" w:hAnsi="Times New Roman;Times;serif"/>
          <w:spacing w:val="22"/>
          <w:sz w:val="20"/>
        </w:rPr>
        <w:t xml:space="preserve"> </w:t>
      </w:r>
      <w:r>
        <w:rPr>
          <w:rFonts w:ascii="Times New Roman;Times;serif" w:hAnsi="Times New Roman;Times;serif"/>
          <w:sz w:val="20"/>
        </w:rPr>
        <w:t>use</w:t>
      </w:r>
      <w:r>
        <w:rPr>
          <w:rFonts w:ascii="Times New Roman;Times;serif" w:hAnsi="Times New Roman;Times;serif"/>
          <w:spacing w:val="22"/>
          <w:sz w:val="20"/>
        </w:rPr>
        <w:t xml:space="preserve"> </w:t>
      </w:r>
      <w:r>
        <w:rPr>
          <w:rFonts w:ascii="Times New Roman;Times;serif" w:hAnsi="Times New Roman;Times;serif"/>
          <w:sz w:val="20"/>
        </w:rPr>
        <w:t>in</w:t>
      </w:r>
      <w:r>
        <w:rPr>
          <w:rFonts w:ascii="Times New Roman;Times;serif" w:hAnsi="Times New Roman;Times;serif"/>
          <w:spacing w:val="-2"/>
          <w:sz w:val="20"/>
        </w:rPr>
        <w:t xml:space="preserve"> </w:t>
      </w:r>
      <w:r>
        <w:rPr>
          <w:rFonts w:ascii="Times New Roman;Times;serif" w:hAnsi="Times New Roman;Times;serif"/>
          <w:sz w:val="20"/>
        </w:rPr>
        <w:t>treatment</w:t>
      </w:r>
      <w:r>
        <w:rPr>
          <w:rFonts w:ascii="Times New Roman;Times;serif" w:hAnsi="Times New Roman;Times;serif"/>
          <w:spacing w:val="-11"/>
          <w:sz w:val="20"/>
        </w:rPr>
        <w:t xml:space="preserve"> </w:t>
      </w:r>
      <w:r>
        <w:rPr>
          <w:rFonts w:ascii="Times New Roman;Times;serif" w:hAnsi="Times New Roman;Times;serif"/>
          <w:sz w:val="20"/>
        </w:rPr>
        <w:t>in</w:t>
      </w:r>
      <w:r>
        <w:rPr>
          <w:rFonts w:ascii="Times New Roman;Times;serif" w:hAnsi="Times New Roman;Times;serif"/>
          <w:spacing w:val="-10"/>
          <w:sz w:val="20"/>
        </w:rPr>
        <w:t xml:space="preserve"> </w:t>
      </w:r>
      <w:r>
        <w:rPr>
          <w:rFonts w:ascii="Times New Roman;Times;serif" w:hAnsi="Times New Roman;Times;serif"/>
          <w:sz w:val="20"/>
        </w:rPr>
        <w:t>the</w:t>
      </w:r>
      <w:r>
        <w:rPr>
          <w:rFonts w:ascii="Times New Roman;Times;serif" w:hAnsi="Times New Roman;Times;serif"/>
          <w:spacing w:val="-10"/>
          <w:sz w:val="20"/>
        </w:rPr>
        <w:t xml:space="preserve"> </w:t>
      </w:r>
      <w:r>
        <w:rPr>
          <w:rFonts w:ascii="Times New Roman;Times;serif" w:hAnsi="Times New Roman;Times;serif"/>
          <w:sz w:val="20"/>
        </w:rPr>
        <w:t>United</w:t>
      </w:r>
      <w:r>
        <w:rPr>
          <w:rFonts w:ascii="Times New Roman;Times;serif" w:hAnsi="Times New Roman;Times;serif"/>
          <w:spacing w:val="-12"/>
          <w:sz w:val="20"/>
        </w:rPr>
        <w:t xml:space="preserve"> </w:t>
      </w:r>
      <w:r>
        <w:rPr>
          <w:rFonts w:ascii="Times New Roman;Times;serif" w:hAnsi="Times New Roman;Times;serif"/>
          <w:sz w:val="20"/>
        </w:rPr>
        <w:t>States,</w:t>
      </w:r>
      <w:r>
        <w:rPr>
          <w:rFonts w:ascii="Times New Roman;Times;serif" w:hAnsi="Times New Roman;Times;serif"/>
          <w:spacing w:val="-10"/>
          <w:sz w:val="20"/>
        </w:rPr>
        <w:t xml:space="preserve"> </w:t>
      </w:r>
      <w:r>
        <w:rPr>
          <w:rFonts w:ascii="Times New Roman;Times;serif" w:hAnsi="Times New Roman;Times;serif"/>
          <w:sz w:val="20"/>
        </w:rPr>
        <w:t>and</w:t>
      </w:r>
      <w:r>
        <w:rPr>
          <w:rFonts w:ascii="Times New Roman;Times;serif" w:hAnsi="Times New Roman;Times;serif"/>
          <w:spacing w:val="-10"/>
          <w:sz w:val="20"/>
        </w:rPr>
        <w:t xml:space="preserve"> </w:t>
      </w:r>
      <w:r>
        <w:rPr>
          <w:rFonts w:ascii="Times New Roman;Times;serif" w:hAnsi="Times New Roman;Times;serif"/>
          <w:sz w:val="20"/>
        </w:rPr>
        <w:t>a</w:t>
      </w:r>
      <w:r>
        <w:rPr>
          <w:rFonts w:ascii="Times New Roman;Times;serif" w:hAnsi="Times New Roman;Times;serif"/>
          <w:spacing w:val="-13"/>
          <w:sz w:val="20"/>
        </w:rPr>
        <w:t xml:space="preserve"> </w:t>
      </w:r>
      <w:r>
        <w:rPr>
          <w:rFonts w:ascii="Times New Roman;Times;serif" w:hAnsi="Times New Roman;Times;serif"/>
          <w:sz w:val="20"/>
        </w:rPr>
        <w:t>lack</w:t>
      </w:r>
      <w:r>
        <w:rPr>
          <w:rFonts w:ascii="Times New Roman;Times;serif" w:hAnsi="Times New Roman;Times;serif"/>
          <w:spacing w:val="-12"/>
          <w:sz w:val="20"/>
        </w:rPr>
        <w:t xml:space="preserve"> </w:t>
      </w:r>
      <w:r>
        <w:rPr>
          <w:rFonts w:ascii="Times New Roman;Times;serif" w:hAnsi="Times New Roman;Times;serif"/>
          <w:sz w:val="20"/>
        </w:rPr>
        <w:t>of</w:t>
      </w:r>
      <w:r>
        <w:rPr>
          <w:rFonts w:ascii="Times New Roman;Times;serif" w:hAnsi="Times New Roman;Times;serif"/>
          <w:spacing w:val="-10"/>
          <w:sz w:val="20"/>
        </w:rPr>
        <w:t xml:space="preserve"> </w:t>
      </w:r>
      <w:r>
        <w:rPr>
          <w:rFonts w:ascii="Times New Roman;Times;serif" w:hAnsi="Times New Roman;Times;serif"/>
          <w:sz w:val="20"/>
        </w:rPr>
        <w:t>accepted</w:t>
      </w:r>
      <w:r>
        <w:rPr>
          <w:rFonts w:ascii="Times New Roman;Times;serif" w:hAnsi="Times New Roman;Times;serif"/>
          <w:spacing w:val="-10"/>
          <w:sz w:val="20"/>
        </w:rPr>
        <w:t xml:space="preserve"> </w:t>
      </w:r>
      <w:r>
        <w:rPr>
          <w:rFonts w:ascii="Times New Roman;Times;serif" w:hAnsi="Times New Roman;Times;serif"/>
          <w:sz w:val="20"/>
        </w:rPr>
        <w:t>safety</w:t>
      </w:r>
      <w:r>
        <w:rPr>
          <w:rFonts w:ascii="Times New Roman;Times;serif" w:hAnsi="Times New Roman;Times;serif"/>
          <w:spacing w:val="-12"/>
          <w:sz w:val="20"/>
        </w:rPr>
        <w:t xml:space="preserve"> </w:t>
      </w:r>
      <w:r>
        <w:rPr>
          <w:rFonts w:ascii="Times New Roman;Times;serif" w:hAnsi="Times New Roman;Times;serif"/>
          <w:sz w:val="20"/>
        </w:rPr>
        <w:t>for</w:t>
      </w:r>
      <w:r>
        <w:rPr>
          <w:rFonts w:ascii="Times New Roman;Times;serif" w:hAnsi="Times New Roman;Times;serif"/>
          <w:spacing w:val="-10"/>
          <w:sz w:val="20"/>
        </w:rPr>
        <w:t xml:space="preserve"> </w:t>
      </w:r>
      <w:r>
        <w:rPr>
          <w:rFonts w:ascii="Times New Roman;Times;serif" w:hAnsi="Times New Roman;Times;serif"/>
          <w:sz w:val="20"/>
        </w:rPr>
        <w:t>use</w:t>
      </w:r>
      <w:r>
        <w:rPr>
          <w:rFonts w:ascii="Times New Roman;Times;serif" w:hAnsi="Times New Roman;Times;serif"/>
          <w:spacing w:val="-13"/>
          <w:sz w:val="20"/>
        </w:rPr>
        <w:t xml:space="preserve"> </w:t>
      </w:r>
      <w:r>
        <w:rPr>
          <w:rFonts w:ascii="Times New Roman;Times;serif" w:hAnsi="Times New Roman;Times;serif"/>
          <w:sz w:val="20"/>
        </w:rPr>
        <w:t>of</w:t>
      </w:r>
      <w:r>
        <w:rPr>
          <w:rFonts w:ascii="Times New Roman;Times;serif" w:hAnsi="Times New Roman;Times;serif"/>
          <w:spacing w:val="-10"/>
          <w:sz w:val="20"/>
        </w:rPr>
        <w:t xml:space="preserve"> </w:t>
      </w:r>
      <w:r>
        <w:rPr>
          <w:rFonts w:ascii="Times New Roman;Times;serif" w:hAnsi="Times New Roman;Times;serif"/>
          <w:sz w:val="20"/>
        </w:rPr>
        <w:t>the</w:t>
      </w:r>
      <w:r>
        <w:rPr>
          <w:rFonts w:ascii="Times New Roman;Times;serif" w:hAnsi="Times New Roman;Times;serif"/>
          <w:spacing w:val="-10"/>
          <w:sz w:val="20"/>
        </w:rPr>
        <w:t xml:space="preserve"> </w:t>
      </w:r>
      <w:r>
        <w:rPr>
          <w:rFonts w:ascii="Times New Roman;Times;serif" w:hAnsi="Times New Roman;Times;serif"/>
          <w:sz w:val="20"/>
        </w:rPr>
        <w:t>drug</w:t>
      </w:r>
      <w:r>
        <w:rPr>
          <w:rFonts w:ascii="Times New Roman;Times;serif" w:hAnsi="Times New Roman;Times;serif"/>
          <w:spacing w:val="-12"/>
          <w:sz w:val="20"/>
        </w:rPr>
        <w:t xml:space="preserve"> </w:t>
      </w:r>
      <w:r>
        <w:rPr>
          <w:rFonts w:ascii="Times New Roman;Times;serif" w:hAnsi="Times New Roman;Times;serif"/>
          <w:sz w:val="20"/>
        </w:rPr>
        <w:t>under</w:t>
      </w:r>
      <w:r>
        <w:rPr>
          <w:rFonts w:ascii="Times New Roman;Times;serif" w:hAnsi="Times New Roman;Times;serif"/>
          <w:spacing w:val="-12"/>
          <w:sz w:val="20"/>
        </w:rPr>
        <w:t xml:space="preserve"> </w:t>
      </w:r>
      <w:r>
        <w:rPr>
          <w:rFonts w:ascii="Times New Roman;Times;serif" w:hAnsi="Times New Roman;Times;serif"/>
          <w:sz w:val="20"/>
        </w:rPr>
        <w:t>medical</w:t>
      </w:r>
      <w:r>
        <w:rPr>
          <w:rFonts w:ascii="Times New Roman;Times;serif" w:hAnsi="Times New Roman;Times;serif"/>
          <w:spacing w:val="-11"/>
          <w:sz w:val="20"/>
        </w:rPr>
        <w:t xml:space="preserve"> </w:t>
      </w:r>
      <w:r>
        <w:rPr>
          <w:rFonts w:ascii="Times New Roman;Times;serif" w:hAnsi="Times New Roman;Times;serif"/>
          <w:sz w:val="20"/>
        </w:rPr>
        <w:t>supervision.</w:t>
      </w:r>
      <w:r>
        <w:rPr>
          <w:rFonts w:ascii="Times New Roman;Times;serif" w:hAnsi="Times New Roman;Times;serif"/>
          <w:spacing w:val="-10"/>
          <w:sz w:val="20"/>
        </w:rPr>
        <w:t xml:space="preserve"> </w:t>
      </w:r>
      <w:r>
        <w:rPr>
          <w:rFonts w:ascii="Times New Roman;Times;serif" w:hAnsi="Times New Roman;Times;serif"/>
          <w:sz w:val="20"/>
        </w:rPr>
        <w:t>The</w:t>
      </w:r>
      <w:r>
        <w:rPr>
          <w:rFonts w:ascii="Times New Roman;Times;serif" w:hAnsi="Times New Roman;Times;serif"/>
          <w:spacing w:val="-10"/>
          <w:sz w:val="20"/>
        </w:rPr>
        <w:t xml:space="preserve"> </w:t>
      </w:r>
      <w:r>
        <w:rPr>
          <w:rFonts w:ascii="Times New Roman;Times;serif" w:hAnsi="Times New Roman;Times;serif"/>
          <w:sz w:val="20"/>
        </w:rPr>
        <w:t>classification</w:t>
      </w:r>
      <w:r>
        <w:rPr>
          <w:rFonts w:ascii="Times New Roman;Times;serif" w:hAnsi="Times New Roman;Times;serif"/>
          <w:spacing w:val="-10"/>
          <w:sz w:val="20"/>
        </w:rPr>
        <w:t xml:space="preserve"> </w:t>
      </w:r>
      <w:r>
        <w:rPr>
          <w:rFonts w:ascii="Times New Roman;Times;serif" w:hAnsi="Times New Roman;Times;serif"/>
          <w:sz w:val="20"/>
        </w:rPr>
        <w:t>of</w:t>
      </w:r>
      <w:r>
        <w:rPr>
          <w:rFonts w:ascii="Times New Roman;Times;serif" w:hAnsi="Times New Roman;Times;serif"/>
          <w:spacing w:val="-10"/>
          <w:sz w:val="20"/>
        </w:rPr>
        <w:t xml:space="preserve"> </w:t>
      </w:r>
      <w:r>
        <w:rPr>
          <w:rFonts w:ascii="Times New Roman;Times;serif" w:hAnsi="Times New Roman;Times;serif"/>
          <w:sz w:val="20"/>
        </w:rPr>
        <w:t>cannabis</w:t>
      </w:r>
      <w:r>
        <w:rPr>
          <w:rFonts w:ascii="Times New Roman;Times;serif" w:hAnsi="Times New Roman;Times;serif"/>
          <w:spacing w:val="-2"/>
          <w:sz w:val="20"/>
        </w:rPr>
        <w:t xml:space="preserve"> </w:t>
      </w:r>
      <w:r>
        <w:rPr>
          <w:rFonts w:ascii="Times New Roman;Times;serif" w:hAnsi="Times New Roman;Times;serif"/>
          <w:sz w:val="20"/>
        </w:rPr>
        <w:t>as</w:t>
      </w:r>
      <w:r>
        <w:rPr>
          <w:rFonts w:ascii="Times New Roman;Times;serif" w:hAnsi="Times New Roman;Times;serif"/>
          <w:spacing w:val="24"/>
          <w:sz w:val="20"/>
        </w:rPr>
        <w:t xml:space="preserve"> </w:t>
      </w:r>
      <w:r>
        <w:rPr>
          <w:rFonts w:ascii="Times New Roman;Times;serif" w:hAnsi="Times New Roman;Times;serif"/>
          <w:sz w:val="20"/>
        </w:rPr>
        <w:t>a</w:t>
      </w:r>
      <w:r>
        <w:rPr>
          <w:rFonts w:ascii="Times New Roman;Times;serif" w:hAnsi="Times New Roman;Times;serif"/>
          <w:spacing w:val="25"/>
          <w:sz w:val="20"/>
        </w:rPr>
        <w:t xml:space="preserve"> </w:t>
      </w:r>
      <w:r>
        <w:rPr>
          <w:rFonts w:ascii="Times New Roman;Times;serif" w:hAnsi="Times New Roman;Times;serif"/>
          <w:sz w:val="20"/>
        </w:rPr>
        <w:t>Schedule</w:t>
      </w:r>
      <w:r>
        <w:rPr>
          <w:rFonts w:ascii="Times New Roman;Times;serif" w:hAnsi="Times New Roman;Times;serif"/>
          <w:spacing w:val="22"/>
          <w:sz w:val="20"/>
        </w:rPr>
        <w:t xml:space="preserve"> </w:t>
      </w:r>
      <w:r>
        <w:rPr>
          <w:rFonts w:ascii="Times New Roman;Times;serif" w:hAnsi="Times New Roman;Times;serif"/>
          <w:sz w:val="20"/>
        </w:rPr>
        <w:t>I</w:t>
      </w:r>
      <w:r>
        <w:rPr>
          <w:rFonts w:ascii="Times New Roman;Times;serif" w:hAnsi="Times New Roman;Times;serif"/>
          <w:spacing w:val="25"/>
          <w:sz w:val="20"/>
        </w:rPr>
        <w:t xml:space="preserve"> </w:t>
      </w:r>
      <w:r>
        <w:rPr>
          <w:rFonts w:ascii="Times New Roman;Times;serif" w:hAnsi="Times New Roman;Times;serif"/>
          <w:sz w:val="20"/>
        </w:rPr>
        <w:t>drug</w:t>
      </w:r>
      <w:r>
        <w:rPr>
          <w:rFonts w:ascii="Times New Roman;Times;serif" w:hAnsi="Times New Roman;Times;serif"/>
          <w:spacing w:val="23"/>
          <w:sz w:val="20"/>
        </w:rPr>
        <w:t xml:space="preserve"> </w:t>
      </w:r>
      <w:r>
        <w:rPr>
          <w:rFonts w:ascii="Times New Roman;Times;serif" w:hAnsi="Times New Roman;Times;serif"/>
          <w:sz w:val="20"/>
        </w:rPr>
        <w:t>is</w:t>
      </w:r>
      <w:r>
        <w:rPr>
          <w:rFonts w:ascii="Times New Roman;Times;serif" w:hAnsi="Times New Roman;Times;serif"/>
          <w:spacing w:val="24"/>
          <w:sz w:val="20"/>
        </w:rPr>
        <w:t xml:space="preserve"> </w:t>
      </w:r>
      <w:r>
        <w:rPr>
          <w:rFonts w:ascii="Times New Roman;Times;serif" w:hAnsi="Times New Roman;Times;serif"/>
          <w:sz w:val="20"/>
        </w:rPr>
        <w:t>inconsistent</w:t>
      </w:r>
      <w:r>
        <w:rPr>
          <w:rFonts w:ascii="Times New Roman;Times;serif" w:hAnsi="Times New Roman;Times;serif"/>
          <w:spacing w:val="24"/>
          <w:sz w:val="20"/>
        </w:rPr>
        <w:t xml:space="preserve"> </w:t>
      </w:r>
      <w:r>
        <w:rPr>
          <w:rFonts w:ascii="Times New Roman;Times;serif" w:hAnsi="Times New Roman;Times;serif"/>
          <w:sz w:val="20"/>
        </w:rPr>
        <w:t>with</w:t>
      </w:r>
      <w:r>
        <w:rPr>
          <w:rFonts w:ascii="Times New Roman;Times;serif" w:hAnsi="Times New Roman;Times;serif"/>
          <w:spacing w:val="25"/>
          <w:sz w:val="20"/>
        </w:rPr>
        <w:t xml:space="preserve"> </w:t>
      </w:r>
      <w:r>
        <w:rPr>
          <w:rFonts w:ascii="Times New Roman;Times;serif" w:hAnsi="Times New Roman;Times;serif"/>
          <w:sz w:val="20"/>
        </w:rPr>
        <w:t>what</w:t>
      </w:r>
      <w:r>
        <w:rPr>
          <w:rFonts w:ascii="Times New Roman;Times;serif" w:hAnsi="Times New Roman;Times;serif"/>
          <w:spacing w:val="24"/>
          <w:sz w:val="20"/>
        </w:rPr>
        <w:t xml:space="preserve"> </w:t>
      </w:r>
      <w:r>
        <w:rPr>
          <w:rFonts w:ascii="Times New Roman;Times;serif" w:hAnsi="Times New Roman;Times;serif"/>
          <w:sz w:val="20"/>
        </w:rPr>
        <w:t>the</w:t>
      </w:r>
      <w:r>
        <w:rPr>
          <w:rFonts w:ascii="Times New Roman;Times;serif" w:hAnsi="Times New Roman;Times;serif"/>
          <w:spacing w:val="25"/>
          <w:sz w:val="20"/>
        </w:rPr>
        <w:t xml:space="preserve"> </w:t>
      </w:r>
      <w:r>
        <w:rPr>
          <w:rFonts w:ascii="Times New Roman;Times;serif" w:hAnsi="Times New Roman;Times;serif"/>
          <w:sz w:val="20"/>
        </w:rPr>
        <w:t>Company</w:t>
      </w:r>
      <w:r>
        <w:rPr>
          <w:rFonts w:ascii="Times New Roman;Times;serif" w:hAnsi="Times New Roman;Times;serif"/>
          <w:spacing w:val="25"/>
          <w:sz w:val="20"/>
        </w:rPr>
        <w:t xml:space="preserve"> </w:t>
      </w:r>
      <w:r>
        <w:rPr>
          <w:rFonts w:ascii="Times New Roman;Times;serif" w:hAnsi="Times New Roman;Times;serif"/>
          <w:sz w:val="20"/>
        </w:rPr>
        <w:t>believes</w:t>
      </w:r>
      <w:r>
        <w:rPr>
          <w:rFonts w:ascii="Times New Roman;Times;serif" w:hAnsi="Times New Roman;Times;serif"/>
          <w:spacing w:val="24"/>
          <w:sz w:val="20"/>
        </w:rPr>
        <w:t xml:space="preserve"> </w:t>
      </w:r>
      <w:r>
        <w:rPr>
          <w:rFonts w:ascii="Times New Roman;Times;serif" w:hAnsi="Times New Roman;Times;serif"/>
          <w:sz w:val="20"/>
        </w:rPr>
        <w:t>to</w:t>
      </w:r>
      <w:r>
        <w:rPr>
          <w:rFonts w:ascii="Times New Roman;Times;serif" w:hAnsi="Times New Roman;Times;serif"/>
          <w:spacing w:val="25"/>
          <w:sz w:val="20"/>
        </w:rPr>
        <w:t xml:space="preserve"> </w:t>
      </w:r>
      <w:r>
        <w:rPr>
          <w:rFonts w:ascii="Times New Roman;Times;serif" w:hAnsi="Times New Roman;Times;serif"/>
          <w:sz w:val="20"/>
        </w:rPr>
        <w:t>be</w:t>
      </w:r>
      <w:r>
        <w:rPr>
          <w:rFonts w:ascii="Times New Roman;Times;serif" w:hAnsi="Times New Roman;Times;serif"/>
          <w:spacing w:val="22"/>
          <w:sz w:val="20"/>
        </w:rPr>
        <w:t xml:space="preserve"> </w:t>
      </w:r>
      <w:r>
        <w:rPr>
          <w:rFonts w:ascii="Times New Roman;Times;serif" w:hAnsi="Times New Roman;Times;serif"/>
          <w:sz w:val="20"/>
        </w:rPr>
        <w:t>many</w:t>
      </w:r>
      <w:r>
        <w:rPr>
          <w:rFonts w:ascii="Times New Roman;Times;serif" w:hAnsi="Times New Roman;Times;serif"/>
          <w:spacing w:val="26"/>
          <w:sz w:val="20"/>
        </w:rPr>
        <w:t xml:space="preserve"> </w:t>
      </w:r>
      <w:r>
        <w:rPr>
          <w:rFonts w:ascii="Times New Roman;Times;serif" w:hAnsi="Times New Roman;Times;serif"/>
          <w:sz w:val="20"/>
        </w:rPr>
        <w:t>valuable</w:t>
      </w:r>
      <w:r>
        <w:rPr>
          <w:rFonts w:ascii="Times New Roman;Times;serif" w:hAnsi="Times New Roman;Times;serif"/>
          <w:spacing w:val="25"/>
          <w:sz w:val="20"/>
        </w:rPr>
        <w:t xml:space="preserve"> </w:t>
      </w:r>
      <w:r>
        <w:rPr>
          <w:rFonts w:ascii="Times New Roman;Times;serif" w:hAnsi="Times New Roman;Times;serif"/>
          <w:sz w:val="20"/>
        </w:rPr>
        <w:t>medical</w:t>
      </w:r>
      <w:r>
        <w:rPr>
          <w:rFonts w:ascii="Times New Roman;Times;serif" w:hAnsi="Times New Roman;Times;serif"/>
          <w:spacing w:val="22"/>
          <w:sz w:val="20"/>
        </w:rPr>
        <w:t xml:space="preserve"> </w:t>
      </w:r>
      <w:r>
        <w:rPr>
          <w:rFonts w:ascii="Times New Roman;Times;serif" w:hAnsi="Times New Roman;Times;serif"/>
          <w:sz w:val="20"/>
        </w:rPr>
        <w:t>uses</w:t>
      </w:r>
      <w:r>
        <w:rPr>
          <w:rFonts w:ascii="Times New Roman;Times;serif" w:hAnsi="Times New Roman;Times;serif"/>
          <w:spacing w:val="24"/>
          <w:sz w:val="20"/>
        </w:rPr>
        <w:t xml:space="preserve"> </w:t>
      </w:r>
      <w:r>
        <w:rPr>
          <w:rFonts w:ascii="Times New Roman;Times;serif" w:hAnsi="Times New Roman;Times;serif"/>
          <w:sz w:val="20"/>
        </w:rPr>
        <w:t>for</w:t>
      </w:r>
      <w:r>
        <w:rPr>
          <w:rFonts w:ascii="Times New Roman;Times;serif" w:hAnsi="Times New Roman;Times;serif"/>
          <w:spacing w:val="25"/>
          <w:sz w:val="20"/>
        </w:rPr>
        <w:t xml:space="preserve"> </w:t>
      </w:r>
      <w:r>
        <w:rPr>
          <w:rFonts w:ascii="Times New Roman;Times;serif" w:hAnsi="Times New Roman;Times;serif"/>
          <w:sz w:val="20"/>
        </w:rPr>
        <w:t>cannabis</w:t>
      </w:r>
      <w:r>
        <w:rPr>
          <w:rFonts w:ascii="Times New Roman;Times;serif" w:hAnsi="Times New Roman;Times;serif"/>
          <w:spacing w:val="24"/>
          <w:sz w:val="20"/>
        </w:rPr>
        <w:t xml:space="preserve"> </w:t>
      </w:r>
      <w:r>
        <w:rPr>
          <w:rFonts w:ascii="Times New Roman;Times;serif" w:hAnsi="Times New Roman;Times;serif"/>
          <w:sz w:val="20"/>
        </w:rPr>
        <w:t>accepted</w:t>
      </w:r>
      <w:r>
        <w:rPr>
          <w:rFonts w:ascii="Times New Roman;Times;serif" w:hAnsi="Times New Roman;Times;serif"/>
          <w:spacing w:val="26"/>
          <w:sz w:val="20"/>
        </w:rPr>
        <w:t xml:space="preserve"> </w:t>
      </w:r>
      <w:r>
        <w:rPr>
          <w:rFonts w:ascii="Times New Roman;Times;serif" w:hAnsi="Times New Roman;Times;serif"/>
          <w:sz w:val="20"/>
        </w:rPr>
        <w:t>by</w:t>
      </w:r>
      <w:r>
        <w:rPr>
          <w:rFonts w:ascii="Times New Roman;Times;serif" w:hAnsi="Times New Roman;Times;serif"/>
          <w:spacing w:val="-2"/>
          <w:sz w:val="20"/>
        </w:rPr>
        <w:t xml:space="preserve"> </w:t>
      </w:r>
      <w:r>
        <w:rPr>
          <w:rFonts w:ascii="Times New Roman;Times;serif" w:hAnsi="Times New Roman;Times;serif"/>
          <w:sz w:val="20"/>
        </w:rPr>
        <w:t>physicians,</w:t>
      </w:r>
      <w:r>
        <w:rPr>
          <w:rFonts w:ascii="Times New Roman;Times;serif" w:hAnsi="Times New Roman;Times;serif"/>
          <w:spacing w:val="8"/>
          <w:sz w:val="20"/>
        </w:rPr>
        <w:t xml:space="preserve"> </w:t>
      </w:r>
      <w:r>
        <w:rPr>
          <w:rFonts w:ascii="Times New Roman;Times;serif" w:hAnsi="Times New Roman;Times;serif"/>
          <w:sz w:val="20"/>
        </w:rPr>
        <w:t>researchers,</w:t>
      </w:r>
      <w:r>
        <w:rPr>
          <w:rFonts w:ascii="Times New Roman;Times;serif" w:hAnsi="Times New Roman;Times;serif"/>
          <w:spacing w:val="8"/>
          <w:sz w:val="20"/>
        </w:rPr>
        <w:t xml:space="preserve"> </w:t>
      </w:r>
      <w:r>
        <w:rPr>
          <w:rFonts w:ascii="Times New Roman;Times;serif" w:hAnsi="Times New Roman;Times;serif"/>
          <w:sz w:val="20"/>
        </w:rPr>
        <w:t>patients,</w:t>
      </w:r>
      <w:r>
        <w:rPr>
          <w:rFonts w:ascii="Times New Roman;Times;serif" w:hAnsi="Times New Roman;Times;serif"/>
          <w:spacing w:val="8"/>
          <w:sz w:val="20"/>
        </w:rPr>
        <w:t xml:space="preserve"> </w:t>
      </w:r>
      <w:r>
        <w:rPr>
          <w:rFonts w:ascii="Times New Roman;Times;serif" w:hAnsi="Times New Roman;Times;serif"/>
          <w:sz w:val="20"/>
        </w:rPr>
        <w:t>and</w:t>
      </w:r>
      <w:r>
        <w:rPr>
          <w:rFonts w:ascii="Times New Roman;Times;serif" w:hAnsi="Times New Roman;Times;serif"/>
          <w:spacing w:val="9"/>
          <w:sz w:val="20"/>
        </w:rPr>
        <w:t xml:space="preserve"> </w:t>
      </w:r>
      <w:r>
        <w:rPr>
          <w:rFonts w:ascii="Times New Roman;Times;serif" w:hAnsi="Times New Roman;Times;serif"/>
          <w:sz w:val="20"/>
        </w:rPr>
        <w:t>others.</w:t>
      </w:r>
      <w:r>
        <w:rPr>
          <w:rFonts w:ascii="Times New Roman;Times;serif" w:hAnsi="Times New Roman;Times;serif"/>
          <w:spacing w:val="8"/>
          <w:sz w:val="20"/>
        </w:rPr>
        <w:t xml:space="preserve"> </w:t>
      </w:r>
      <w:r>
        <w:rPr>
          <w:rFonts w:ascii="Times New Roman;Times;serif" w:hAnsi="Times New Roman;Times;serif"/>
          <w:sz w:val="20"/>
        </w:rPr>
        <w:t>As</w:t>
      </w:r>
      <w:r>
        <w:rPr>
          <w:rFonts w:ascii="Times New Roman;Times;serif" w:hAnsi="Times New Roman;Times;serif"/>
          <w:spacing w:val="7"/>
          <w:sz w:val="20"/>
        </w:rPr>
        <w:t xml:space="preserve"> </w:t>
      </w:r>
      <w:r>
        <w:rPr>
          <w:rFonts w:ascii="Times New Roman;Times;serif" w:hAnsi="Times New Roman;Times;serif"/>
          <w:sz w:val="20"/>
        </w:rPr>
        <w:t>evidence</w:t>
      </w:r>
      <w:r>
        <w:rPr>
          <w:rFonts w:ascii="Times New Roman;Times;serif" w:hAnsi="Times New Roman;Times;serif"/>
          <w:spacing w:val="6"/>
          <w:sz w:val="20"/>
        </w:rPr>
        <w:t xml:space="preserve"> </w:t>
      </w:r>
      <w:r>
        <w:rPr>
          <w:rFonts w:ascii="Times New Roman;Times;serif" w:hAnsi="Times New Roman;Times;serif"/>
          <w:sz w:val="20"/>
        </w:rPr>
        <w:t>of</w:t>
      </w:r>
      <w:r>
        <w:rPr>
          <w:rFonts w:ascii="Times New Roman;Times;serif" w:hAnsi="Times New Roman;Times;serif"/>
          <w:spacing w:val="6"/>
          <w:sz w:val="20"/>
        </w:rPr>
        <w:t xml:space="preserve"> </w:t>
      </w:r>
      <w:r>
        <w:rPr>
          <w:rFonts w:ascii="Times New Roman;Times;serif" w:hAnsi="Times New Roman;Times;serif"/>
          <w:sz w:val="20"/>
        </w:rPr>
        <w:t>this,</w:t>
      </w:r>
      <w:r>
        <w:rPr>
          <w:rFonts w:ascii="Times New Roman;Times;serif" w:hAnsi="Times New Roman;Times;serif"/>
          <w:spacing w:val="8"/>
          <w:sz w:val="20"/>
        </w:rPr>
        <w:t xml:space="preserve"> </w:t>
      </w:r>
      <w:r>
        <w:rPr>
          <w:rFonts w:ascii="Times New Roman;Times;serif" w:hAnsi="Times New Roman;Times;serif"/>
          <w:sz w:val="20"/>
        </w:rPr>
        <w:t>the</w:t>
      </w:r>
      <w:r>
        <w:rPr>
          <w:rFonts w:ascii="Times New Roman;Times;serif" w:hAnsi="Times New Roman;Times;serif"/>
          <w:spacing w:val="8"/>
          <w:sz w:val="20"/>
        </w:rPr>
        <w:t xml:space="preserve"> </w:t>
      </w:r>
      <w:r>
        <w:rPr>
          <w:rFonts w:ascii="Times New Roman;Times;serif" w:hAnsi="Times New Roman;Times;serif"/>
          <w:sz w:val="20"/>
        </w:rPr>
        <w:t>FDA</w:t>
      </w:r>
      <w:r>
        <w:rPr>
          <w:rFonts w:ascii="Times New Roman;Times;serif" w:hAnsi="Times New Roman;Times;serif"/>
          <w:spacing w:val="7"/>
          <w:sz w:val="20"/>
        </w:rPr>
        <w:t xml:space="preserve"> </w:t>
      </w:r>
      <w:r>
        <w:rPr>
          <w:rFonts w:ascii="Times New Roman;Times;serif" w:hAnsi="Times New Roman;Times;serif"/>
          <w:sz w:val="20"/>
        </w:rPr>
        <w:t>on</w:t>
      </w:r>
      <w:r>
        <w:rPr>
          <w:rFonts w:ascii="Times New Roman;Times;serif" w:hAnsi="Times New Roman;Times;serif"/>
          <w:spacing w:val="9"/>
          <w:sz w:val="20"/>
        </w:rPr>
        <w:t xml:space="preserve"> </w:t>
      </w:r>
      <w:r>
        <w:rPr>
          <w:rFonts w:ascii="Times New Roman;Times;serif" w:hAnsi="Times New Roman;Times;serif"/>
          <w:sz w:val="20"/>
        </w:rPr>
        <w:t>June</w:t>
      </w:r>
      <w:r>
        <w:rPr>
          <w:rFonts w:ascii="Times New Roman;Times;serif" w:hAnsi="Times New Roman;Times;serif"/>
          <w:spacing w:val="8"/>
          <w:sz w:val="20"/>
        </w:rPr>
        <w:t xml:space="preserve"> </w:t>
      </w:r>
      <w:r>
        <w:rPr>
          <w:rFonts w:ascii="Times New Roman;Times;serif" w:hAnsi="Times New Roman;Times;serif"/>
          <w:sz w:val="20"/>
        </w:rPr>
        <w:t>25,</w:t>
      </w:r>
      <w:r>
        <w:rPr>
          <w:rFonts w:ascii="Times New Roman;Times;serif" w:hAnsi="Times New Roman;Times;serif"/>
          <w:spacing w:val="8"/>
          <w:sz w:val="20"/>
        </w:rPr>
        <w:t xml:space="preserve"> </w:t>
      </w:r>
      <w:r>
        <w:rPr>
          <w:rFonts w:ascii="Times New Roman;Times;serif" w:hAnsi="Times New Roman;Times;serif"/>
          <w:sz w:val="20"/>
        </w:rPr>
        <w:t>2018</w:t>
      </w:r>
      <w:r>
        <w:rPr>
          <w:rFonts w:ascii="Times New Roman;Times;serif" w:hAnsi="Times New Roman;Times;serif"/>
          <w:spacing w:val="9"/>
          <w:sz w:val="20"/>
        </w:rPr>
        <w:t xml:space="preserve"> </w:t>
      </w:r>
      <w:r>
        <w:rPr>
          <w:rFonts w:ascii="Times New Roman;Times;serif" w:hAnsi="Times New Roman;Times;serif"/>
          <w:sz w:val="20"/>
        </w:rPr>
        <w:t>approved</w:t>
      </w:r>
      <w:r>
        <w:rPr>
          <w:rFonts w:ascii="Times New Roman;Times;serif" w:hAnsi="Times New Roman;Times;serif"/>
          <w:spacing w:val="9"/>
          <w:sz w:val="20"/>
        </w:rPr>
        <w:t xml:space="preserve"> </w:t>
      </w:r>
      <w:r>
        <w:rPr>
          <w:rFonts w:ascii="Times New Roman;Times;serif" w:hAnsi="Times New Roman;Times;serif"/>
          <w:sz w:val="20"/>
        </w:rPr>
        <w:t>Epidiolex</w:t>
      </w:r>
      <w:r>
        <w:rPr>
          <w:rFonts w:ascii="Times New Roman;Times;serif" w:hAnsi="Times New Roman;Times;serif"/>
          <w:spacing w:val="9"/>
          <w:sz w:val="20"/>
        </w:rPr>
        <w:t xml:space="preserve"> </w:t>
      </w:r>
      <w:r>
        <w:rPr>
          <w:rFonts w:ascii="Times New Roman;Times;serif" w:hAnsi="Times New Roman;Times;serif"/>
          <w:sz w:val="20"/>
        </w:rPr>
        <w:t>(CBD)</w:t>
      </w:r>
      <w:r>
        <w:rPr>
          <w:rFonts w:ascii="Times New Roman;Times;serif" w:hAnsi="Times New Roman;Times;serif"/>
          <w:spacing w:val="8"/>
          <w:sz w:val="20"/>
        </w:rPr>
        <w:t xml:space="preserve"> </w:t>
      </w:r>
      <w:r>
        <w:rPr>
          <w:rFonts w:ascii="Times New Roman;Times;serif" w:hAnsi="Times New Roman;Times;serif"/>
          <w:sz w:val="20"/>
        </w:rPr>
        <w:t>oral</w:t>
      </w:r>
      <w:r>
        <w:rPr>
          <w:rFonts w:ascii="Times New Roman;Times;serif" w:hAnsi="Times New Roman;Times;serif"/>
          <w:spacing w:val="7"/>
          <w:sz w:val="20"/>
        </w:rPr>
        <w:t xml:space="preserve"> </w:t>
      </w:r>
      <w:r>
        <w:rPr>
          <w:rFonts w:ascii="Times New Roman;Times;serif" w:hAnsi="Times New Roman;Times;serif"/>
          <w:sz w:val="20"/>
        </w:rPr>
        <w:t>solution</w:t>
      </w:r>
      <w:r>
        <w:rPr>
          <w:rFonts w:ascii="Times New Roman;Times;serif" w:hAnsi="Times New Roman;Times;serif"/>
          <w:spacing w:val="-2"/>
          <w:sz w:val="20"/>
        </w:rPr>
        <w:t xml:space="preserve"> </w:t>
      </w:r>
      <w:r>
        <w:rPr>
          <w:rFonts w:ascii="Times New Roman;Times;serif" w:hAnsi="Times New Roman;Times;serif"/>
          <w:sz w:val="20"/>
        </w:rPr>
        <w:t>with</w:t>
      </w:r>
      <w:r>
        <w:rPr>
          <w:rFonts w:ascii="Times New Roman;Times;serif" w:hAnsi="Times New Roman;Times;serif"/>
          <w:spacing w:val="13"/>
          <w:sz w:val="20"/>
        </w:rPr>
        <w:t xml:space="preserve"> </w:t>
      </w:r>
      <w:r>
        <w:rPr>
          <w:rFonts w:ascii="Times New Roman;Times;serif" w:hAnsi="Times New Roman;Times;serif"/>
          <w:sz w:val="20"/>
        </w:rPr>
        <w:t>an</w:t>
      </w:r>
      <w:r>
        <w:rPr>
          <w:rFonts w:ascii="Times New Roman;Times;serif" w:hAnsi="Times New Roman;Times;serif"/>
          <w:spacing w:val="13"/>
          <w:sz w:val="20"/>
        </w:rPr>
        <w:t xml:space="preserve"> </w:t>
      </w:r>
      <w:r>
        <w:rPr>
          <w:rFonts w:ascii="Times New Roman;Times;serif" w:hAnsi="Times New Roman;Times;serif"/>
          <w:sz w:val="20"/>
        </w:rPr>
        <w:t>active</w:t>
      </w:r>
      <w:r>
        <w:rPr>
          <w:rFonts w:ascii="Times New Roman;Times;serif" w:hAnsi="Times New Roman;Times;serif"/>
          <w:spacing w:val="13"/>
          <w:sz w:val="20"/>
        </w:rPr>
        <w:t xml:space="preserve"> </w:t>
      </w:r>
      <w:r>
        <w:rPr>
          <w:rFonts w:ascii="Times New Roman;Times;serif" w:hAnsi="Times New Roman;Times;serif"/>
          <w:sz w:val="20"/>
        </w:rPr>
        <w:t>ingredient</w:t>
      </w:r>
      <w:r>
        <w:rPr>
          <w:rFonts w:ascii="Times New Roman;Times;serif" w:hAnsi="Times New Roman;Times;serif"/>
          <w:spacing w:val="12"/>
          <w:sz w:val="20"/>
        </w:rPr>
        <w:t xml:space="preserve"> </w:t>
      </w:r>
      <w:r>
        <w:rPr>
          <w:rFonts w:ascii="Times New Roman;Times;serif" w:hAnsi="Times New Roman;Times;serif"/>
          <w:sz w:val="20"/>
        </w:rPr>
        <w:t>derived</w:t>
      </w:r>
      <w:r>
        <w:rPr>
          <w:rFonts w:ascii="Times New Roman;Times;serif" w:hAnsi="Times New Roman;Times;serif"/>
          <w:spacing w:val="13"/>
          <w:sz w:val="20"/>
        </w:rPr>
        <w:t xml:space="preserve"> </w:t>
      </w:r>
      <w:r>
        <w:rPr>
          <w:rFonts w:ascii="Times New Roman;Times;serif" w:hAnsi="Times New Roman;Times;serif"/>
          <w:sz w:val="20"/>
        </w:rPr>
        <w:t>from</w:t>
      </w:r>
      <w:r>
        <w:rPr>
          <w:rFonts w:ascii="Times New Roman;Times;serif" w:hAnsi="Times New Roman;Times;serif"/>
          <w:spacing w:val="13"/>
          <w:sz w:val="20"/>
        </w:rPr>
        <w:t xml:space="preserve"> </w:t>
      </w:r>
      <w:r>
        <w:rPr>
          <w:rFonts w:ascii="Times New Roman;Times;serif" w:hAnsi="Times New Roman;Times;serif"/>
          <w:sz w:val="20"/>
        </w:rPr>
        <w:t>the</w:t>
      </w:r>
      <w:r>
        <w:rPr>
          <w:rFonts w:ascii="Times New Roman;Times;serif" w:hAnsi="Times New Roman;Times;serif"/>
          <w:spacing w:val="13"/>
          <w:sz w:val="20"/>
        </w:rPr>
        <w:t xml:space="preserve"> </w:t>
      </w:r>
      <w:r>
        <w:rPr>
          <w:rFonts w:ascii="Times New Roman;Times;serif" w:hAnsi="Times New Roman;Times;serif"/>
          <w:sz w:val="20"/>
        </w:rPr>
        <w:t>cannabis</w:t>
      </w:r>
      <w:r>
        <w:rPr>
          <w:rFonts w:ascii="Times New Roman;Times;serif" w:hAnsi="Times New Roman;Times;serif"/>
          <w:spacing w:val="12"/>
          <w:sz w:val="20"/>
        </w:rPr>
        <w:t xml:space="preserve"> </w:t>
      </w:r>
      <w:r>
        <w:rPr>
          <w:rFonts w:ascii="Times New Roman;Times;serif" w:hAnsi="Times New Roman;Times;serif"/>
          <w:sz w:val="20"/>
        </w:rPr>
        <w:t>plant</w:t>
      </w:r>
      <w:r>
        <w:rPr>
          <w:rFonts w:ascii="Times New Roman;Times;serif" w:hAnsi="Times New Roman;Times;serif"/>
          <w:spacing w:val="12"/>
          <w:sz w:val="20"/>
        </w:rPr>
        <w:t xml:space="preserve"> </w:t>
      </w:r>
      <w:r>
        <w:rPr>
          <w:rFonts w:ascii="Times New Roman;Times;serif" w:hAnsi="Times New Roman;Times;serif"/>
          <w:sz w:val="20"/>
        </w:rPr>
        <w:t>for</w:t>
      </w:r>
      <w:r>
        <w:rPr>
          <w:rFonts w:ascii="Times New Roman;Times;serif" w:hAnsi="Times New Roman;Times;serif"/>
          <w:spacing w:val="13"/>
          <w:sz w:val="20"/>
        </w:rPr>
        <w:t xml:space="preserve"> </w:t>
      </w:r>
      <w:r>
        <w:rPr>
          <w:rFonts w:ascii="Times New Roman;Times;serif" w:hAnsi="Times New Roman;Times;serif"/>
          <w:sz w:val="20"/>
        </w:rPr>
        <w:t>the</w:t>
      </w:r>
      <w:r>
        <w:rPr>
          <w:rFonts w:ascii="Times New Roman;Times;serif" w:hAnsi="Times New Roman;Times;serif"/>
          <w:spacing w:val="13"/>
          <w:sz w:val="20"/>
        </w:rPr>
        <w:t xml:space="preserve"> </w:t>
      </w:r>
      <w:r>
        <w:rPr>
          <w:rFonts w:ascii="Times New Roman;Times;serif" w:hAnsi="Times New Roman;Times;serif"/>
          <w:sz w:val="20"/>
        </w:rPr>
        <w:t>treatment</w:t>
      </w:r>
      <w:r>
        <w:rPr>
          <w:rFonts w:ascii="Times New Roman;Times;serif" w:hAnsi="Times New Roman;Times;serif"/>
          <w:spacing w:val="12"/>
          <w:sz w:val="20"/>
        </w:rPr>
        <w:t xml:space="preserve"> </w:t>
      </w:r>
      <w:r>
        <w:rPr>
          <w:rFonts w:ascii="Times New Roman;Times;serif" w:hAnsi="Times New Roman;Times;serif"/>
          <w:sz w:val="20"/>
        </w:rPr>
        <w:t>of</w:t>
      </w:r>
      <w:r>
        <w:rPr>
          <w:rFonts w:ascii="Times New Roman;Times;serif" w:hAnsi="Times New Roman;Times;serif"/>
          <w:spacing w:val="13"/>
          <w:sz w:val="20"/>
        </w:rPr>
        <w:t xml:space="preserve"> </w:t>
      </w:r>
      <w:r>
        <w:rPr>
          <w:rFonts w:ascii="Times New Roman;Times;serif" w:hAnsi="Times New Roman;Times;serif"/>
          <w:sz w:val="20"/>
        </w:rPr>
        <w:t>seizures</w:t>
      </w:r>
      <w:r>
        <w:rPr>
          <w:rFonts w:ascii="Times New Roman;Times;serif" w:hAnsi="Times New Roman;Times;serif"/>
          <w:spacing w:val="12"/>
          <w:sz w:val="20"/>
        </w:rPr>
        <w:t xml:space="preserve"> </w:t>
      </w:r>
      <w:r>
        <w:rPr>
          <w:rFonts w:ascii="Times New Roman;Times;serif" w:hAnsi="Times New Roman;Times;serif"/>
          <w:sz w:val="20"/>
        </w:rPr>
        <w:t>associated</w:t>
      </w:r>
      <w:r>
        <w:rPr>
          <w:rFonts w:ascii="Times New Roman;Times;serif" w:hAnsi="Times New Roman;Times;serif"/>
          <w:spacing w:val="13"/>
          <w:sz w:val="20"/>
        </w:rPr>
        <w:t xml:space="preserve"> </w:t>
      </w:r>
      <w:r>
        <w:rPr>
          <w:rFonts w:ascii="Times New Roman;Times;serif" w:hAnsi="Times New Roman;Times;serif"/>
          <w:sz w:val="20"/>
        </w:rPr>
        <w:t>with</w:t>
      </w:r>
      <w:r>
        <w:rPr>
          <w:rFonts w:ascii="Times New Roman;Times;serif" w:hAnsi="Times New Roman;Times;serif"/>
          <w:spacing w:val="13"/>
          <w:sz w:val="20"/>
        </w:rPr>
        <w:t xml:space="preserve"> </w:t>
      </w:r>
      <w:r>
        <w:rPr>
          <w:rFonts w:ascii="Times New Roman;Times;serif" w:hAnsi="Times New Roman;Times;serif"/>
          <w:sz w:val="20"/>
        </w:rPr>
        <w:t>two</w:t>
      </w:r>
      <w:r>
        <w:rPr>
          <w:rFonts w:ascii="Times New Roman;Times;serif" w:hAnsi="Times New Roman;Times;serif"/>
          <w:spacing w:val="13"/>
          <w:sz w:val="20"/>
        </w:rPr>
        <w:t xml:space="preserve"> </w:t>
      </w:r>
      <w:r>
        <w:rPr>
          <w:rFonts w:ascii="Times New Roman;Times;serif" w:hAnsi="Times New Roman;Times;serif"/>
          <w:sz w:val="20"/>
        </w:rPr>
        <w:t>rare</w:t>
      </w:r>
      <w:r>
        <w:rPr>
          <w:rFonts w:ascii="Times New Roman;Times;serif" w:hAnsi="Times New Roman;Times;serif"/>
          <w:spacing w:val="13"/>
          <w:sz w:val="20"/>
        </w:rPr>
        <w:t xml:space="preserve"> </w:t>
      </w:r>
      <w:r>
        <w:rPr>
          <w:rFonts w:ascii="Times New Roman;Times;serif" w:hAnsi="Times New Roman;Times;serif"/>
          <w:sz w:val="20"/>
        </w:rPr>
        <w:t>and</w:t>
      </w:r>
      <w:r>
        <w:rPr>
          <w:rFonts w:ascii="Times New Roman;Times;serif" w:hAnsi="Times New Roman;Times;serif"/>
          <w:spacing w:val="13"/>
          <w:sz w:val="20"/>
        </w:rPr>
        <w:t xml:space="preserve"> </w:t>
      </w:r>
      <w:r>
        <w:rPr>
          <w:rFonts w:ascii="Times New Roman;Times;serif" w:hAnsi="Times New Roman;Times;serif"/>
          <w:sz w:val="20"/>
        </w:rPr>
        <w:t>severe</w:t>
      </w:r>
      <w:r>
        <w:rPr>
          <w:rFonts w:ascii="Times New Roman;Times;serif" w:hAnsi="Times New Roman;Times;serif"/>
          <w:spacing w:val="13"/>
          <w:sz w:val="20"/>
        </w:rPr>
        <w:t xml:space="preserve"> </w:t>
      </w:r>
      <w:r>
        <w:rPr>
          <w:rFonts w:ascii="Times New Roman;Times;serif" w:hAnsi="Times New Roman;Times;serif"/>
          <w:sz w:val="20"/>
        </w:rPr>
        <w:t>forms</w:t>
      </w:r>
      <w:r>
        <w:rPr>
          <w:rFonts w:ascii="Times New Roman;Times;serif" w:hAnsi="Times New Roman;Times;serif"/>
          <w:spacing w:val="12"/>
          <w:sz w:val="20"/>
        </w:rPr>
        <w:t xml:space="preserve"> </w:t>
      </w:r>
      <w:r>
        <w:rPr>
          <w:rFonts w:ascii="Times New Roman;Times;serif" w:hAnsi="Times New Roman;Times;serif"/>
          <w:sz w:val="20"/>
        </w:rPr>
        <w:t>of</w:t>
      </w:r>
      <w:r>
        <w:rPr>
          <w:rFonts w:ascii="Times New Roman;Times;serif" w:hAnsi="Times New Roman;Times;serif"/>
          <w:spacing w:val="-2"/>
          <w:sz w:val="20"/>
        </w:rPr>
        <w:t xml:space="preserve"> </w:t>
      </w:r>
      <w:r>
        <w:rPr>
          <w:rFonts w:ascii="Times New Roman;Times;serif" w:hAnsi="Times New Roman;Times;serif"/>
          <w:sz w:val="20"/>
        </w:rPr>
        <w:t>epilepsy,</w:t>
      </w:r>
      <w:r>
        <w:rPr>
          <w:rFonts w:ascii="Times New Roman;Times;serif" w:hAnsi="Times New Roman;Times;serif"/>
          <w:spacing w:val="1"/>
          <w:sz w:val="20"/>
        </w:rPr>
        <w:t xml:space="preserve"> </w:t>
      </w:r>
      <w:r>
        <w:rPr>
          <w:rFonts w:ascii="Times New Roman;Times;serif" w:hAnsi="Times New Roman;Times;serif"/>
          <w:sz w:val="20"/>
        </w:rPr>
        <w:t>Lennox-Gastaut syndrome,</w:t>
      </w:r>
      <w:r>
        <w:rPr>
          <w:rFonts w:ascii="Times New Roman;Times;serif" w:hAnsi="Times New Roman;Times;serif"/>
          <w:spacing w:val="1"/>
          <w:sz w:val="20"/>
        </w:rPr>
        <w:t xml:space="preserve"> </w:t>
      </w:r>
      <w:r>
        <w:rPr>
          <w:rFonts w:ascii="Times New Roman;Times;serif" w:hAnsi="Times New Roman;Times;serif"/>
          <w:sz w:val="20"/>
        </w:rPr>
        <w:t>and</w:t>
      </w:r>
      <w:r>
        <w:rPr>
          <w:rFonts w:ascii="Times New Roman;Times;serif" w:hAnsi="Times New Roman;Times;serif"/>
          <w:spacing w:val="1"/>
          <w:sz w:val="20"/>
        </w:rPr>
        <w:t xml:space="preserve"> </w:t>
      </w:r>
      <w:r>
        <w:rPr>
          <w:rFonts w:ascii="Times New Roman;Times;serif" w:hAnsi="Times New Roman;Times;serif"/>
          <w:sz w:val="20"/>
        </w:rPr>
        <w:t>Dravet syndrome,</w:t>
      </w:r>
      <w:r>
        <w:rPr>
          <w:rFonts w:ascii="Times New Roman;Times;serif" w:hAnsi="Times New Roman;Times;serif"/>
          <w:spacing w:val="1"/>
          <w:sz w:val="20"/>
        </w:rPr>
        <w:t xml:space="preserve"> </w:t>
      </w:r>
      <w:r>
        <w:rPr>
          <w:rFonts w:ascii="Times New Roman;Times;serif" w:hAnsi="Times New Roman;Times;serif"/>
          <w:sz w:val="20"/>
        </w:rPr>
        <w:t>in</w:t>
      </w:r>
      <w:r>
        <w:rPr>
          <w:rFonts w:ascii="Times New Roman;Times;serif" w:hAnsi="Times New Roman;Times;serif"/>
          <w:spacing w:val="1"/>
          <w:sz w:val="20"/>
        </w:rPr>
        <w:t xml:space="preserve"> </w:t>
      </w:r>
      <w:r>
        <w:rPr>
          <w:rFonts w:ascii="Times New Roman;Times;serif" w:hAnsi="Times New Roman;Times;serif"/>
          <w:sz w:val="20"/>
        </w:rPr>
        <w:t>patients two</w:t>
      </w:r>
      <w:r>
        <w:rPr>
          <w:rFonts w:ascii="Times New Roman;Times;serif" w:hAnsi="Times New Roman;Times;serif"/>
          <w:spacing w:val="1"/>
          <w:sz w:val="20"/>
        </w:rPr>
        <w:t xml:space="preserve"> </w:t>
      </w:r>
      <w:r>
        <w:rPr>
          <w:rFonts w:ascii="Times New Roman;Times;serif" w:hAnsi="Times New Roman;Times;serif"/>
          <w:sz w:val="20"/>
        </w:rPr>
        <w:t>years of</w:t>
      </w:r>
      <w:r>
        <w:rPr>
          <w:rFonts w:ascii="Times New Roman;Times;serif" w:hAnsi="Times New Roman;Times;serif"/>
          <w:spacing w:val="1"/>
          <w:sz w:val="20"/>
        </w:rPr>
        <w:t xml:space="preserve"> </w:t>
      </w:r>
      <w:r>
        <w:rPr>
          <w:rFonts w:ascii="Times New Roman;Times;serif" w:hAnsi="Times New Roman;Times;serif"/>
          <w:sz w:val="20"/>
        </w:rPr>
        <w:t>age</w:t>
      </w:r>
      <w:r>
        <w:rPr>
          <w:rFonts w:ascii="Times New Roman;Times;serif" w:hAnsi="Times New Roman;Times;serif"/>
          <w:spacing w:val="1"/>
          <w:sz w:val="20"/>
        </w:rPr>
        <w:t xml:space="preserve"> </w:t>
      </w:r>
      <w:r>
        <w:rPr>
          <w:rFonts w:ascii="Times New Roman;Times;serif" w:hAnsi="Times New Roman;Times;serif"/>
          <w:sz w:val="20"/>
        </w:rPr>
        <w:t>and</w:t>
      </w:r>
      <w:r>
        <w:rPr>
          <w:rFonts w:ascii="Times New Roman;Times;serif" w:hAnsi="Times New Roman;Times;serif"/>
          <w:spacing w:val="1"/>
          <w:sz w:val="20"/>
        </w:rPr>
        <w:t xml:space="preserve"> </w:t>
      </w:r>
      <w:r>
        <w:rPr>
          <w:rFonts w:ascii="Times New Roman;Times;serif" w:hAnsi="Times New Roman;Times;serif"/>
          <w:sz w:val="20"/>
        </w:rPr>
        <w:t>older.</w:t>
      </w:r>
      <w:r>
        <w:rPr>
          <w:rFonts w:ascii="Times New Roman;Times;serif" w:hAnsi="Times New Roman;Times;serif"/>
          <w:spacing w:val="1"/>
          <w:sz w:val="20"/>
        </w:rPr>
        <w:t xml:space="preserve"> </w:t>
      </w:r>
      <w:r>
        <w:rPr>
          <w:rFonts w:ascii="Times New Roman;Times;serif" w:hAnsi="Times New Roman;Times;serif"/>
          <w:sz w:val="20"/>
        </w:rPr>
        <w:t>This is the</w:t>
      </w:r>
      <w:r>
        <w:rPr>
          <w:rFonts w:ascii="Times New Roman;Times;serif" w:hAnsi="Times New Roman;Times;serif"/>
          <w:spacing w:val="1"/>
          <w:sz w:val="20"/>
        </w:rPr>
        <w:t xml:space="preserve"> </w:t>
      </w:r>
      <w:r>
        <w:rPr>
          <w:rFonts w:ascii="Times New Roman;Times;serif" w:hAnsi="Times New Roman;Times;serif"/>
          <w:sz w:val="20"/>
        </w:rPr>
        <w:t>first FDA-approved</w:t>
      </w:r>
      <w:r>
        <w:rPr>
          <w:rFonts w:ascii="Times New Roman;Times;serif" w:hAnsi="Times New Roman;Times;serif"/>
          <w:spacing w:val="1"/>
          <w:sz w:val="20"/>
        </w:rPr>
        <w:t xml:space="preserve"> </w:t>
      </w:r>
      <w:r>
        <w:rPr>
          <w:rFonts w:ascii="Times New Roman;Times;serif" w:hAnsi="Times New Roman;Times;serif"/>
          <w:sz w:val="20"/>
        </w:rPr>
        <w:t>drug</w:t>
      </w:r>
      <w:r>
        <w:rPr>
          <w:rFonts w:ascii="Times New Roman;Times;serif" w:hAnsi="Times New Roman;Times;serif"/>
          <w:spacing w:val="-1"/>
          <w:sz w:val="20"/>
        </w:rPr>
        <w:t xml:space="preserve"> </w:t>
      </w:r>
      <w:r>
        <w:rPr>
          <w:rFonts w:ascii="Times New Roman;Times;serif" w:hAnsi="Times New Roman;Times;serif"/>
          <w:sz w:val="20"/>
        </w:rPr>
        <w:t>that</w:t>
      </w:r>
      <w:r>
        <w:rPr>
          <w:rFonts w:ascii="Times New Roman;Times;serif" w:hAnsi="Times New Roman;Times;serif"/>
          <w:spacing w:val="-7"/>
          <w:sz w:val="20"/>
        </w:rPr>
        <w:t xml:space="preserve"> </w:t>
      </w:r>
      <w:r>
        <w:rPr>
          <w:rFonts w:ascii="Times New Roman;Times;serif" w:hAnsi="Times New Roman;Times;serif"/>
          <w:sz w:val="20"/>
        </w:rPr>
        <w:t>contains</w:t>
      </w:r>
      <w:r>
        <w:rPr>
          <w:rFonts w:ascii="Times New Roman;Times;serif" w:hAnsi="Times New Roman;Times;serif"/>
          <w:spacing w:val="-8"/>
          <w:sz w:val="20"/>
        </w:rPr>
        <w:t xml:space="preserve"> </w:t>
      </w:r>
      <w:r>
        <w:rPr>
          <w:rFonts w:ascii="Times New Roman;Times;serif" w:hAnsi="Times New Roman;Times;serif"/>
          <w:sz w:val="20"/>
        </w:rPr>
        <w:t>a</w:t>
      </w:r>
      <w:r>
        <w:rPr>
          <w:rFonts w:ascii="Times New Roman;Times;serif" w:hAnsi="Times New Roman;Times;serif"/>
          <w:spacing w:val="-6"/>
          <w:sz w:val="20"/>
        </w:rPr>
        <w:t xml:space="preserve"> </w:t>
      </w:r>
      <w:r>
        <w:rPr>
          <w:rFonts w:ascii="Times New Roman;Times;serif" w:hAnsi="Times New Roman;Times;serif"/>
          <w:sz w:val="20"/>
        </w:rPr>
        <w:t>purified</w:t>
      </w:r>
      <w:r>
        <w:rPr>
          <w:rFonts w:ascii="Times New Roman;Times;serif" w:hAnsi="Times New Roman;Times;serif"/>
          <w:spacing w:val="-6"/>
          <w:sz w:val="20"/>
        </w:rPr>
        <w:t xml:space="preserve"> </w:t>
      </w:r>
      <w:r>
        <w:rPr>
          <w:rFonts w:ascii="Times New Roman;Times;serif" w:hAnsi="Times New Roman;Times;serif"/>
          <w:sz w:val="20"/>
        </w:rPr>
        <w:t>drug</w:t>
      </w:r>
      <w:r>
        <w:rPr>
          <w:rFonts w:ascii="Times New Roman;Times;serif" w:hAnsi="Times New Roman;Times;serif"/>
          <w:spacing w:val="-6"/>
          <w:sz w:val="20"/>
        </w:rPr>
        <w:t xml:space="preserve"> </w:t>
      </w:r>
      <w:r>
        <w:rPr>
          <w:rFonts w:ascii="Times New Roman;Times;serif" w:hAnsi="Times New Roman;Times;serif"/>
          <w:sz w:val="20"/>
        </w:rPr>
        <w:t>substance</w:t>
      </w:r>
      <w:r>
        <w:rPr>
          <w:rFonts w:ascii="Times New Roman;Times;serif" w:hAnsi="Times New Roman;Times;serif"/>
          <w:spacing w:val="-6"/>
          <w:sz w:val="20"/>
        </w:rPr>
        <w:t xml:space="preserve"> </w:t>
      </w:r>
      <w:r>
        <w:rPr>
          <w:rFonts w:ascii="Times New Roman;Times;serif" w:hAnsi="Times New Roman;Times;serif"/>
          <w:sz w:val="20"/>
        </w:rPr>
        <w:t>derived</w:t>
      </w:r>
      <w:r>
        <w:rPr>
          <w:rFonts w:ascii="Times New Roman;Times;serif" w:hAnsi="Times New Roman;Times;serif"/>
          <w:spacing w:val="-8"/>
          <w:sz w:val="20"/>
        </w:rPr>
        <w:t xml:space="preserve"> </w:t>
      </w:r>
      <w:r>
        <w:rPr>
          <w:rFonts w:ascii="Times New Roman;Times;serif" w:hAnsi="Times New Roman;Times;serif"/>
          <w:sz w:val="20"/>
        </w:rPr>
        <w:t>from</w:t>
      </w:r>
      <w:r>
        <w:rPr>
          <w:rFonts w:ascii="Times New Roman;Times;serif" w:hAnsi="Times New Roman;Times;serif"/>
          <w:spacing w:val="-6"/>
          <w:sz w:val="20"/>
        </w:rPr>
        <w:t xml:space="preserve"> </w:t>
      </w:r>
      <w:r>
        <w:rPr>
          <w:rFonts w:ascii="Times New Roman;Times;serif" w:hAnsi="Times New Roman;Times;serif"/>
          <w:sz w:val="20"/>
        </w:rPr>
        <w:t>the</w:t>
      </w:r>
      <w:r>
        <w:rPr>
          <w:rFonts w:ascii="Times New Roman;Times;serif" w:hAnsi="Times New Roman;Times;serif"/>
          <w:spacing w:val="-7"/>
          <w:sz w:val="20"/>
        </w:rPr>
        <w:t xml:space="preserve"> </w:t>
      </w:r>
      <w:r>
        <w:rPr>
          <w:rFonts w:ascii="Times New Roman;Times;serif" w:hAnsi="Times New Roman;Times;serif"/>
          <w:sz w:val="20"/>
        </w:rPr>
        <w:t>cannabis</w:t>
      </w:r>
      <w:r>
        <w:rPr>
          <w:rFonts w:ascii="Times New Roman;Times;serif" w:hAnsi="Times New Roman;Times;serif"/>
          <w:spacing w:val="-8"/>
          <w:sz w:val="20"/>
        </w:rPr>
        <w:t xml:space="preserve"> </w:t>
      </w:r>
      <w:r>
        <w:rPr>
          <w:rFonts w:ascii="Times New Roman;Times;serif" w:hAnsi="Times New Roman;Times;serif"/>
          <w:sz w:val="20"/>
        </w:rPr>
        <w:t>plant.</w:t>
      </w:r>
      <w:r>
        <w:rPr>
          <w:rFonts w:ascii="Times New Roman;Times;serif" w:hAnsi="Times New Roman;Times;serif"/>
          <w:spacing w:val="-6"/>
          <w:sz w:val="20"/>
        </w:rPr>
        <w:t xml:space="preserve"> </w:t>
      </w:r>
      <w:r>
        <w:rPr>
          <w:rFonts w:ascii="Times New Roman;Times;serif" w:hAnsi="Times New Roman;Times;serif"/>
          <w:sz w:val="20"/>
        </w:rPr>
        <w:t>CBD</w:t>
      </w:r>
      <w:r>
        <w:rPr>
          <w:rFonts w:ascii="Times New Roman;Times;serif" w:hAnsi="Times New Roman;Times;serif"/>
          <w:spacing w:val="-7"/>
          <w:sz w:val="20"/>
        </w:rPr>
        <w:t xml:space="preserve"> </w:t>
      </w:r>
      <w:r>
        <w:rPr>
          <w:rFonts w:ascii="Times New Roman;Times;serif" w:hAnsi="Times New Roman;Times;serif"/>
          <w:sz w:val="20"/>
        </w:rPr>
        <w:t>is</w:t>
      </w:r>
      <w:r>
        <w:rPr>
          <w:rFonts w:ascii="Times New Roman;Times;serif" w:hAnsi="Times New Roman;Times;serif"/>
          <w:spacing w:val="-8"/>
          <w:sz w:val="20"/>
        </w:rPr>
        <w:t xml:space="preserve"> </w:t>
      </w:r>
      <w:r>
        <w:rPr>
          <w:rFonts w:ascii="Times New Roman;Times;serif" w:hAnsi="Times New Roman;Times;serif"/>
          <w:sz w:val="20"/>
        </w:rPr>
        <w:t>a</w:t>
      </w:r>
      <w:r>
        <w:rPr>
          <w:rFonts w:ascii="Times New Roman;Times;serif" w:hAnsi="Times New Roman;Times;serif"/>
          <w:spacing w:val="-6"/>
          <w:sz w:val="20"/>
        </w:rPr>
        <w:t xml:space="preserve"> </w:t>
      </w:r>
      <w:r>
        <w:rPr>
          <w:rFonts w:ascii="Times New Roman;Times;serif" w:hAnsi="Times New Roman;Times;serif"/>
          <w:sz w:val="20"/>
        </w:rPr>
        <w:t>chemical</w:t>
      </w:r>
      <w:r>
        <w:rPr>
          <w:rFonts w:ascii="Times New Roman;Times;serif" w:hAnsi="Times New Roman;Times;serif"/>
          <w:spacing w:val="-7"/>
          <w:sz w:val="20"/>
        </w:rPr>
        <w:t xml:space="preserve"> </w:t>
      </w:r>
      <w:r>
        <w:rPr>
          <w:rFonts w:ascii="Times New Roman;Times;serif" w:hAnsi="Times New Roman;Times;serif"/>
          <w:sz w:val="20"/>
        </w:rPr>
        <w:t>component</w:t>
      </w:r>
      <w:r>
        <w:rPr>
          <w:rFonts w:ascii="Times New Roman;Times;serif" w:hAnsi="Times New Roman;Times;serif"/>
          <w:spacing w:val="-7"/>
          <w:sz w:val="20"/>
        </w:rPr>
        <w:t xml:space="preserve"> </w:t>
      </w:r>
      <w:r>
        <w:rPr>
          <w:rFonts w:ascii="Times New Roman;Times;serif" w:hAnsi="Times New Roman;Times;serif"/>
          <w:sz w:val="20"/>
        </w:rPr>
        <w:t>of</w:t>
      </w:r>
      <w:r>
        <w:rPr>
          <w:rFonts w:ascii="Times New Roman;Times;serif" w:hAnsi="Times New Roman;Times;serif"/>
          <w:spacing w:val="-6"/>
          <w:sz w:val="20"/>
        </w:rPr>
        <w:t xml:space="preserve"> </w:t>
      </w:r>
      <w:r>
        <w:rPr>
          <w:rFonts w:ascii="Times New Roman;Times;serif" w:hAnsi="Times New Roman;Times;serif"/>
          <w:sz w:val="20"/>
        </w:rPr>
        <w:t>cannabis</w:t>
      </w:r>
      <w:r>
        <w:rPr>
          <w:rFonts w:ascii="Times New Roman;Times;serif" w:hAnsi="Times New Roman;Times;serif"/>
          <w:spacing w:val="-8"/>
          <w:sz w:val="20"/>
        </w:rPr>
        <w:t xml:space="preserve"> </w:t>
      </w:r>
      <w:r>
        <w:rPr>
          <w:rFonts w:ascii="Times New Roman;Times;serif" w:hAnsi="Times New Roman;Times;serif"/>
          <w:sz w:val="20"/>
        </w:rPr>
        <w:t>that</w:t>
      </w:r>
      <w:r>
        <w:rPr>
          <w:rFonts w:ascii="Times New Roman;Times;serif" w:hAnsi="Times New Roman;Times;serif"/>
          <w:spacing w:val="-7"/>
          <w:sz w:val="20"/>
        </w:rPr>
        <w:t xml:space="preserve"> </w:t>
      </w:r>
      <w:r>
        <w:rPr>
          <w:rFonts w:ascii="Times New Roman;Times;serif" w:hAnsi="Times New Roman;Times;serif"/>
          <w:sz w:val="20"/>
        </w:rPr>
        <w:t>does</w:t>
      </w:r>
      <w:r>
        <w:rPr>
          <w:rFonts w:ascii="Times New Roman;Times;serif" w:hAnsi="Times New Roman;Times;serif"/>
          <w:spacing w:val="-8"/>
          <w:sz w:val="20"/>
        </w:rPr>
        <w:t xml:space="preserve"> </w:t>
      </w:r>
      <w:r>
        <w:rPr>
          <w:rFonts w:ascii="Times New Roman;Times;serif" w:hAnsi="Times New Roman;Times;serif"/>
          <w:sz w:val="20"/>
        </w:rPr>
        <w:t>not</w:t>
      </w:r>
      <w:r>
        <w:rPr>
          <w:rFonts w:ascii="Times New Roman;Times;serif" w:hAnsi="Times New Roman;Times;serif"/>
          <w:spacing w:val="-7"/>
          <w:sz w:val="20"/>
        </w:rPr>
        <w:t xml:space="preserve"> </w:t>
      </w:r>
      <w:r>
        <w:rPr>
          <w:rFonts w:ascii="Times New Roman;Times;serif" w:hAnsi="Times New Roman;Times;serif"/>
          <w:sz w:val="20"/>
        </w:rPr>
        <w:t>contain</w:t>
      </w:r>
      <w:r>
        <w:rPr>
          <w:rFonts w:ascii="Times New Roman;Times;serif" w:hAnsi="Times New Roman;Times;serif"/>
          <w:spacing w:val="-2"/>
          <w:sz w:val="20"/>
        </w:rPr>
        <w:t xml:space="preserve"> </w:t>
      </w:r>
      <w:r>
        <w:rPr>
          <w:rFonts w:ascii="Times New Roman;Times;serif" w:hAnsi="Times New Roman;Times;serif"/>
          <w:sz w:val="20"/>
        </w:rPr>
        <w:t>the</w:t>
      </w:r>
      <w:r>
        <w:rPr>
          <w:rFonts w:ascii="Times New Roman;Times;serif" w:hAnsi="Times New Roman;Times;serif"/>
          <w:spacing w:val="30"/>
          <w:sz w:val="20"/>
        </w:rPr>
        <w:t xml:space="preserve"> </w:t>
      </w:r>
      <w:r>
        <w:rPr>
          <w:rFonts w:ascii="Times New Roman;Times;serif" w:hAnsi="Times New Roman;Times;serif"/>
          <w:sz w:val="20"/>
        </w:rPr>
        <w:t>intoxication</w:t>
      </w:r>
      <w:r>
        <w:rPr>
          <w:rFonts w:ascii="Times New Roman;Times;serif" w:hAnsi="Times New Roman;Times;serif"/>
          <w:spacing w:val="28"/>
          <w:sz w:val="20"/>
        </w:rPr>
        <w:t xml:space="preserve"> </w:t>
      </w:r>
      <w:r>
        <w:rPr>
          <w:rFonts w:ascii="Times New Roman;Times;serif" w:hAnsi="Times New Roman;Times;serif"/>
          <w:sz w:val="20"/>
        </w:rPr>
        <w:t>properties</w:t>
      </w:r>
      <w:r>
        <w:rPr>
          <w:rFonts w:ascii="Times New Roman;Times;serif" w:hAnsi="Times New Roman;Times;serif"/>
          <w:spacing w:val="28"/>
          <w:sz w:val="20"/>
        </w:rPr>
        <w:t xml:space="preserve"> </w:t>
      </w:r>
      <w:r>
        <w:rPr>
          <w:rFonts w:ascii="Times New Roman;Times;serif" w:hAnsi="Times New Roman;Times;serif"/>
          <w:sz w:val="20"/>
        </w:rPr>
        <w:t>of</w:t>
      </w:r>
      <w:r>
        <w:rPr>
          <w:rFonts w:ascii="Times New Roman;Times;serif" w:hAnsi="Times New Roman;Times;serif"/>
          <w:spacing w:val="28"/>
          <w:sz w:val="20"/>
        </w:rPr>
        <w:t xml:space="preserve"> </w:t>
      </w:r>
      <w:r>
        <w:rPr>
          <w:rFonts w:ascii="Times New Roman;Times;serif" w:hAnsi="Times New Roman;Times;serif"/>
          <w:sz w:val="20"/>
        </w:rPr>
        <w:t>THC</w:t>
      </w:r>
      <w:r>
        <w:rPr>
          <w:rFonts w:ascii="Times New Roman;Times;serif" w:hAnsi="Times New Roman;Times;serif"/>
          <w:spacing w:val="28"/>
          <w:sz w:val="20"/>
        </w:rPr>
        <w:t xml:space="preserve"> </w:t>
      </w:r>
      <w:r>
        <w:rPr>
          <w:rFonts w:ascii="Times New Roman;Times;serif" w:hAnsi="Times New Roman;Times;serif"/>
          <w:sz w:val="20"/>
        </w:rPr>
        <w:t>(“THC”),</w:t>
      </w:r>
      <w:r>
        <w:rPr>
          <w:rFonts w:ascii="Times New Roman;Times;serif" w:hAnsi="Times New Roman;Times;serif"/>
          <w:spacing w:val="30"/>
          <w:sz w:val="20"/>
        </w:rPr>
        <w:t xml:space="preserve"> </w:t>
      </w:r>
      <w:r>
        <w:rPr>
          <w:rFonts w:ascii="Times New Roman;Times;serif" w:hAnsi="Times New Roman;Times;serif"/>
          <w:sz w:val="20"/>
        </w:rPr>
        <w:t>the</w:t>
      </w:r>
      <w:r>
        <w:rPr>
          <w:rFonts w:ascii="Times New Roman;Times;serif" w:hAnsi="Times New Roman;Times;serif"/>
          <w:spacing w:val="30"/>
          <w:sz w:val="20"/>
        </w:rPr>
        <w:t xml:space="preserve"> </w:t>
      </w:r>
      <w:r>
        <w:rPr>
          <w:rFonts w:ascii="Times New Roman;Times;serif" w:hAnsi="Times New Roman;Times;serif"/>
          <w:sz w:val="20"/>
        </w:rPr>
        <w:t>primary</w:t>
      </w:r>
      <w:r>
        <w:rPr>
          <w:rFonts w:ascii="Times New Roman;Times;serif" w:hAnsi="Times New Roman;Times;serif"/>
          <w:spacing w:val="28"/>
          <w:sz w:val="20"/>
        </w:rPr>
        <w:t xml:space="preserve"> </w:t>
      </w:r>
      <w:r>
        <w:rPr>
          <w:rFonts w:ascii="Times New Roman;Times;serif" w:hAnsi="Times New Roman;Times;serif"/>
          <w:sz w:val="20"/>
        </w:rPr>
        <w:t>psychoactive</w:t>
      </w:r>
      <w:r>
        <w:rPr>
          <w:rFonts w:ascii="Times New Roman;Times;serif" w:hAnsi="Times New Roman;Times;serif"/>
          <w:spacing w:val="30"/>
          <w:sz w:val="20"/>
        </w:rPr>
        <w:t xml:space="preserve"> </w:t>
      </w:r>
      <w:r>
        <w:rPr>
          <w:rFonts w:ascii="Times New Roman;Times;serif" w:hAnsi="Times New Roman;Times;serif"/>
          <w:sz w:val="20"/>
        </w:rPr>
        <w:t>component</w:t>
      </w:r>
      <w:r>
        <w:rPr>
          <w:rFonts w:ascii="Times New Roman;Times;serif" w:hAnsi="Times New Roman;Times;serif"/>
          <w:spacing w:val="27"/>
          <w:sz w:val="20"/>
        </w:rPr>
        <w:t xml:space="preserve"> </w:t>
      </w:r>
      <w:r>
        <w:rPr>
          <w:rFonts w:ascii="Times New Roman;Times;serif" w:hAnsi="Times New Roman;Times;serif"/>
          <w:sz w:val="20"/>
        </w:rPr>
        <w:t>of</w:t>
      </w:r>
      <w:r>
        <w:rPr>
          <w:rFonts w:ascii="Times New Roman;Times;serif" w:hAnsi="Times New Roman;Times;serif"/>
          <w:spacing w:val="30"/>
          <w:sz w:val="20"/>
        </w:rPr>
        <w:t xml:space="preserve"> </w:t>
      </w:r>
      <w:r>
        <w:rPr>
          <w:rFonts w:ascii="Times New Roman;Times;serif" w:hAnsi="Times New Roman;Times;serif"/>
          <w:sz w:val="20"/>
        </w:rPr>
        <w:t>cannabis.</w:t>
      </w:r>
      <w:r>
        <w:rPr>
          <w:rFonts w:ascii="Times New Roman;Times;serif" w:hAnsi="Times New Roman;Times;serif"/>
          <w:spacing w:val="30"/>
          <w:sz w:val="20"/>
        </w:rPr>
        <w:t xml:space="preserve"> </w:t>
      </w:r>
      <w:r>
        <w:rPr>
          <w:rFonts w:ascii="Times New Roman;Times;serif" w:hAnsi="Times New Roman;Times;serif"/>
          <w:sz w:val="20"/>
        </w:rPr>
        <w:t>The</w:t>
      </w:r>
      <w:r>
        <w:rPr>
          <w:rFonts w:ascii="Times New Roman;Times;serif" w:hAnsi="Times New Roman;Times;serif"/>
          <w:spacing w:val="30"/>
          <w:sz w:val="20"/>
        </w:rPr>
        <w:t xml:space="preserve"> </w:t>
      </w:r>
      <w:r>
        <w:rPr>
          <w:rFonts w:ascii="Times New Roman;Times;serif" w:hAnsi="Times New Roman;Times;serif"/>
          <w:sz w:val="20"/>
        </w:rPr>
        <w:t>Company</w:t>
      </w:r>
      <w:r>
        <w:rPr>
          <w:rFonts w:ascii="Times New Roman;Times;serif" w:hAnsi="Times New Roman;Times;serif"/>
          <w:spacing w:val="28"/>
          <w:sz w:val="20"/>
        </w:rPr>
        <w:t xml:space="preserve"> </w:t>
      </w:r>
      <w:r>
        <w:rPr>
          <w:rFonts w:ascii="Times New Roman;Times;serif" w:hAnsi="Times New Roman;Times;serif"/>
          <w:sz w:val="20"/>
        </w:rPr>
        <w:t>believes</w:t>
      </w:r>
      <w:r>
        <w:rPr>
          <w:rFonts w:ascii="Times New Roman;Times;serif" w:hAnsi="Times New Roman;Times;serif"/>
          <w:spacing w:val="28"/>
          <w:sz w:val="20"/>
        </w:rPr>
        <w:t xml:space="preserve"> </w:t>
      </w:r>
      <w:r>
        <w:rPr>
          <w:rFonts w:ascii="Times New Roman;Times;serif" w:hAnsi="Times New Roman;Times;serif"/>
          <w:sz w:val="20"/>
        </w:rPr>
        <w:t>the</w:t>
      </w:r>
      <w:r>
        <w:rPr>
          <w:rFonts w:ascii="Times New Roman;Times;serif" w:hAnsi="Times New Roman;Times;serif"/>
          <w:spacing w:val="30"/>
          <w:sz w:val="20"/>
        </w:rPr>
        <w:t xml:space="preserve"> </w:t>
      </w:r>
      <w:r>
        <w:rPr>
          <w:rFonts w:ascii="Times New Roman;Times;serif" w:hAnsi="Times New Roman;Times;serif"/>
          <w:sz w:val="20"/>
        </w:rPr>
        <w:t>CSA</w:t>
      </w:r>
      <w:r>
        <w:rPr>
          <w:rFonts w:ascii="Times New Roman;Times;serif" w:hAnsi="Times New Roman;Times;serif"/>
          <w:spacing w:val="-2"/>
          <w:sz w:val="20"/>
        </w:rPr>
        <w:t xml:space="preserve"> </w:t>
      </w:r>
      <w:r>
        <w:rPr>
          <w:rFonts w:ascii="Times New Roman;Times;serif" w:hAnsi="Times New Roman;Times;serif"/>
          <w:sz w:val="20"/>
        </w:rPr>
        <w:t>categorization</w:t>
      </w:r>
      <w:r>
        <w:rPr>
          <w:rFonts w:ascii="Times New Roman;Times;serif" w:hAnsi="Times New Roman;Times;serif"/>
          <w:spacing w:val="28"/>
          <w:sz w:val="20"/>
        </w:rPr>
        <w:t xml:space="preserve"> </w:t>
      </w:r>
      <w:r>
        <w:rPr>
          <w:rFonts w:ascii="Times New Roman;Times;serif" w:hAnsi="Times New Roman;Times;serif"/>
          <w:sz w:val="20"/>
        </w:rPr>
        <w:t>as</w:t>
      </w:r>
      <w:r>
        <w:rPr>
          <w:rFonts w:ascii="Times New Roman;Times;serif" w:hAnsi="Times New Roman;Times;serif"/>
          <w:spacing w:val="26"/>
          <w:sz w:val="20"/>
        </w:rPr>
        <w:t xml:space="preserve"> </w:t>
      </w:r>
      <w:r>
        <w:rPr>
          <w:rFonts w:ascii="Times New Roman;Times;serif" w:hAnsi="Times New Roman;Times;serif"/>
          <w:sz w:val="20"/>
        </w:rPr>
        <w:t>a</w:t>
      </w:r>
      <w:r>
        <w:rPr>
          <w:rFonts w:ascii="Times New Roman;Times;serif" w:hAnsi="Times New Roman;Times;serif"/>
          <w:spacing w:val="27"/>
          <w:sz w:val="20"/>
        </w:rPr>
        <w:t xml:space="preserve"> </w:t>
      </w:r>
      <w:r>
        <w:rPr>
          <w:rFonts w:ascii="Times New Roman;Times;serif" w:hAnsi="Times New Roman;Times;serif"/>
          <w:sz w:val="20"/>
        </w:rPr>
        <w:t>Schedule</w:t>
      </w:r>
      <w:r>
        <w:rPr>
          <w:rFonts w:ascii="Times New Roman;Times;serif" w:hAnsi="Times New Roman;Times;serif"/>
          <w:spacing w:val="25"/>
          <w:sz w:val="20"/>
        </w:rPr>
        <w:t xml:space="preserve"> </w:t>
      </w:r>
      <w:r>
        <w:rPr>
          <w:rFonts w:ascii="Times New Roman;Times;serif" w:hAnsi="Times New Roman;Times;serif"/>
          <w:sz w:val="20"/>
        </w:rPr>
        <w:t>I</w:t>
      </w:r>
      <w:r>
        <w:rPr>
          <w:rFonts w:ascii="Times New Roman;Times;serif" w:hAnsi="Times New Roman;Times;serif"/>
          <w:spacing w:val="28"/>
          <w:sz w:val="20"/>
        </w:rPr>
        <w:t xml:space="preserve"> </w:t>
      </w:r>
      <w:r>
        <w:rPr>
          <w:rFonts w:ascii="Times New Roman;Times;serif" w:hAnsi="Times New Roman;Times;serif"/>
          <w:sz w:val="20"/>
        </w:rPr>
        <w:t>drug</w:t>
      </w:r>
      <w:r>
        <w:rPr>
          <w:rFonts w:ascii="Times New Roman;Times;serif" w:hAnsi="Times New Roman;Times;serif"/>
          <w:spacing w:val="28"/>
          <w:sz w:val="20"/>
        </w:rPr>
        <w:t xml:space="preserve"> </w:t>
      </w:r>
      <w:r>
        <w:rPr>
          <w:rFonts w:ascii="Times New Roman;Times;serif" w:hAnsi="Times New Roman;Times;serif"/>
          <w:sz w:val="20"/>
        </w:rPr>
        <w:t>is</w:t>
      </w:r>
      <w:r>
        <w:rPr>
          <w:rFonts w:ascii="Times New Roman;Times;serif" w:hAnsi="Times New Roman;Times;serif"/>
          <w:spacing w:val="26"/>
          <w:sz w:val="20"/>
        </w:rPr>
        <w:t xml:space="preserve"> </w:t>
      </w:r>
      <w:r>
        <w:rPr>
          <w:rFonts w:ascii="Times New Roman;Times;serif" w:hAnsi="Times New Roman;Times;serif"/>
          <w:sz w:val="20"/>
        </w:rPr>
        <w:t>not</w:t>
      </w:r>
      <w:r>
        <w:rPr>
          <w:rFonts w:ascii="Times New Roman;Times;serif" w:hAnsi="Times New Roman;Times;serif"/>
          <w:spacing w:val="27"/>
          <w:sz w:val="20"/>
        </w:rPr>
        <w:t xml:space="preserve"> </w:t>
      </w:r>
      <w:r>
        <w:rPr>
          <w:rFonts w:ascii="Times New Roman;Times;serif" w:hAnsi="Times New Roman;Times;serif"/>
          <w:sz w:val="20"/>
        </w:rPr>
        <w:t>reflective</w:t>
      </w:r>
      <w:r>
        <w:rPr>
          <w:rFonts w:ascii="Times New Roman;Times;serif" w:hAnsi="Times New Roman;Times;serif"/>
          <w:spacing w:val="27"/>
          <w:sz w:val="20"/>
        </w:rPr>
        <w:t xml:space="preserve"> </w:t>
      </w:r>
      <w:r>
        <w:rPr>
          <w:rFonts w:ascii="Times New Roman;Times;serif" w:hAnsi="Times New Roman;Times;serif"/>
          <w:sz w:val="20"/>
        </w:rPr>
        <w:t>of</w:t>
      </w:r>
      <w:r>
        <w:rPr>
          <w:rFonts w:ascii="Times New Roman;Times;serif" w:hAnsi="Times New Roman;Times;serif"/>
          <w:spacing w:val="28"/>
          <w:sz w:val="20"/>
        </w:rPr>
        <w:t xml:space="preserve"> </w:t>
      </w:r>
      <w:r>
        <w:rPr>
          <w:rFonts w:ascii="Times New Roman;Times;serif" w:hAnsi="Times New Roman;Times;serif"/>
          <w:sz w:val="20"/>
        </w:rPr>
        <w:t>the</w:t>
      </w:r>
      <w:r>
        <w:rPr>
          <w:rFonts w:ascii="Times New Roman;Times;serif" w:hAnsi="Times New Roman;Times;serif"/>
          <w:spacing w:val="27"/>
          <w:sz w:val="20"/>
        </w:rPr>
        <w:t xml:space="preserve"> </w:t>
      </w:r>
      <w:r>
        <w:rPr>
          <w:rFonts w:ascii="Times New Roman;Times;serif" w:hAnsi="Times New Roman;Times;serif"/>
          <w:sz w:val="20"/>
        </w:rPr>
        <w:t>medicinal</w:t>
      </w:r>
      <w:r>
        <w:rPr>
          <w:rFonts w:ascii="Times New Roman;Times;serif" w:hAnsi="Times New Roman;Times;serif"/>
          <w:spacing w:val="27"/>
          <w:sz w:val="20"/>
        </w:rPr>
        <w:t xml:space="preserve"> </w:t>
      </w:r>
      <w:r>
        <w:rPr>
          <w:rFonts w:ascii="Times New Roman;Times;serif" w:hAnsi="Times New Roman;Times;serif"/>
          <w:sz w:val="20"/>
        </w:rPr>
        <w:t>properties</w:t>
      </w:r>
      <w:r>
        <w:rPr>
          <w:rFonts w:ascii="Times New Roman;Times;serif" w:hAnsi="Times New Roman;Times;serif"/>
          <w:spacing w:val="26"/>
          <w:sz w:val="20"/>
        </w:rPr>
        <w:t xml:space="preserve"> </w:t>
      </w:r>
      <w:r>
        <w:rPr>
          <w:rFonts w:ascii="Times New Roman;Times;serif" w:hAnsi="Times New Roman;Times;serif"/>
          <w:sz w:val="20"/>
        </w:rPr>
        <w:t>of</w:t>
      </w:r>
      <w:r>
        <w:rPr>
          <w:rFonts w:ascii="Times New Roman;Times;serif" w:hAnsi="Times New Roman;Times;serif"/>
          <w:spacing w:val="25"/>
          <w:sz w:val="20"/>
        </w:rPr>
        <w:t xml:space="preserve"> </w:t>
      </w:r>
      <w:r>
        <w:rPr>
          <w:rFonts w:ascii="Times New Roman;Times;serif" w:hAnsi="Times New Roman;Times;serif"/>
          <w:sz w:val="20"/>
        </w:rPr>
        <w:t>cannabis</w:t>
      </w:r>
      <w:r>
        <w:rPr>
          <w:rFonts w:ascii="Times New Roman;Times;serif" w:hAnsi="Times New Roman;Times;serif"/>
          <w:spacing w:val="26"/>
          <w:sz w:val="20"/>
        </w:rPr>
        <w:t xml:space="preserve"> </w:t>
      </w:r>
      <w:r>
        <w:rPr>
          <w:rFonts w:ascii="Times New Roman;Times;serif" w:hAnsi="Times New Roman;Times;serif"/>
          <w:sz w:val="20"/>
        </w:rPr>
        <w:t>or</w:t>
      </w:r>
      <w:r>
        <w:rPr>
          <w:rFonts w:ascii="Times New Roman;Times;serif" w:hAnsi="Times New Roman;Times;serif"/>
          <w:spacing w:val="28"/>
          <w:sz w:val="20"/>
        </w:rPr>
        <w:t xml:space="preserve"> </w:t>
      </w:r>
      <w:r>
        <w:rPr>
          <w:rFonts w:ascii="Times New Roman;Times;serif" w:hAnsi="Times New Roman;Times;serif"/>
          <w:sz w:val="20"/>
        </w:rPr>
        <w:t>the</w:t>
      </w:r>
      <w:r>
        <w:rPr>
          <w:rFonts w:ascii="Times New Roman;Times;serif" w:hAnsi="Times New Roman;Times;serif"/>
          <w:spacing w:val="25"/>
          <w:sz w:val="20"/>
        </w:rPr>
        <w:t xml:space="preserve"> </w:t>
      </w:r>
      <w:r>
        <w:rPr>
          <w:rFonts w:ascii="Times New Roman;Times;serif" w:hAnsi="Times New Roman;Times;serif"/>
          <w:sz w:val="20"/>
        </w:rPr>
        <w:t>public</w:t>
      </w:r>
      <w:r>
        <w:rPr>
          <w:rFonts w:ascii="Times New Roman;Times;serif" w:hAnsi="Times New Roman;Times;serif"/>
          <w:spacing w:val="25"/>
          <w:sz w:val="20"/>
        </w:rPr>
        <w:t xml:space="preserve"> </w:t>
      </w:r>
      <w:r>
        <w:rPr>
          <w:rFonts w:ascii="Times New Roman;Times;serif" w:hAnsi="Times New Roman;Times;serif"/>
          <w:sz w:val="20"/>
        </w:rPr>
        <w:t>perception</w:t>
      </w:r>
      <w:r>
        <w:rPr>
          <w:rFonts w:ascii="Times New Roman;Times;serif" w:hAnsi="Times New Roman;Times;serif"/>
          <w:spacing w:val="28"/>
          <w:sz w:val="20"/>
        </w:rPr>
        <w:t xml:space="preserve"> </w:t>
      </w:r>
      <w:r>
        <w:rPr>
          <w:rFonts w:ascii="Times New Roman;Times;serif" w:hAnsi="Times New Roman;Times;serif"/>
          <w:sz w:val="20"/>
        </w:rPr>
        <w:t>thereof,</w:t>
      </w:r>
      <w:r>
        <w:rPr>
          <w:rFonts w:ascii="Times New Roman;Times;serif" w:hAnsi="Times New Roman;Times;serif"/>
          <w:spacing w:val="27"/>
          <w:sz w:val="20"/>
        </w:rPr>
        <w:t xml:space="preserve"> </w:t>
      </w:r>
      <w:r>
        <w:rPr>
          <w:rFonts w:ascii="Times New Roman;Times;serif" w:hAnsi="Times New Roman;Times;serif"/>
          <w:sz w:val="20"/>
        </w:rPr>
        <w:t>and</w:t>
      </w:r>
      <w:r>
        <w:rPr>
          <w:rFonts w:ascii="Times New Roman;Times;serif" w:hAnsi="Times New Roman;Times;serif"/>
          <w:spacing w:val="-2"/>
          <w:sz w:val="20"/>
        </w:rPr>
        <w:t xml:space="preserve"> </w:t>
      </w:r>
      <w:r>
        <w:rPr>
          <w:rFonts w:ascii="Times New Roman;Times;serif" w:hAnsi="Times New Roman;Times;serif"/>
          <w:sz w:val="20"/>
        </w:rPr>
        <w:t>numerous studies show cannabis is not able</w:t>
      </w:r>
      <w:r>
        <w:rPr>
          <w:rFonts w:ascii="Times New Roman;Times;serif" w:hAnsi="Times New Roman;Times;serif"/>
          <w:spacing w:val="1"/>
          <w:sz w:val="20"/>
        </w:rPr>
        <w:t xml:space="preserve"> </w:t>
      </w:r>
      <w:r>
        <w:rPr>
          <w:rFonts w:ascii="Times New Roman;Times;serif" w:hAnsi="Times New Roman;Times;serif"/>
          <w:sz w:val="20"/>
        </w:rPr>
        <w:t>to</w:t>
      </w:r>
      <w:r>
        <w:rPr>
          <w:rFonts w:ascii="Times New Roman;Times;serif" w:hAnsi="Times New Roman;Times;serif"/>
          <w:spacing w:val="1"/>
          <w:sz w:val="20"/>
        </w:rPr>
        <w:t xml:space="preserve"> </w:t>
      </w:r>
      <w:r>
        <w:rPr>
          <w:rFonts w:ascii="Times New Roman;Times;serif" w:hAnsi="Times New Roman;Times;serif"/>
          <w:sz w:val="20"/>
        </w:rPr>
        <w:t>be</w:t>
      </w:r>
      <w:r>
        <w:rPr>
          <w:rFonts w:ascii="Times New Roman;Times;serif" w:hAnsi="Times New Roman;Times;serif"/>
          <w:spacing w:val="1"/>
          <w:sz w:val="20"/>
        </w:rPr>
        <w:t xml:space="preserve"> </w:t>
      </w:r>
      <w:r>
        <w:rPr>
          <w:rFonts w:ascii="Times New Roman;Times;serif" w:hAnsi="Times New Roman;Times;serif"/>
          <w:sz w:val="20"/>
        </w:rPr>
        <w:t>abused</w:t>
      </w:r>
      <w:r>
        <w:rPr>
          <w:rFonts w:ascii="Times New Roman;Times;serif" w:hAnsi="Times New Roman;Times;serif"/>
          <w:spacing w:val="1"/>
          <w:sz w:val="20"/>
        </w:rPr>
        <w:t xml:space="preserve"> </w:t>
      </w:r>
      <w:r>
        <w:rPr>
          <w:rFonts w:ascii="Times New Roman;Times;serif" w:hAnsi="Times New Roman;Times;serif"/>
          <w:sz w:val="20"/>
        </w:rPr>
        <w:t>in</w:t>
      </w:r>
      <w:r>
        <w:rPr>
          <w:rFonts w:ascii="Times New Roman;Times;serif" w:hAnsi="Times New Roman;Times;serif"/>
          <w:spacing w:val="1"/>
          <w:sz w:val="20"/>
        </w:rPr>
        <w:t xml:space="preserve"> </w:t>
      </w:r>
      <w:r>
        <w:rPr>
          <w:rFonts w:ascii="Times New Roman;Times;serif" w:hAnsi="Times New Roman;Times;serif"/>
          <w:sz w:val="20"/>
        </w:rPr>
        <w:t>the</w:t>
      </w:r>
      <w:r>
        <w:rPr>
          <w:rFonts w:ascii="Times New Roman;Times;serif" w:hAnsi="Times New Roman;Times;serif"/>
          <w:spacing w:val="1"/>
          <w:sz w:val="20"/>
        </w:rPr>
        <w:t xml:space="preserve"> </w:t>
      </w:r>
      <w:r>
        <w:rPr>
          <w:rFonts w:ascii="Times New Roman;Times;serif" w:hAnsi="Times New Roman;Times;serif"/>
          <w:sz w:val="20"/>
        </w:rPr>
        <w:t>same</w:t>
      </w:r>
      <w:r>
        <w:rPr>
          <w:rFonts w:ascii="Times New Roman;Times;serif" w:hAnsi="Times New Roman;Times;serif"/>
          <w:spacing w:val="1"/>
          <w:sz w:val="20"/>
        </w:rPr>
        <w:t xml:space="preserve"> </w:t>
      </w:r>
      <w:r>
        <w:rPr>
          <w:rFonts w:ascii="Times New Roman;Times;serif" w:hAnsi="Times New Roman;Times;serif"/>
          <w:sz w:val="20"/>
        </w:rPr>
        <w:t>way</w:t>
      </w:r>
      <w:r>
        <w:rPr>
          <w:rFonts w:ascii="Times New Roman;Times;serif" w:hAnsi="Times New Roman;Times;serif"/>
          <w:spacing w:val="1"/>
          <w:sz w:val="20"/>
        </w:rPr>
        <w:t xml:space="preserve"> </w:t>
      </w:r>
      <w:r>
        <w:rPr>
          <w:rFonts w:ascii="Times New Roman;Times;serif" w:hAnsi="Times New Roman;Times;serif"/>
          <w:sz w:val="20"/>
        </w:rPr>
        <w:t>as other</w:t>
      </w:r>
      <w:r>
        <w:rPr>
          <w:rFonts w:ascii="Times New Roman;Times;serif" w:hAnsi="Times New Roman;Times;serif"/>
          <w:spacing w:val="1"/>
          <w:sz w:val="20"/>
        </w:rPr>
        <w:t xml:space="preserve"> </w:t>
      </w:r>
      <w:r>
        <w:rPr>
          <w:rFonts w:ascii="Times New Roman;Times;serif" w:hAnsi="Times New Roman;Times;serif"/>
          <w:sz w:val="20"/>
        </w:rPr>
        <w:t>Schedule</w:t>
      </w:r>
      <w:r>
        <w:rPr>
          <w:rFonts w:ascii="Times New Roman;Times;serif" w:hAnsi="Times New Roman;Times;serif"/>
          <w:spacing w:val="1"/>
          <w:sz w:val="20"/>
        </w:rPr>
        <w:t xml:space="preserve"> </w:t>
      </w:r>
      <w:r>
        <w:rPr>
          <w:rFonts w:ascii="Times New Roman;Times;serif" w:hAnsi="Times New Roman;Times;serif"/>
          <w:sz w:val="20"/>
        </w:rPr>
        <w:t>I</w:t>
      </w:r>
      <w:r>
        <w:rPr>
          <w:rFonts w:ascii="Times New Roman;Times;serif" w:hAnsi="Times New Roman;Times;serif"/>
          <w:spacing w:val="1"/>
          <w:sz w:val="20"/>
        </w:rPr>
        <w:t xml:space="preserve"> </w:t>
      </w:r>
      <w:r>
        <w:rPr>
          <w:rFonts w:ascii="Times New Roman;Times;serif" w:hAnsi="Times New Roman;Times;serif"/>
          <w:sz w:val="20"/>
        </w:rPr>
        <w:t>drugs,</w:t>
      </w:r>
      <w:r>
        <w:rPr>
          <w:rFonts w:ascii="Times New Roman;Times;serif" w:hAnsi="Times New Roman;Times;serif"/>
          <w:spacing w:val="1"/>
          <w:sz w:val="20"/>
        </w:rPr>
        <w:t xml:space="preserve"> </w:t>
      </w:r>
      <w:r>
        <w:rPr>
          <w:rFonts w:ascii="Times New Roman;Times;serif" w:hAnsi="Times New Roman;Times;serif"/>
          <w:sz w:val="20"/>
        </w:rPr>
        <w:t>has medicinal properties,</w:t>
      </w:r>
      <w:r>
        <w:rPr>
          <w:rFonts w:ascii="Times New Roman;Times;serif" w:hAnsi="Times New Roman;Times;serif"/>
          <w:spacing w:val="1"/>
          <w:sz w:val="20"/>
        </w:rPr>
        <w:t xml:space="preserve"> </w:t>
      </w:r>
      <w:r>
        <w:rPr>
          <w:rFonts w:ascii="Times New Roman;Times;serif" w:hAnsi="Times New Roman;Times;serif"/>
          <w:sz w:val="20"/>
        </w:rPr>
        <w:t>and</w:t>
      </w:r>
      <w:r>
        <w:rPr>
          <w:rFonts w:ascii="Times New Roman;Times;serif" w:hAnsi="Times New Roman;Times;serif"/>
          <w:spacing w:val="2"/>
          <w:sz w:val="20"/>
        </w:rPr>
        <w:t xml:space="preserve"> </w:t>
      </w:r>
      <w:r>
        <w:rPr>
          <w:rFonts w:ascii="Times New Roman;Times;serif" w:hAnsi="Times New Roman;Times;serif"/>
          <w:sz w:val="20"/>
        </w:rPr>
        <w:t>can</w:t>
      </w:r>
      <w:r>
        <w:rPr>
          <w:rFonts w:ascii="Times New Roman;Times;serif" w:hAnsi="Times New Roman;Times;serif"/>
          <w:spacing w:val="-2"/>
          <w:sz w:val="20"/>
        </w:rPr>
        <w:t xml:space="preserve"> </w:t>
      </w:r>
      <w:r>
        <w:rPr>
          <w:rFonts w:ascii="Times New Roman;Times;serif" w:hAnsi="Times New Roman;Times;serif"/>
          <w:sz w:val="20"/>
        </w:rPr>
        <w:t>be</w:t>
      </w:r>
      <w:r>
        <w:rPr>
          <w:rFonts w:ascii="Times New Roman;Times;serif" w:hAnsi="Times New Roman;Times;serif"/>
          <w:spacing w:val="-2"/>
          <w:sz w:val="20"/>
        </w:rPr>
        <w:t xml:space="preserve"> </w:t>
      </w:r>
      <w:r>
        <w:rPr>
          <w:rFonts w:ascii="Times New Roman;Times;serif" w:hAnsi="Times New Roman;Times;serif"/>
          <w:sz w:val="20"/>
        </w:rPr>
        <w:t>safely</w:t>
      </w:r>
      <w:r>
        <w:rPr>
          <w:rFonts w:ascii="Times New Roman;Times;serif" w:hAnsi="Times New Roman;Times;serif"/>
          <w:spacing w:val="-1"/>
          <w:sz w:val="20"/>
        </w:rPr>
        <w:t xml:space="preserve"> </w:t>
      </w:r>
      <w:r>
        <w:rPr>
          <w:rFonts w:ascii="Times New Roman;Times;serif" w:hAnsi="Times New Roman;Times;serif"/>
          <w:sz w:val="20"/>
        </w:rPr>
        <w:t>administered.</w:t>
      </w:r>
    </w:p>
    <w:p>
      <w:pPr>
        <w:pStyle w:val="TextBody"/>
        <w:spacing w:before="150" w:after="240"/>
        <w:ind w:left="0" w:right="114" w:hanging="0"/>
        <w:jc w:val="both"/>
        <w:rPr>
          <w:rFonts w:ascii="Times New Roman;Times;serif" w:hAnsi="Times New Roman;Times;serif"/>
          <w:sz w:val="20"/>
        </w:rPr>
      </w:pPr>
      <w:r>
        <w:rPr>
          <w:rFonts w:ascii="Times New Roman;Times;serif" w:hAnsi="Times New Roman;Times;serif"/>
          <w:sz w:val="20"/>
        </w:rPr>
        <w:t>The</w:t>
      </w:r>
      <w:r>
        <w:rPr>
          <w:rFonts w:ascii="Times New Roman;Times;serif" w:hAnsi="Times New Roman;Times;serif"/>
          <w:spacing w:val="-7"/>
          <w:sz w:val="20"/>
        </w:rPr>
        <w:t xml:space="preserve"> </w:t>
      </w:r>
      <w:r>
        <w:rPr>
          <w:rFonts w:ascii="Times New Roman;Times;serif" w:hAnsi="Times New Roman;Times;serif"/>
          <w:sz w:val="20"/>
        </w:rPr>
        <w:t>federal</w:t>
      </w:r>
      <w:r>
        <w:rPr>
          <w:rFonts w:ascii="Times New Roman;Times;serif" w:hAnsi="Times New Roman;Times;serif"/>
          <w:spacing w:val="-9"/>
          <w:sz w:val="20"/>
        </w:rPr>
        <w:t xml:space="preserve"> </w:t>
      </w:r>
      <w:r>
        <w:rPr>
          <w:rFonts w:ascii="Times New Roman;Times;serif" w:hAnsi="Times New Roman;Times;serif"/>
          <w:sz w:val="20"/>
        </w:rPr>
        <w:t>position</w:t>
      </w:r>
      <w:r>
        <w:rPr>
          <w:rFonts w:ascii="Times New Roman;Times;serif" w:hAnsi="Times New Roman;Times;serif"/>
          <w:spacing w:val="-6"/>
          <w:sz w:val="20"/>
        </w:rPr>
        <w:t xml:space="preserve"> </w:t>
      </w:r>
      <w:r>
        <w:rPr>
          <w:rFonts w:ascii="Times New Roman;Times;serif" w:hAnsi="Times New Roman;Times;serif"/>
          <w:sz w:val="20"/>
        </w:rPr>
        <w:t>is</w:t>
      </w:r>
      <w:r>
        <w:rPr>
          <w:rFonts w:ascii="Times New Roman;Times;serif" w:hAnsi="Times New Roman;Times;serif"/>
          <w:spacing w:val="-8"/>
          <w:sz w:val="20"/>
        </w:rPr>
        <w:t xml:space="preserve"> </w:t>
      </w:r>
      <w:r>
        <w:rPr>
          <w:rFonts w:ascii="Times New Roman;Times;serif" w:hAnsi="Times New Roman;Times;serif"/>
          <w:sz w:val="20"/>
        </w:rPr>
        <w:t>also</w:t>
      </w:r>
      <w:r>
        <w:rPr>
          <w:rFonts w:ascii="Times New Roman;Times;serif" w:hAnsi="Times New Roman;Times;serif"/>
          <w:spacing w:val="-6"/>
          <w:sz w:val="20"/>
        </w:rPr>
        <w:t xml:space="preserve"> </w:t>
      </w:r>
      <w:r>
        <w:rPr>
          <w:rFonts w:ascii="Times New Roman;Times;serif" w:hAnsi="Times New Roman;Times;serif"/>
          <w:sz w:val="20"/>
        </w:rPr>
        <w:t>not</w:t>
      </w:r>
      <w:r>
        <w:rPr>
          <w:rFonts w:ascii="Times New Roman;Times;serif" w:hAnsi="Times New Roman;Times;serif"/>
          <w:spacing w:val="-9"/>
          <w:sz w:val="20"/>
        </w:rPr>
        <w:t xml:space="preserve"> </w:t>
      </w:r>
      <w:r>
        <w:rPr>
          <w:rFonts w:ascii="Times New Roman;Times;serif" w:hAnsi="Times New Roman;Times;serif"/>
          <w:sz w:val="20"/>
        </w:rPr>
        <w:t>necessarily</w:t>
      </w:r>
      <w:r>
        <w:rPr>
          <w:rFonts w:ascii="Times New Roman;Times;serif" w:hAnsi="Times New Roman;Times;serif"/>
          <w:spacing w:val="-6"/>
          <w:sz w:val="20"/>
        </w:rPr>
        <w:t xml:space="preserve"> </w:t>
      </w:r>
      <w:r>
        <w:rPr>
          <w:rFonts w:ascii="Times New Roman;Times;serif" w:hAnsi="Times New Roman;Times;serif"/>
          <w:sz w:val="20"/>
        </w:rPr>
        <w:t>consistent</w:t>
      </w:r>
      <w:r>
        <w:rPr>
          <w:rFonts w:ascii="Times New Roman;Times;serif" w:hAnsi="Times New Roman;Times;serif"/>
          <w:spacing w:val="-7"/>
          <w:sz w:val="20"/>
        </w:rPr>
        <w:t xml:space="preserve"> </w:t>
      </w:r>
      <w:r>
        <w:rPr>
          <w:rFonts w:ascii="Times New Roman;Times;serif" w:hAnsi="Times New Roman;Times;serif"/>
          <w:sz w:val="20"/>
        </w:rPr>
        <w:t>with</w:t>
      </w:r>
      <w:r>
        <w:rPr>
          <w:rFonts w:ascii="Times New Roman;Times;serif" w:hAnsi="Times New Roman;Times;serif"/>
          <w:spacing w:val="-6"/>
          <w:sz w:val="20"/>
        </w:rPr>
        <w:t xml:space="preserve"> </w:t>
      </w:r>
      <w:r>
        <w:rPr>
          <w:rFonts w:ascii="Times New Roman;Times;serif" w:hAnsi="Times New Roman;Times;serif"/>
          <w:sz w:val="20"/>
        </w:rPr>
        <w:t>democratic</w:t>
      </w:r>
      <w:r>
        <w:rPr>
          <w:rFonts w:ascii="Times New Roman;Times;serif" w:hAnsi="Times New Roman;Times;serif"/>
          <w:spacing w:val="-6"/>
          <w:sz w:val="20"/>
        </w:rPr>
        <w:t xml:space="preserve"> </w:t>
      </w:r>
      <w:r>
        <w:rPr>
          <w:rFonts w:ascii="Times New Roman;Times;serif" w:hAnsi="Times New Roman;Times;serif"/>
          <w:sz w:val="20"/>
        </w:rPr>
        <w:t>approval</w:t>
      </w:r>
      <w:r>
        <w:rPr>
          <w:rFonts w:ascii="Times New Roman;Times;serif" w:hAnsi="Times New Roman;Times;serif"/>
          <w:spacing w:val="-7"/>
          <w:sz w:val="20"/>
        </w:rPr>
        <w:t xml:space="preserve"> </w:t>
      </w:r>
      <w:r>
        <w:rPr>
          <w:rFonts w:ascii="Times New Roman;Times;serif" w:hAnsi="Times New Roman;Times;serif"/>
          <w:sz w:val="20"/>
        </w:rPr>
        <w:t>of</w:t>
      </w:r>
      <w:r>
        <w:rPr>
          <w:rFonts w:ascii="Times New Roman;Times;serif" w:hAnsi="Times New Roman;Times;serif"/>
          <w:spacing w:val="-6"/>
          <w:sz w:val="20"/>
        </w:rPr>
        <w:t xml:space="preserve"> </w:t>
      </w:r>
      <w:r>
        <w:rPr>
          <w:rFonts w:ascii="Times New Roman;Times;serif" w:hAnsi="Times New Roman;Times;serif"/>
          <w:sz w:val="20"/>
        </w:rPr>
        <w:t>cannabis</w:t>
      </w:r>
      <w:r>
        <w:rPr>
          <w:rFonts w:ascii="Times New Roman;Times;serif" w:hAnsi="Times New Roman;Times;serif"/>
          <w:spacing w:val="-8"/>
          <w:sz w:val="20"/>
        </w:rPr>
        <w:t xml:space="preserve"> </w:t>
      </w:r>
      <w:r>
        <w:rPr>
          <w:rFonts w:ascii="Times New Roman;Times;serif" w:hAnsi="Times New Roman;Times;serif"/>
          <w:sz w:val="20"/>
        </w:rPr>
        <w:t>at</w:t>
      </w:r>
      <w:r>
        <w:rPr>
          <w:rFonts w:ascii="Times New Roman;Times;serif" w:hAnsi="Times New Roman;Times;serif"/>
          <w:spacing w:val="-7"/>
          <w:sz w:val="20"/>
        </w:rPr>
        <w:t xml:space="preserve"> </w:t>
      </w:r>
      <w:r>
        <w:rPr>
          <w:rFonts w:ascii="Times New Roman;Times;serif" w:hAnsi="Times New Roman;Times;serif"/>
          <w:sz w:val="20"/>
        </w:rPr>
        <w:t>the</w:t>
      </w:r>
      <w:r>
        <w:rPr>
          <w:rFonts w:ascii="Times New Roman;Times;serif" w:hAnsi="Times New Roman;Times;serif"/>
          <w:spacing w:val="-7"/>
          <w:sz w:val="20"/>
        </w:rPr>
        <w:t xml:space="preserve"> </w:t>
      </w:r>
      <w:r>
        <w:rPr>
          <w:rFonts w:ascii="Times New Roman;Times;serif" w:hAnsi="Times New Roman;Times;serif"/>
          <w:sz w:val="20"/>
        </w:rPr>
        <w:t>state</w:t>
      </w:r>
      <w:r>
        <w:rPr>
          <w:rFonts w:ascii="Times New Roman;Times;serif" w:hAnsi="Times New Roman;Times;serif"/>
          <w:spacing w:val="-6"/>
          <w:sz w:val="20"/>
        </w:rPr>
        <w:t xml:space="preserve"> </w:t>
      </w:r>
      <w:r>
        <w:rPr>
          <w:rFonts w:ascii="Times New Roman;Times;serif" w:hAnsi="Times New Roman;Times;serif"/>
          <w:sz w:val="20"/>
        </w:rPr>
        <w:t>government</w:t>
      </w:r>
      <w:r>
        <w:rPr>
          <w:rFonts w:ascii="Times New Roman;Times;serif" w:hAnsi="Times New Roman;Times;serif"/>
          <w:spacing w:val="-7"/>
          <w:sz w:val="20"/>
        </w:rPr>
        <w:t xml:space="preserve"> </w:t>
      </w:r>
      <w:r>
        <w:rPr>
          <w:rFonts w:ascii="Times New Roman;Times;serif" w:hAnsi="Times New Roman;Times;serif"/>
          <w:sz w:val="20"/>
        </w:rPr>
        <w:t>level</w:t>
      </w:r>
      <w:r>
        <w:rPr>
          <w:rFonts w:ascii="Times New Roman;Times;serif" w:hAnsi="Times New Roman;Times;serif"/>
          <w:spacing w:val="-7"/>
          <w:sz w:val="20"/>
        </w:rPr>
        <w:t xml:space="preserve"> </w:t>
      </w:r>
      <w:r>
        <w:rPr>
          <w:rFonts w:ascii="Times New Roman;Times;serif" w:hAnsi="Times New Roman;Times;serif"/>
          <w:sz w:val="20"/>
        </w:rPr>
        <w:t>in</w:t>
      </w:r>
      <w:r>
        <w:rPr>
          <w:rFonts w:ascii="Times New Roman;Times;serif" w:hAnsi="Times New Roman;Times;serif"/>
          <w:spacing w:val="-6"/>
          <w:sz w:val="20"/>
        </w:rPr>
        <w:t xml:space="preserve"> </w:t>
      </w:r>
      <w:r>
        <w:rPr>
          <w:rFonts w:ascii="Times New Roman;Times;serif" w:hAnsi="Times New Roman;Times;serif"/>
          <w:sz w:val="20"/>
        </w:rPr>
        <w:t>the</w:t>
      </w:r>
      <w:r>
        <w:rPr>
          <w:rFonts w:ascii="Times New Roman;Times;serif" w:hAnsi="Times New Roman;Times;serif"/>
          <w:spacing w:val="-2"/>
          <w:sz w:val="20"/>
        </w:rPr>
        <w:t xml:space="preserve"> </w:t>
      </w:r>
      <w:r>
        <w:rPr>
          <w:rFonts w:ascii="Times New Roman;Times;serif" w:hAnsi="Times New Roman;Times;serif"/>
          <w:sz w:val="20"/>
        </w:rPr>
        <w:t>United States. Unlike in Canada, which</w:t>
      </w:r>
      <w:r>
        <w:rPr>
          <w:rFonts w:ascii="Times New Roman;Times;serif" w:hAnsi="Times New Roman;Times;serif"/>
          <w:spacing w:val="-1"/>
          <w:sz w:val="20"/>
        </w:rPr>
        <w:t xml:space="preserve"> </w:t>
      </w:r>
      <w:r>
        <w:rPr>
          <w:rFonts w:ascii="Times New Roman;Times;serif" w:hAnsi="Times New Roman;Times;serif"/>
          <w:sz w:val="20"/>
        </w:rPr>
        <w:t>has federal legislation uniformly</w:t>
      </w:r>
      <w:r>
        <w:rPr>
          <w:rFonts w:ascii="Times New Roman;Times;serif" w:hAnsi="Times New Roman;Times;serif"/>
          <w:spacing w:val="-1"/>
          <w:sz w:val="20"/>
        </w:rPr>
        <w:t xml:space="preserve"> </w:t>
      </w:r>
      <w:r>
        <w:rPr>
          <w:rFonts w:ascii="Times New Roman;Times;serif" w:hAnsi="Times New Roman;Times;serif"/>
          <w:sz w:val="20"/>
        </w:rPr>
        <w:t>governing</w:t>
      </w:r>
      <w:r>
        <w:rPr>
          <w:rFonts w:ascii="Times New Roman;Times;serif" w:hAnsi="Times New Roman;Times;serif"/>
          <w:spacing w:val="-1"/>
          <w:sz w:val="20"/>
        </w:rPr>
        <w:t xml:space="preserve"> </w:t>
      </w:r>
      <w:r>
        <w:rPr>
          <w:rFonts w:ascii="Times New Roman;Times;serif" w:hAnsi="Times New Roman;Times;serif"/>
          <w:sz w:val="20"/>
        </w:rPr>
        <w:t>the cultivation, distribution, sale, and</w:t>
      </w:r>
      <w:r>
        <w:rPr>
          <w:rFonts w:ascii="Times New Roman;Times;serif" w:hAnsi="Times New Roman;Times;serif"/>
          <w:spacing w:val="-1"/>
          <w:sz w:val="20"/>
        </w:rPr>
        <w:t xml:space="preserve"> </w:t>
      </w:r>
      <w:r>
        <w:rPr>
          <w:rFonts w:ascii="Times New Roman;Times;serif" w:hAnsi="Times New Roman;Times;serif"/>
          <w:sz w:val="20"/>
        </w:rPr>
        <w:t>possession of</w:t>
      </w:r>
      <w:r>
        <w:rPr>
          <w:rFonts w:ascii="Times New Roman;Times;serif" w:hAnsi="Times New Roman;Times;serif"/>
          <w:spacing w:val="-3"/>
          <w:sz w:val="20"/>
        </w:rPr>
        <w:t xml:space="preserve"> </w:t>
      </w:r>
      <w:r>
        <w:rPr>
          <w:rFonts w:ascii="Times New Roman;Times;serif" w:hAnsi="Times New Roman;Times;serif"/>
          <w:sz w:val="20"/>
        </w:rPr>
        <w:t>cannabis</w:t>
      </w:r>
      <w:r>
        <w:rPr>
          <w:rFonts w:ascii="Times New Roman;Times;serif" w:hAnsi="Times New Roman;Times;serif"/>
          <w:spacing w:val="6"/>
          <w:sz w:val="20"/>
        </w:rPr>
        <w:t xml:space="preserve"> </w:t>
      </w:r>
      <w:r>
        <w:rPr>
          <w:rFonts w:ascii="Times New Roman;Times;serif" w:hAnsi="Times New Roman;Times;serif"/>
          <w:sz w:val="20"/>
        </w:rPr>
        <w:t>under</w:t>
      </w:r>
      <w:r>
        <w:rPr>
          <w:rFonts w:ascii="Times New Roman;Times;serif" w:hAnsi="Times New Roman;Times;serif"/>
          <w:spacing w:val="5"/>
          <w:sz w:val="20"/>
        </w:rPr>
        <w:t xml:space="preserve"> </w:t>
      </w:r>
      <w:r>
        <w:rPr>
          <w:rFonts w:ascii="Times New Roman;Times;serif" w:hAnsi="Times New Roman;Times;serif"/>
          <w:sz w:val="20"/>
        </w:rPr>
        <w:t>the</w:t>
      </w:r>
      <w:r>
        <w:rPr>
          <w:rFonts w:ascii="Times New Roman;Times;serif" w:hAnsi="Times New Roman;Times;serif"/>
          <w:spacing w:val="7"/>
          <w:sz w:val="20"/>
        </w:rPr>
        <w:t xml:space="preserve"> </w:t>
      </w:r>
      <w:r>
        <w:rPr>
          <w:rFonts w:ascii="Times New Roman;Times;serif" w:hAnsi="Times New Roman;Times;serif"/>
          <w:sz w:val="20"/>
        </w:rPr>
        <w:t>Cannabis</w:t>
      </w:r>
      <w:r>
        <w:rPr>
          <w:rFonts w:ascii="Times New Roman;Times;serif" w:hAnsi="Times New Roman;Times;serif"/>
          <w:spacing w:val="3"/>
          <w:sz w:val="20"/>
        </w:rPr>
        <w:t xml:space="preserve"> </w:t>
      </w:r>
      <w:r>
        <w:rPr>
          <w:rFonts w:ascii="Times New Roman;Times;serif" w:hAnsi="Times New Roman;Times;serif"/>
          <w:sz w:val="20"/>
        </w:rPr>
        <w:t>Act,</w:t>
      </w:r>
      <w:r>
        <w:rPr>
          <w:rFonts w:ascii="Times New Roman;Times;serif" w:hAnsi="Times New Roman;Times;serif"/>
          <w:spacing w:val="7"/>
          <w:sz w:val="20"/>
        </w:rPr>
        <w:t xml:space="preserve"> </w:t>
      </w:r>
      <w:r>
        <w:rPr>
          <w:rFonts w:ascii="Times New Roman;Times;serif" w:hAnsi="Times New Roman;Times;serif"/>
          <w:sz w:val="20"/>
        </w:rPr>
        <w:t>S.C.</w:t>
      </w:r>
      <w:r>
        <w:rPr>
          <w:rFonts w:ascii="Times New Roman;Times;serif" w:hAnsi="Times New Roman;Times;serif"/>
          <w:spacing w:val="7"/>
          <w:sz w:val="20"/>
        </w:rPr>
        <w:t xml:space="preserve"> </w:t>
      </w:r>
      <w:r>
        <w:rPr>
          <w:rFonts w:ascii="Times New Roman;Times;serif" w:hAnsi="Times New Roman;Times;serif"/>
          <w:sz w:val="20"/>
        </w:rPr>
        <w:t>2018,</w:t>
      </w:r>
      <w:r>
        <w:rPr>
          <w:rFonts w:ascii="Times New Roman;Times;serif" w:hAnsi="Times New Roman;Times;serif"/>
          <w:spacing w:val="7"/>
          <w:sz w:val="20"/>
        </w:rPr>
        <w:t xml:space="preserve"> </w:t>
      </w:r>
      <w:r>
        <w:rPr>
          <w:rFonts w:ascii="Times New Roman;Times;serif" w:hAnsi="Times New Roman;Times;serif"/>
          <w:sz w:val="20"/>
        </w:rPr>
        <w:t>c.</w:t>
      </w:r>
      <w:r>
        <w:rPr>
          <w:rFonts w:ascii="Times New Roman;Times;serif" w:hAnsi="Times New Roman;Times;serif"/>
          <w:spacing w:val="5"/>
          <w:sz w:val="20"/>
        </w:rPr>
        <w:t xml:space="preserve"> </w:t>
      </w:r>
      <w:r>
        <w:rPr>
          <w:rFonts w:ascii="Times New Roman;Times;serif" w:hAnsi="Times New Roman;Times;serif"/>
          <w:sz w:val="20"/>
        </w:rPr>
        <w:t>16,</w:t>
      </w:r>
      <w:r>
        <w:rPr>
          <w:rFonts w:ascii="Times New Roman;Times;serif" w:hAnsi="Times New Roman;Times;serif"/>
          <w:spacing w:val="7"/>
          <w:sz w:val="20"/>
        </w:rPr>
        <w:t xml:space="preserve"> </w:t>
      </w:r>
      <w:r>
        <w:rPr>
          <w:rFonts w:ascii="Times New Roman;Times;serif" w:hAnsi="Times New Roman;Times;serif"/>
          <w:sz w:val="20"/>
        </w:rPr>
        <w:t>(Canada)</w:t>
      </w:r>
      <w:r>
        <w:rPr>
          <w:rFonts w:ascii="Times New Roman;Times;serif" w:hAnsi="Times New Roman;Times;serif"/>
          <w:spacing w:val="7"/>
          <w:sz w:val="20"/>
        </w:rPr>
        <w:t xml:space="preserve"> </w:t>
      </w:r>
      <w:r>
        <w:rPr>
          <w:rFonts w:ascii="Times New Roman;Times;serif" w:hAnsi="Times New Roman;Times;serif"/>
          <w:sz w:val="20"/>
        </w:rPr>
        <w:t>and</w:t>
      </w:r>
      <w:r>
        <w:rPr>
          <w:rFonts w:ascii="Times New Roman;Times;serif" w:hAnsi="Times New Roman;Times;serif"/>
          <w:spacing w:val="5"/>
          <w:sz w:val="20"/>
        </w:rPr>
        <w:t xml:space="preserve"> </w:t>
      </w:r>
      <w:r>
        <w:rPr>
          <w:rFonts w:ascii="Times New Roman;Times;serif" w:hAnsi="Times New Roman;Times;serif"/>
          <w:sz w:val="20"/>
        </w:rPr>
        <w:t>the</w:t>
      </w:r>
      <w:r>
        <w:rPr>
          <w:rFonts w:ascii="Times New Roman;Times;serif" w:hAnsi="Times New Roman;Times;serif"/>
          <w:spacing w:val="7"/>
          <w:sz w:val="20"/>
        </w:rPr>
        <w:t xml:space="preserve"> </w:t>
      </w:r>
      <w:r>
        <w:rPr>
          <w:rFonts w:ascii="Times New Roman;Times;serif" w:hAnsi="Times New Roman;Times;serif"/>
          <w:sz w:val="20"/>
        </w:rPr>
        <w:t>Cannabis</w:t>
      </w:r>
      <w:r>
        <w:rPr>
          <w:rFonts w:ascii="Times New Roman;Times;serif" w:hAnsi="Times New Roman;Times;serif"/>
          <w:spacing w:val="6"/>
          <w:sz w:val="20"/>
        </w:rPr>
        <w:t xml:space="preserve"> </w:t>
      </w:r>
      <w:r>
        <w:rPr>
          <w:rFonts w:ascii="Times New Roman;Times;serif" w:hAnsi="Times New Roman;Times;serif"/>
          <w:sz w:val="20"/>
        </w:rPr>
        <w:t>for</w:t>
      </w:r>
      <w:r>
        <w:rPr>
          <w:rFonts w:ascii="Times New Roman;Times;serif" w:hAnsi="Times New Roman;Times;serif"/>
          <w:spacing w:val="7"/>
          <w:sz w:val="20"/>
        </w:rPr>
        <w:t xml:space="preserve"> </w:t>
      </w:r>
      <w:r>
        <w:rPr>
          <w:rFonts w:ascii="Times New Roman;Times;serif" w:hAnsi="Times New Roman;Times;serif"/>
          <w:sz w:val="20"/>
        </w:rPr>
        <w:t>Medical</w:t>
      </w:r>
      <w:r>
        <w:rPr>
          <w:rFonts w:ascii="Times New Roman;Times;serif" w:hAnsi="Times New Roman;Times;serif"/>
          <w:spacing w:val="6"/>
          <w:sz w:val="20"/>
        </w:rPr>
        <w:t xml:space="preserve"> </w:t>
      </w:r>
      <w:r>
        <w:rPr>
          <w:rFonts w:ascii="Times New Roman;Times;serif" w:hAnsi="Times New Roman;Times;serif"/>
          <w:sz w:val="20"/>
        </w:rPr>
        <w:t>Purposes</w:t>
      </w:r>
      <w:r>
        <w:rPr>
          <w:rFonts w:ascii="Times New Roman;Times;serif" w:hAnsi="Times New Roman;Times;serif"/>
          <w:spacing w:val="6"/>
          <w:sz w:val="20"/>
        </w:rPr>
        <w:t xml:space="preserve"> </w:t>
      </w:r>
      <w:r>
        <w:rPr>
          <w:rFonts w:ascii="Times New Roman;Times;serif" w:hAnsi="Times New Roman;Times;serif"/>
          <w:sz w:val="20"/>
        </w:rPr>
        <w:t>Regulations,</w:t>
      </w:r>
      <w:r>
        <w:rPr>
          <w:rFonts w:ascii="Times New Roman;Times;serif" w:hAnsi="Times New Roman;Times;serif"/>
          <w:spacing w:val="7"/>
          <w:sz w:val="20"/>
        </w:rPr>
        <w:t xml:space="preserve"> </w:t>
      </w:r>
      <w:r>
        <w:rPr>
          <w:rFonts w:ascii="Times New Roman;Times;serif" w:hAnsi="Times New Roman;Times;serif"/>
          <w:sz w:val="20"/>
        </w:rPr>
        <w:t>cannabis</w:t>
      </w:r>
      <w:r>
        <w:rPr>
          <w:rFonts w:ascii="Times New Roman;Times;serif" w:hAnsi="Times New Roman;Times;serif"/>
          <w:spacing w:val="6"/>
          <w:sz w:val="20"/>
        </w:rPr>
        <w:t xml:space="preserve"> </w:t>
      </w:r>
      <w:r>
        <w:rPr>
          <w:rFonts w:ascii="Times New Roman;Times;serif" w:hAnsi="Times New Roman;Times;serif"/>
          <w:sz w:val="20"/>
        </w:rPr>
        <w:t>is</w:t>
      </w:r>
      <w:r>
        <w:rPr>
          <w:rFonts w:ascii="Times New Roman;Times;serif" w:hAnsi="Times New Roman;Times;serif"/>
          <w:spacing w:val="6"/>
          <w:sz w:val="20"/>
        </w:rPr>
        <w:t xml:space="preserve"> </w:t>
      </w:r>
      <w:r>
        <w:rPr>
          <w:rFonts w:ascii="Times New Roman;Times;serif" w:hAnsi="Times New Roman;Times;serif"/>
          <w:sz w:val="20"/>
        </w:rPr>
        <w:t>largely</w:t>
      </w:r>
      <w:r>
        <w:rPr>
          <w:rFonts w:ascii="Times New Roman;Times;serif" w:hAnsi="Times New Roman;Times;serif"/>
          <w:spacing w:val="-3"/>
          <w:sz w:val="20"/>
        </w:rPr>
        <w:t xml:space="preserve"> </w:t>
      </w:r>
      <w:r>
        <w:rPr>
          <w:rFonts w:ascii="Times New Roman;Times;serif" w:hAnsi="Times New Roman;Times;serif"/>
          <w:sz w:val="20"/>
        </w:rPr>
        <w:t>regulated</w:t>
      </w:r>
      <w:r>
        <w:rPr>
          <w:rFonts w:ascii="Times New Roman;Times;serif" w:hAnsi="Times New Roman;Times;serif"/>
          <w:spacing w:val="3"/>
          <w:sz w:val="20"/>
        </w:rPr>
        <w:t xml:space="preserve"> </w:t>
      </w:r>
      <w:r>
        <w:rPr>
          <w:rFonts w:ascii="Times New Roman;Times;serif" w:hAnsi="Times New Roman;Times;serif"/>
          <w:sz w:val="20"/>
        </w:rPr>
        <w:t>at the</w:t>
      </w:r>
      <w:r>
        <w:rPr>
          <w:rFonts w:ascii="Times New Roman;Times;serif" w:hAnsi="Times New Roman;Times;serif"/>
          <w:spacing w:val="2"/>
          <w:sz w:val="20"/>
        </w:rPr>
        <w:t xml:space="preserve"> </w:t>
      </w:r>
      <w:r>
        <w:rPr>
          <w:rFonts w:ascii="Times New Roman;Times;serif" w:hAnsi="Times New Roman;Times;serif"/>
          <w:sz w:val="20"/>
        </w:rPr>
        <w:t>state</w:t>
      </w:r>
      <w:r>
        <w:rPr>
          <w:rFonts w:ascii="Times New Roman;Times;serif" w:hAnsi="Times New Roman;Times;serif"/>
          <w:spacing w:val="2"/>
          <w:sz w:val="20"/>
        </w:rPr>
        <w:t xml:space="preserve"> </w:t>
      </w:r>
      <w:r>
        <w:rPr>
          <w:rFonts w:ascii="Times New Roman;Times;serif" w:hAnsi="Times New Roman;Times;serif"/>
          <w:sz w:val="20"/>
        </w:rPr>
        <w:t>and</w:t>
      </w:r>
      <w:r>
        <w:rPr>
          <w:rFonts w:ascii="Times New Roman;Times;serif" w:hAnsi="Times New Roman;Times;serif"/>
          <w:spacing w:val="3"/>
          <w:sz w:val="20"/>
        </w:rPr>
        <w:t xml:space="preserve"> </w:t>
      </w:r>
      <w:r>
        <w:rPr>
          <w:rFonts w:ascii="Times New Roman;Times;serif" w:hAnsi="Times New Roman;Times;serif"/>
          <w:sz w:val="20"/>
        </w:rPr>
        <w:t>local level</w:t>
      </w:r>
      <w:r>
        <w:rPr>
          <w:rFonts w:ascii="Times New Roman;Times;serif" w:hAnsi="Times New Roman;Times;serif"/>
          <w:spacing w:val="2"/>
          <w:sz w:val="20"/>
        </w:rPr>
        <w:t xml:space="preserve"> </w:t>
      </w:r>
      <w:r>
        <w:rPr>
          <w:rFonts w:ascii="Times New Roman;Times;serif" w:hAnsi="Times New Roman;Times;serif"/>
          <w:sz w:val="20"/>
        </w:rPr>
        <w:t>in</w:t>
      </w:r>
      <w:r>
        <w:rPr>
          <w:rFonts w:ascii="Times New Roman;Times;serif" w:hAnsi="Times New Roman;Times;serif"/>
          <w:spacing w:val="1"/>
          <w:sz w:val="20"/>
        </w:rPr>
        <w:t xml:space="preserve"> </w:t>
      </w:r>
      <w:r>
        <w:rPr>
          <w:rFonts w:ascii="Times New Roman;Times;serif" w:hAnsi="Times New Roman;Times;serif"/>
          <w:sz w:val="20"/>
        </w:rPr>
        <w:t>the</w:t>
      </w:r>
      <w:r>
        <w:rPr>
          <w:rFonts w:ascii="Times New Roman;Times;serif" w:hAnsi="Times New Roman;Times;serif"/>
          <w:spacing w:val="2"/>
          <w:sz w:val="20"/>
        </w:rPr>
        <w:t xml:space="preserve"> </w:t>
      </w:r>
      <w:r>
        <w:rPr>
          <w:rFonts w:ascii="Times New Roman;Times;serif" w:hAnsi="Times New Roman;Times;serif"/>
          <w:sz w:val="20"/>
        </w:rPr>
        <w:t>United States.</w:t>
      </w:r>
      <w:r>
        <w:rPr>
          <w:rFonts w:ascii="Times New Roman;Times;serif" w:hAnsi="Times New Roman;Times;serif"/>
          <w:spacing w:val="2"/>
          <w:sz w:val="20"/>
        </w:rPr>
        <w:t xml:space="preserve"> </w:t>
      </w:r>
      <w:r>
        <w:rPr>
          <w:rFonts w:ascii="Times New Roman;Times;serif" w:hAnsi="Times New Roman;Times;serif"/>
          <w:sz w:val="20"/>
        </w:rPr>
        <w:t>State</w:t>
      </w:r>
      <w:r>
        <w:rPr>
          <w:rFonts w:ascii="Times New Roman;Times;serif" w:hAnsi="Times New Roman;Times;serif"/>
          <w:spacing w:val="2"/>
          <w:sz w:val="20"/>
        </w:rPr>
        <w:t xml:space="preserve"> </w:t>
      </w:r>
      <w:r>
        <w:rPr>
          <w:rFonts w:ascii="Times New Roman;Times;serif" w:hAnsi="Times New Roman;Times;serif"/>
          <w:sz w:val="20"/>
        </w:rPr>
        <w:t>laws</w:t>
      </w:r>
      <w:r>
        <w:rPr>
          <w:rFonts w:ascii="Times New Roman;Times;serif" w:hAnsi="Times New Roman;Times;serif"/>
          <w:spacing w:val="1"/>
          <w:sz w:val="20"/>
        </w:rPr>
        <w:t xml:space="preserve"> </w:t>
      </w:r>
      <w:r>
        <w:rPr>
          <w:rFonts w:ascii="Times New Roman;Times;serif" w:hAnsi="Times New Roman;Times;serif"/>
          <w:sz w:val="20"/>
        </w:rPr>
        <w:t>regulating cannabis</w:t>
      </w:r>
      <w:r>
        <w:rPr>
          <w:rFonts w:ascii="Times New Roman;Times;serif" w:hAnsi="Times New Roman;Times;serif"/>
          <w:spacing w:val="1"/>
          <w:sz w:val="20"/>
        </w:rPr>
        <w:t xml:space="preserve"> </w:t>
      </w:r>
      <w:r>
        <w:rPr>
          <w:rFonts w:ascii="Times New Roman;Times;serif" w:hAnsi="Times New Roman;Times;serif"/>
          <w:sz w:val="20"/>
        </w:rPr>
        <w:t>conflict</w:t>
      </w:r>
      <w:r>
        <w:rPr>
          <w:rFonts w:ascii="Times New Roman;Times;serif" w:hAnsi="Times New Roman;Times;serif"/>
          <w:spacing w:val="2"/>
          <w:sz w:val="20"/>
        </w:rPr>
        <w:t xml:space="preserve"> </w:t>
      </w:r>
      <w:r>
        <w:rPr>
          <w:rFonts w:ascii="Times New Roman;Times;serif" w:hAnsi="Times New Roman;Times;serif"/>
          <w:sz w:val="20"/>
        </w:rPr>
        <w:t>with</w:t>
      </w:r>
      <w:r>
        <w:rPr>
          <w:rFonts w:ascii="Times New Roman;Times;serif" w:hAnsi="Times New Roman;Times;serif"/>
          <w:spacing w:val="3"/>
          <w:sz w:val="20"/>
        </w:rPr>
        <w:t xml:space="preserve"> </w:t>
      </w:r>
      <w:r>
        <w:rPr>
          <w:rFonts w:ascii="Times New Roman;Times;serif" w:hAnsi="Times New Roman;Times;serif"/>
          <w:sz w:val="20"/>
        </w:rPr>
        <w:t>the</w:t>
      </w:r>
      <w:r>
        <w:rPr>
          <w:rFonts w:ascii="Times New Roman;Times;serif" w:hAnsi="Times New Roman;Times;serif"/>
          <w:spacing w:val="2"/>
          <w:sz w:val="20"/>
        </w:rPr>
        <w:t xml:space="preserve"> </w:t>
      </w:r>
      <w:r>
        <w:rPr>
          <w:rFonts w:ascii="Times New Roman;Times;serif" w:hAnsi="Times New Roman;Times;serif"/>
          <w:sz w:val="20"/>
        </w:rPr>
        <w:t>CSA,</w:t>
      </w:r>
      <w:r>
        <w:rPr>
          <w:rFonts w:ascii="Times New Roman;Times;serif" w:hAnsi="Times New Roman;Times;serif"/>
          <w:spacing w:val="2"/>
          <w:sz w:val="20"/>
        </w:rPr>
        <w:t xml:space="preserve"> </w:t>
      </w:r>
      <w:r>
        <w:rPr>
          <w:rFonts w:ascii="Times New Roman;Times;serif" w:hAnsi="Times New Roman;Times;serif"/>
          <w:sz w:val="20"/>
        </w:rPr>
        <w:t>which makes</w:t>
      </w:r>
      <w:r>
        <w:rPr>
          <w:rFonts w:ascii="Times New Roman;Times;serif" w:hAnsi="Times New Roman;Times;serif"/>
          <w:spacing w:val="1"/>
          <w:sz w:val="20"/>
        </w:rPr>
        <w:t xml:space="preserve"> </w:t>
      </w:r>
      <w:r>
        <w:rPr>
          <w:rFonts w:ascii="Times New Roman;Times;serif" w:hAnsi="Times New Roman;Times;serif"/>
          <w:sz w:val="20"/>
        </w:rPr>
        <w:t>cannabis</w:t>
      </w:r>
      <w:r>
        <w:rPr>
          <w:rFonts w:ascii="Times New Roman;Times;serif" w:hAnsi="Times New Roman;Times;serif"/>
          <w:spacing w:val="-4"/>
          <w:sz w:val="20"/>
        </w:rPr>
        <w:t xml:space="preserve"> </w:t>
      </w:r>
      <w:r>
        <w:rPr>
          <w:rFonts w:ascii="Times New Roman;Times;serif" w:hAnsi="Times New Roman;Times;serif"/>
          <w:sz w:val="20"/>
        </w:rPr>
        <w:t>use</w:t>
      </w:r>
      <w:r>
        <w:rPr>
          <w:rFonts w:ascii="Times New Roman;Times;serif" w:hAnsi="Times New Roman;Times;serif"/>
          <w:spacing w:val="-2"/>
          <w:sz w:val="20"/>
        </w:rPr>
        <w:t xml:space="preserve"> </w:t>
      </w:r>
      <w:r>
        <w:rPr>
          <w:rFonts w:ascii="Times New Roman;Times;serif" w:hAnsi="Times New Roman;Times;serif"/>
          <w:sz w:val="20"/>
        </w:rPr>
        <w:t>and</w:t>
      </w:r>
      <w:r>
        <w:rPr>
          <w:rFonts w:ascii="Times New Roman;Times;serif" w:hAnsi="Times New Roman;Times;serif"/>
          <w:spacing w:val="-1"/>
          <w:sz w:val="20"/>
        </w:rPr>
        <w:t xml:space="preserve"> </w:t>
      </w:r>
      <w:r>
        <w:rPr>
          <w:rFonts w:ascii="Times New Roman;Times;serif" w:hAnsi="Times New Roman;Times;serif"/>
          <w:sz w:val="20"/>
        </w:rPr>
        <w:t>possession</w:t>
      </w:r>
      <w:r>
        <w:rPr>
          <w:rFonts w:ascii="Times New Roman;Times;serif" w:hAnsi="Times New Roman;Times;serif"/>
          <w:spacing w:val="-1"/>
          <w:sz w:val="20"/>
        </w:rPr>
        <w:t xml:space="preserve"> </w:t>
      </w:r>
      <w:r>
        <w:rPr>
          <w:rFonts w:ascii="Times New Roman;Times;serif" w:hAnsi="Times New Roman;Times;serif"/>
          <w:sz w:val="20"/>
        </w:rPr>
        <w:t>federally</w:t>
      </w:r>
      <w:r>
        <w:rPr>
          <w:rFonts w:ascii="Times New Roman;Times;serif" w:hAnsi="Times New Roman;Times;serif"/>
          <w:spacing w:val="-1"/>
          <w:sz w:val="20"/>
        </w:rPr>
        <w:t xml:space="preserve"> </w:t>
      </w:r>
      <w:r>
        <w:rPr>
          <w:rFonts w:ascii="Times New Roman;Times;serif" w:hAnsi="Times New Roman;Times;serif"/>
          <w:sz w:val="20"/>
        </w:rPr>
        <w:t>illegal.</w:t>
      </w:r>
      <w:r>
        <w:rPr>
          <w:rFonts w:ascii="Times New Roman;Times;serif" w:hAnsi="Times New Roman;Times;serif"/>
          <w:spacing w:val="-1"/>
          <w:sz w:val="20"/>
        </w:rPr>
        <w:t xml:space="preserve"> </w:t>
      </w:r>
      <w:r>
        <w:rPr>
          <w:rFonts w:ascii="Times New Roman;Times;serif" w:hAnsi="Times New Roman;Times;serif"/>
          <w:sz w:val="20"/>
        </w:rPr>
        <w:t>Although</w:t>
      </w:r>
      <w:r>
        <w:rPr>
          <w:rFonts w:ascii="Times New Roman;Times;serif" w:hAnsi="Times New Roman;Times;serif"/>
          <w:spacing w:val="-1"/>
          <w:sz w:val="20"/>
        </w:rPr>
        <w:t xml:space="preserve"> </w:t>
      </w:r>
      <w:r>
        <w:rPr>
          <w:rFonts w:ascii="Times New Roman;Times;serif" w:hAnsi="Times New Roman;Times;serif"/>
          <w:sz w:val="20"/>
        </w:rPr>
        <w:t>certain</w:t>
      </w:r>
      <w:r>
        <w:rPr>
          <w:rFonts w:ascii="Times New Roman;Times;serif" w:hAnsi="Times New Roman;Times;serif"/>
          <w:spacing w:val="-1"/>
          <w:sz w:val="20"/>
        </w:rPr>
        <w:t xml:space="preserve"> </w:t>
      </w:r>
      <w:r>
        <w:rPr>
          <w:rFonts w:ascii="Times New Roman;Times;serif" w:hAnsi="Times New Roman;Times;serif"/>
          <w:sz w:val="20"/>
        </w:rPr>
        <w:t>states and</w:t>
      </w:r>
      <w:r>
        <w:rPr>
          <w:rFonts w:ascii="Times New Roman;Times;serif" w:hAnsi="Times New Roman;Times;serif"/>
          <w:spacing w:val="-1"/>
          <w:sz w:val="20"/>
        </w:rPr>
        <w:t xml:space="preserve"> </w:t>
      </w:r>
      <w:r>
        <w:rPr>
          <w:rFonts w:ascii="Times New Roman;Times;serif" w:hAnsi="Times New Roman;Times;serif"/>
          <w:sz w:val="20"/>
        </w:rPr>
        <w:t>territories</w:t>
      </w:r>
      <w:r>
        <w:rPr>
          <w:rFonts w:ascii="Times New Roman;Times;serif" w:hAnsi="Times New Roman;Times;serif"/>
          <w:spacing w:val="-3"/>
          <w:sz w:val="20"/>
        </w:rPr>
        <w:t xml:space="preserve"> </w:t>
      </w:r>
      <w:r>
        <w:rPr>
          <w:rFonts w:ascii="Times New Roman;Times;serif" w:hAnsi="Times New Roman;Times;serif"/>
          <w:sz w:val="20"/>
        </w:rPr>
        <w:t>of</w:t>
      </w:r>
      <w:r>
        <w:rPr>
          <w:rFonts w:ascii="Times New Roman;Times;serif" w:hAnsi="Times New Roman;Times;serif"/>
          <w:spacing w:val="-1"/>
          <w:sz w:val="20"/>
        </w:rPr>
        <w:t xml:space="preserve"> </w:t>
      </w:r>
      <w:r>
        <w:rPr>
          <w:rFonts w:ascii="Times New Roman;Times;serif" w:hAnsi="Times New Roman;Times;serif"/>
          <w:sz w:val="20"/>
        </w:rPr>
        <w:t>the</w:t>
      </w:r>
      <w:r>
        <w:rPr>
          <w:rFonts w:ascii="Times New Roman;Times;serif" w:hAnsi="Times New Roman;Times;serif"/>
          <w:spacing w:val="-2"/>
          <w:sz w:val="20"/>
        </w:rPr>
        <w:t xml:space="preserve"> </w:t>
      </w:r>
      <w:r>
        <w:rPr>
          <w:rFonts w:ascii="Times New Roman;Times;serif" w:hAnsi="Times New Roman;Times;serif"/>
          <w:sz w:val="20"/>
        </w:rPr>
        <w:t>United</w:t>
      </w:r>
      <w:r>
        <w:rPr>
          <w:rFonts w:ascii="Times New Roman;Times;serif" w:hAnsi="Times New Roman;Times;serif"/>
          <w:spacing w:val="-1"/>
          <w:sz w:val="20"/>
        </w:rPr>
        <w:t xml:space="preserve"> </w:t>
      </w:r>
      <w:r>
        <w:rPr>
          <w:rFonts w:ascii="Times New Roman;Times;serif" w:hAnsi="Times New Roman;Times;serif"/>
          <w:sz w:val="20"/>
        </w:rPr>
        <w:t>States</w:t>
      </w:r>
      <w:r>
        <w:rPr>
          <w:rFonts w:ascii="Times New Roman;Times;serif" w:hAnsi="Times New Roman;Times;serif"/>
          <w:spacing w:val="-3"/>
          <w:sz w:val="20"/>
        </w:rPr>
        <w:t xml:space="preserve"> </w:t>
      </w:r>
      <w:r>
        <w:rPr>
          <w:rFonts w:ascii="Times New Roman;Times;serif" w:hAnsi="Times New Roman;Times;serif"/>
          <w:sz w:val="20"/>
        </w:rPr>
        <w:t>authorize</w:t>
      </w:r>
      <w:r>
        <w:rPr>
          <w:rFonts w:ascii="Times New Roman;Times;serif" w:hAnsi="Times New Roman;Times;serif"/>
          <w:spacing w:val="-2"/>
          <w:sz w:val="20"/>
        </w:rPr>
        <w:t xml:space="preserve"> </w:t>
      </w:r>
      <w:r>
        <w:rPr>
          <w:rFonts w:ascii="Times New Roman;Times;serif" w:hAnsi="Times New Roman;Times;serif"/>
          <w:sz w:val="20"/>
        </w:rPr>
        <w:t>medical</w:t>
      </w:r>
      <w:r>
        <w:rPr>
          <w:rFonts w:ascii="Times New Roman;Times;serif" w:hAnsi="Times New Roman;Times;serif"/>
          <w:spacing w:val="-2"/>
          <w:sz w:val="20"/>
        </w:rPr>
        <w:t xml:space="preserve"> </w:t>
      </w:r>
      <w:r>
        <w:rPr>
          <w:rFonts w:ascii="Times New Roman;Times;serif" w:hAnsi="Times New Roman;Times;serif"/>
          <w:sz w:val="20"/>
        </w:rPr>
        <w:t>or</w:t>
      </w:r>
      <w:r>
        <w:rPr>
          <w:rFonts w:ascii="Times New Roman;Times;serif" w:hAnsi="Times New Roman;Times;serif"/>
          <w:spacing w:val="-1"/>
          <w:sz w:val="20"/>
        </w:rPr>
        <w:t xml:space="preserve"> </w:t>
      </w:r>
      <w:r>
        <w:rPr>
          <w:rFonts w:ascii="Times New Roman;Times;serif" w:hAnsi="Times New Roman;Times;serif"/>
          <w:sz w:val="20"/>
        </w:rPr>
        <w:t>adult-use</w:t>
      </w:r>
      <w:r>
        <w:rPr>
          <w:rFonts w:ascii="Times New Roman;Times;serif" w:hAnsi="Times New Roman;Times;serif"/>
          <w:spacing w:val="-2"/>
          <w:sz w:val="20"/>
        </w:rPr>
        <w:t xml:space="preserve"> </w:t>
      </w:r>
      <w:r>
        <w:rPr>
          <w:rFonts w:ascii="Times New Roman;Times;serif" w:hAnsi="Times New Roman;Times;serif"/>
          <w:sz w:val="20"/>
        </w:rPr>
        <w:t>cannabis</w:t>
      </w:r>
      <w:r>
        <w:rPr>
          <w:rFonts w:ascii="Times New Roman;Times;serif" w:hAnsi="Times New Roman;Times;serif"/>
          <w:spacing w:val="-3"/>
          <w:sz w:val="20"/>
        </w:rPr>
        <w:t xml:space="preserve"> </w:t>
      </w:r>
      <w:r>
        <w:rPr>
          <w:rFonts w:ascii="Times New Roman;Times;serif" w:hAnsi="Times New Roman;Times;serif"/>
          <w:sz w:val="20"/>
        </w:rPr>
        <w:t>production</w:t>
      </w:r>
      <w:r>
        <w:rPr>
          <w:rFonts w:ascii="Times New Roman;Times;serif" w:hAnsi="Times New Roman;Times;serif"/>
          <w:spacing w:val="22"/>
          <w:sz w:val="20"/>
        </w:rPr>
        <w:t xml:space="preserve"> </w:t>
      </w:r>
      <w:r>
        <w:rPr>
          <w:rFonts w:ascii="Times New Roman;Times;serif" w:hAnsi="Times New Roman;Times;serif"/>
          <w:sz w:val="20"/>
        </w:rPr>
        <w:t>and</w:t>
      </w:r>
      <w:r>
        <w:rPr>
          <w:rFonts w:ascii="Times New Roman;Times;serif" w:hAnsi="Times New Roman;Times;serif"/>
          <w:spacing w:val="20"/>
          <w:sz w:val="20"/>
        </w:rPr>
        <w:t xml:space="preserve"> </w:t>
      </w:r>
      <w:r>
        <w:rPr>
          <w:rFonts w:ascii="Times New Roman;Times;serif" w:hAnsi="Times New Roman;Times;serif"/>
          <w:sz w:val="20"/>
        </w:rPr>
        <w:t>distribution</w:t>
      </w:r>
      <w:r>
        <w:rPr>
          <w:rFonts w:ascii="Times New Roman;Times;serif" w:hAnsi="Times New Roman;Times;serif"/>
          <w:spacing w:val="20"/>
          <w:sz w:val="20"/>
        </w:rPr>
        <w:t xml:space="preserve"> </w:t>
      </w:r>
      <w:r>
        <w:rPr>
          <w:rFonts w:ascii="Times New Roman;Times;serif" w:hAnsi="Times New Roman;Times;serif"/>
          <w:sz w:val="20"/>
        </w:rPr>
        <w:t>by</w:t>
      </w:r>
      <w:r>
        <w:rPr>
          <w:rFonts w:ascii="Times New Roman;Times;serif" w:hAnsi="Times New Roman;Times;serif"/>
          <w:spacing w:val="22"/>
          <w:sz w:val="20"/>
        </w:rPr>
        <w:t xml:space="preserve"> </w:t>
      </w:r>
      <w:r>
        <w:rPr>
          <w:rFonts w:ascii="Times New Roman;Times;serif" w:hAnsi="Times New Roman;Times;serif"/>
          <w:sz w:val="20"/>
        </w:rPr>
        <w:t>licensed</w:t>
      </w:r>
      <w:r>
        <w:rPr>
          <w:rFonts w:ascii="Times New Roman;Times;serif" w:hAnsi="Times New Roman;Times;serif"/>
          <w:spacing w:val="22"/>
          <w:sz w:val="20"/>
        </w:rPr>
        <w:t xml:space="preserve"> </w:t>
      </w:r>
      <w:r>
        <w:rPr>
          <w:rFonts w:ascii="Times New Roman;Times;serif" w:hAnsi="Times New Roman;Times;serif"/>
          <w:sz w:val="20"/>
        </w:rPr>
        <w:t>or</w:t>
      </w:r>
      <w:r>
        <w:rPr>
          <w:rFonts w:ascii="Times New Roman;Times;serif" w:hAnsi="Times New Roman;Times;serif"/>
          <w:spacing w:val="19"/>
          <w:sz w:val="20"/>
        </w:rPr>
        <w:t xml:space="preserve"> </w:t>
      </w:r>
      <w:r>
        <w:rPr>
          <w:rFonts w:ascii="Times New Roman;Times;serif" w:hAnsi="Times New Roman;Times;serif"/>
          <w:sz w:val="20"/>
        </w:rPr>
        <w:t>registered</w:t>
      </w:r>
      <w:r>
        <w:rPr>
          <w:rFonts w:ascii="Times New Roman;Times;serif" w:hAnsi="Times New Roman;Times;serif"/>
          <w:spacing w:val="20"/>
          <w:sz w:val="20"/>
        </w:rPr>
        <w:t xml:space="preserve"> </w:t>
      </w:r>
      <w:r>
        <w:rPr>
          <w:rFonts w:ascii="Times New Roman;Times;serif" w:hAnsi="Times New Roman;Times;serif"/>
          <w:sz w:val="20"/>
        </w:rPr>
        <w:t>entities,</w:t>
      </w:r>
      <w:r>
        <w:rPr>
          <w:rFonts w:ascii="Times New Roman;Times;serif" w:hAnsi="Times New Roman;Times;serif"/>
          <w:spacing w:val="22"/>
          <w:sz w:val="20"/>
        </w:rPr>
        <w:t xml:space="preserve"> </w:t>
      </w:r>
      <w:r>
        <w:rPr>
          <w:rFonts w:ascii="Times New Roman;Times;serif" w:hAnsi="Times New Roman;Times;serif"/>
          <w:sz w:val="20"/>
        </w:rPr>
        <w:t>under</w:t>
      </w:r>
      <w:r>
        <w:rPr>
          <w:rFonts w:ascii="Times New Roman;Times;serif" w:hAnsi="Times New Roman;Times;serif"/>
          <w:spacing w:val="19"/>
          <w:sz w:val="20"/>
        </w:rPr>
        <w:t xml:space="preserve"> </w:t>
      </w:r>
      <w:r>
        <w:rPr>
          <w:rFonts w:ascii="Times New Roman;Times;serif" w:hAnsi="Times New Roman;Times;serif"/>
          <w:sz w:val="20"/>
        </w:rPr>
        <w:t>United</w:t>
      </w:r>
      <w:r>
        <w:rPr>
          <w:rFonts w:ascii="Times New Roman;Times;serif" w:hAnsi="Times New Roman;Times;serif"/>
          <w:spacing w:val="22"/>
          <w:sz w:val="20"/>
        </w:rPr>
        <w:t xml:space="preserve"> </w:t>
      </w:r>
      <w:r>
        <w:rPr>
          <w:rFonts w:ascii="Times New Roman;Times;serif" w:hAnsi="Times New Roman;Times;serif"/>
          <w:sz w:val="20"/>
        </w:rPr>
        <w:t>States</w:t>
      </w:r>
      <w:r>
        <w:rPr>
          <w:rFonts w:ascii="Times New Roman;Times;serif" w:hAnsi="Times New Roman;Times;serif"/>
          <w:spacing w:val="20"/>
          <w:sz w:val="20"/>
        </w:rPr>
        <w:t xml:space="preserve"> </w:t>
      </w:r>
      <w:r>
        <w:rPr>
          <w:rFonts w:ascii="Times New Roman;Times;serif" w:hAnsi="Times New Roman;Times;serif"/>
          <w:sz w:val="20"/>
        </w:rPr>
        <w:t>federal</w:t>
      </w:r>
      <w:r>
        <w:rPr>
          <w:rFonts w:ascii="Times New Roman;Times;serif" w:hAnsi="Times New Roman;Times;serif"/>
          <w:spacing w:val="21"/>
          <w:sz w:val="20"/>
        </w:rPr>
        <w:t xml:space="preserve"> </w:t>
      </w:r>
      <w:r>
        <w:rPr>
          <w:rFonts w:ascii="Times New Roman;Times;serif" w:hAnsi="Times New Roman;Times;serif"/>
          <w:sz w:val="20"/>
        </w:rPr>
        <w:t>law,</w:t>
      </w:r>
      <w:r>
        <w:rPr>
          <w:rFonts w:ascii="Times New Roman;Times;serif" w:hAnsi="Times New Roman;Times;serif"/>
          <w:spacing w:val="22"/>
          <w:sz w:val="20"/>
        </w:rPr>
        <w:t xml:space="preserve"> </w:t>
      </w:r>
      <w:r>
        <w:rPr>
          <w:rFonts w:ascii="Times New Roman;Times;serif" w:hAnsi="Times New Roman;Times;serif"/>
          <w:sz w:val="20"/>
        </w:rPr>
        <w:t>the</w:t>
      </w:r>
      <w:r>
        <w:rPr>
          <w:rFonts w:ascii="Times New Roman;Times;serif" w:hAnsi="Times New Roman;Times;serif"/>
          <w:spacing w:val="21"/>
          <w:sz w:val="20"/>
        </w:rPr>
        <w:t xml:space="preserve"> </w:t>
      </w:r>
      <w:r>
        <w:rPr>
          <w:rFonts w:ascii="Times New Roman;Times;serif" w:hAnsi="Times New Roman;Times;serif"/>
          <w:sz w:val="20"/>
        </w:rPr>
        <w:t>possession,</w:t>
      </w:r>
      <w:r>
        <w:rPr>
          <w:rFonts w:ascii="Times New Roman;Times;serif" w:hAnsi="Times New Roman;Times;serif"/>
          <w:spacing w:val="22"/>
          <w:sz w:val="20"/>
        </w:rPr>
        <w:t xml:space="preserve"> </w:t>
      </w:r>
      <w:r>
        <w:rPr>
          <w:rFonts w:ascii="Times New Roman;Times;serif" w:hAnsi="Times New Roman;Times;serif"/>
          <w:sz w:val="20"/>
        </w:rPr>
        <w:t>use,</w:t>
      </w:r>
      <w:r>
        <w:rPr>
          <w:rFonts w:ascii="Times New Roman;Times;serif" w:hAnsi="Times New Roman;Times;serif"/>
          <w:spacing w:val="22"/>
          <w:sz w:val="20"/>
        </w:rPr>
        <w:t xml:space="preserve"> </w:t>
      </w:r>
      <w:r>
        <w:rPr>
          <w:rFonts w:ascii="Times New Roman;Times;serif" w:hAnsi="Times New Roman;Times;serif"/>
          <w:sz w:val="20"/>
        </w:rPr>
        <w:t>cultivation,</w:t>
      </w:r>
      <w:r>
        <w:rPr>
          <w:rFonts w:ascii="Times New Roman;Times;serif" w:hAnsi="Times New Roman;Times;serif"/>
          <w:spacing w:val="22"/>
          <w:sz w:val="20"/>
        </w:rPr>
        <w:t xml:space="preserve"> </w:t>
      </w:r>
      <w:r>
        <w:rPr>
          <w:rFonts w:ascii="Times New Roman;Times;serif" w:hAnsi="Times New Roman;Times;serif"/>
          <w:sz w:val="20"/>
        </w:rPr>
        <w:t>and</w:t>
      </w:r>
      <w:r>
        <w:rPr>
          <w:rFonts w:ascii="Times New Roman;Times;serif" w:hAnsi="Times New Roman;Times;serif"/>
          <w:spacing w:val="-5"/>
          <w:sz w:val="20"/>
        </w:rPr>
        <w:t xml:space="preserve"> </w:t>
      </w:r>
      <w:r>
        <w:rPr>
          <w:rFonts w:ascii="Times New Roman;Times;serif" w:hAnsi="Times New Roman;Times;serif"/>
          <w:sz w:val="20"/>
        </w:rPr>
        <w:t>transfer</w:t>
      </w:r>
      <w:r>
        <w:rPr>
          <w:rFonts w:ascii="Times New Roman;Times;serif" w:hAnsi="Times New Roman;Times;serif"/>
          <w:spacing w:val="-6"/>
          <w:sz w:val="20"/>
        </w:rPr>
        <w:t xml:space="preserve"> </w:t>
      </w:r>
      <w:r>
        <w:rPr>
          <w:rFonts w:ascii="Times New Roman;Times;serif" w:hAnsi="Times New Roman;Times;serif"/>
          <w:sz w:val="20"/>
        </w:rPr>
        <w:t>of</w:t>
      </w:r>
      <w:r>
        <w:rPr>
          <w:rFonts w:ascii="Times New Roman;Times;serif" w:hAnsi="Times New Roman;Times;serif"/>
          <w:spacing w:val="-8"/>
          <w:sz w:val="20"/>
        </w:rPr>
        <w:t xml:space="preserve"> </w:t>
      </w:r>
      <w:r>
        <w:rPr>
          <w:rFonts w:ascii="Times New Roman;Times;serif" w:hAnsi="Times New Roman;Times;serif"/>
          <w:sz w:val="20"/>
        </w:rPr>
        <w:t>cannabis</w:t>
      </w:r>
      <w:r>
        <w:rPr>
          <w:rFonts w:ascii="Times New Roman;Times;serif" w:hAnsi="Times New Roman;Times;serif"/>
          <w:spacing w:val="-8"/>
          <w:sz w:val="20"/>
        </w:rPr>
        <w:t xml:space="preserve"> </w:t>
      </w:r>
      <w:r>
        <w:rPr>
          <w:rFonts w:ascii="Times New Roman;Times;serif" w:hAnsi="Times New Roman;Times;serif"/>
          <w:sz w:val="20"/>
        </w:rPr>
        <w:t>and</w:t>
      </w:r>
      <w:r>
        <w:rPr>
          <w:rFonts w:ascii="Times New Roman;Times;serif" w:hAnsi="Times New Roman;Times;serif"/>
          <w:spacing w:val="-8"/>
          <w:sz w:val="20"/>
        </w:rPr>
        <w:t xml:space="preserve"> </w:t>
      </w:r>
      <w:r>
        <w:rPr>
          <w:rFonts w:ascii="Times New Roman;Times;serif" w:hAnsi="Times New Roman;Times;serif"/>
          <w:sz w:val="20"/>
        </w:rPr>
        <w:t>any</w:t>
      </w:r>
      <w:r>
        <w:rPr>
          <w:rFonts w:ascii="Times New Roman;Times;serif" w:hAnsi="Times New Roman;Times;serif"/>
          <w:spacing w:val="-8"/>
          <w:sz w:val="20"/>
        </w:rPr>
        <w:t xml:space="preserve"> </w:t>
      </w:r>
      <w:r>
        <w:rPr>
          <w:rFonts w:ascii="Times New Roman;Times;serif" w:hAnsi="Times New Roman;Times;serif"/>
          <w:sz w:val="20"/>
        </w:rPr>
        <w:t>related</w:t>
      </w:r>
      <w:r>
        <w:rPr>
          <w:rFonts w:ascii="Times New Roman;Times;serif" w:hAnsi="Times New Roman;Times;serif"/>
          <w:spacing w:val="-6"/>
          <w:sz w:val="20"/>
        </w:rPr>
        <w:t xml:space="preserve"> </w:t>
      </w:r>
      <w:r>
        <w:rPr>
          <w:rFonts w:ascii="Times New Roman;Times;serif" w:hAnsi="Times New Roman;Times;serif"/>
          <w:sz w:val="20"/>
        </w:rPr>
        <w:t>drug</w:t>
      </w:r>
      <w:r>
        <w:rPr>
          <w:rFonts w:ascii="Times New Roman;Times;serif" w:hAnsi="Times New Roman;Times;serif"/>
          <w:spacing w:val="-6"/>
          <w:sz w:val="20"/>
        </w:rPr>
        <w:t xml:space="preserve"> </w:t>
      </w:r>
      <w:r>
        <w:rPr>
          <w:rFonts w:ascii="Times New Roman;Times;serif" w:hAnsi="Times New Roman;Times;serif"/>
          <w:sz w:val="20"/>
        </w:rPr>
        <w:t>paraphernalia</w:t>
      </w:r>
      <w:r>
        <w:rPr>
          <w:rFonts w:ascii="Times New Roman;Times;serif" w:hAnsi="Times New Roman;Times;serif"/>
          <w:spacing w:val="-6"/>
          <w:sz w:val="20"/>
        </w:rPr>
        <w:t xml:space="preserve"> </w:t>
      </w:r>
      <w:r>
        <w:rPr>
          <w:rFonts w:ascii="Times New Roman;Times;serif" w:hAnsi="Times New Roman;Times;serif"/>
          <w:sz w:val="20"/>
        </w:rPr>
        <w:t>is</w:t>
      </w:r>
      <w:r>
        <w:rPr>
          <w:rFonts w:ascii="Times New Roman;Times;serif" w:hAnsi="Times New Roman;Times;serif"/>
          <w:spacing w:val="-8"/>
          <w:sz w:val="20"/>
        </w:rPr>
        <w:t xml:space="preserve"> </w:t>
      </w:r>
      <w:r>
        <w:rPr>
          <w:rFonts w:ascii="Times New Roman;Times;serif" w:hAnsi="Times New Roman;Times;serif"/>
          <w:sz w:val="20"/>
        </w:rPr>
        <w:t>illegal,</w:t>
      </w:r>
      <w:r>
        <w:rPr>
          <w:rFonts w:ascii="Times New Roman;Times;serif" w:hAnsi="Times New Roman;Times;serif"/>
          <w:spacing w:val="-6"/>
          <w:sz w:val="20"/>
        </w:rPr>
        <w:t xml:space="preserve"> </w:t>
      </w:r>
      <w:r>
        <w:rPr>
          <w:rFonts w:ascii="Times New Roman;Times;serif" w:hAnsi="Times New Roman;Times;serif"/>
          <w:sz w:val="20"/>
        </w:rPr>
        <w:t>and</w:t>
      </w:r>
      <w:r>
        <w:rPr>
          <w:rFonts w:ascii="Times New Roman;Times;serif" w:hAnsi="Times New Roman;Times;serif"/>
          <w:spacing w:val="-8"/>
          <w:sz w:val="20"/>
        </w:rPr>
        <w:t xml:space="preserve"> </w:t>
      </w:r>
      <w:r>
        <w:rPr>
          <w:rFonts w:ascii="Times New Roman;Times;serif" w:hAnsi="Times New Roman;Times;serif"/>
          <w:sz w:val="20"/>
        </w:rPr>
        <w:t>any</w:t>
      </w:r>
      <w:r>
        <w:rPr>
          <w:rFonts w:ascii="Times New Roman;Times;serif" w:hAnsi="Times New Roman;Times;serif"/>
          <w:spacing w:val="-8"/>
          <w:sz w:val="20"/>
        </w:rPr>
        <w:t xml:space="preserve"> </w:t>
      </w:r>
      <w:r>
        <w:rPr>
          <w:rFonts w:ascii="Times New Roman;Times;serif" w:hAnsi="Times New Roman;Times;serif"/>
          <w:sz w:val="20"/>
        </w:rPr>
        <w:t>such</w:t>
      </w:r>
      <w:r>
        <w:rPr>
          <w:rFonts w:ascii="Times New Roman;Times;serif" w:hAnsi="Times New Roman;Times;serif"/>
          <w:spacing w:val="-8"/>
          <w:sz w:val="20"/>
        </w:rPr>
        <w:t xml:space="preserve"> </w:t>
      </w:r>
      <w:r>
        <w:rPr>
          <w:rFonts w:ascii="Times New Roman;Times;serif" w:hAnsi="Times New Roman;Times;serif"/>
          <w:sz w:val="20"/>
        </w:rPr>
        <w:t>acts</w:t>
      </w:r>
      <w:r>
        <w:rPr>
          <w:rFonts w:ascii="Times New Roman;Times;serif" w:hAnsi="Times New Roman;Times;serif"/>
          <w:spacing w:val="-8"/>
          <w:sz w:val="20"/>
        </w:rPr>
        <w:t xml:space="preserve"> </w:t>
      </w:r>
      <w:r>
        <w:rPr>
          <w:rFonts w:ascii="Times New Roman;Times;serif" w:hAnsi="Times New Roman;Times;serif"/>
          <w:sz w:val="20"/>
        </w:rPr>
        <w:t>are</w:t>
      </w:r>
      <w:r>
        <w:rPr>
          <w:rFonts w:ascii="Times New Roman;Times;serif" w:hAnsi="Times New Roman;Times;serif"/>
          <w:spacing w:val="-6"/>
          <w:sz w:val="20"/>
        </w:rPr>
        <w:t xml:space="preserve"> </w:t>
      </w:r>
      <w:r>
        <w:rPr>
          <w:rFonts w:ascii="Times New Roman;Times;serif" w:hAnsi="Times New Roman;Times;serif"/>
          <w:sz w:val="20"/>
        </w:rPr>
        <w:t>criminal</w:t>
      </w:r>
      <w:r>
        <w:rPr>
          <w:rFonts w:ascii="Times New Roman;Times;serif" w:hAnsi="Times New Roman;Times;serif"/>
          <w:spacing w:val="-7"/>
          <w:sz w:val="20"/>
        </w:rPr>
        <w:t xml:space="preserve"> </w:t>
      </w:r>
      <w:r>
        <w:rPr>
          <w:rFonts w:ascii="Times New Roman;Times;serif" w:hAnsi="Times New Roman;Times;serif"/>
          <w:sz w:val="20"/>
        </w:rPr>
        <w:t>acts.</w:t>
      </w:r>
      <w:r>
        <w:rPr>
          <w:rFonts w:ascii="Times New Roman;Times;serif" w:hAnsi="Times New Roman;Times;serif"/>
          <w:spacing w:val="-6"/>
          <w:sz w:val="20"/>
        </w:rPr>
        <w:t xml:space="preserve"> </w:t>
      </w:r>
      <w:r>
        <w:rPr>
          <w:rFonts w:ascii="Times New Roman;Times;serif" w:hAnsi="Times New Roman;Times;serif"/>
          <w:sz w:val="20"/>
        </w:rPr>
        <w:t>Although</w:t>
      </w:r>
      <w:r>
        <w:rPr>
          <w:rFonts w:ascii="Times New Roman;Times;serif" w:hAnsi="Times New Roman;Times;serif"/>
          <w:spacing w:val="-6"/>
          <w:sz w:val="20"/>
        </w:rPr>
        <w:t xml:space="preserve"> </w:t>
      </w:r>
      <w:r>
        <w:rPr>
          <w:rFonts w:ascii="Times New Roman;Times;serif" w:hAnsi="Times New Roman;Times;serif"/>
          <w:sz w:val="20"/>
        </w:rPr>
        <w:t>the</w:t>
      </w:r>
      <w:r>
        <w:rPr>
          <w:rFonts w:ascii="Times New Roman;Times;serif" w:hAnsi="Times New Roman;Times;serif"/>
          <w:spacing w:val="-9"/>
          <w:sz w:val="20"/>
        </w:rPr>
        <w:t xml:space="preserve"> </w:t>
      </w:r>
      <w:r>
        <w:rPr>
          <w:rFonts w:ascii="Times New Roman;Times;serif" w:hAnsi="Times New Roman;Times;serif"/>
          <w:sz w:val="20"/>
        </w:rPr>
        <w:t>Company’s</w:t>
      </w:r>
      <w:r>
        <w:rPr>
          <w:rFonts w:ascii="Times New Roman;Times;serif" w:hAnsi="Times New Roman;Times;serif"/>
          <w:spacing w:val="-8"/>
          <w:sz w:val="20"/>
        </w:rPr>
        <w:t xml:space="preserve"> </w:t>
      </w:r>
      <w:r>
        <w:rPr>
          <w:rFonts w:ascii="Times New Roman;Times;serif" w:hAnsi="Times New Roman;Times;serif"/>
          <w:sz w:val="20"/>
        </w:rPr>
        <w:t>activities</w:t>
      </w:r>
      <w:r>
        <w:rPr>
          <w:rFonts w:ascii="Times New Roman;Times;serif" w:hAnsi="Times New Roman;Times;serif"/>
          <w:spacing w:val="-3"/>
          <w:sz w:val="20"/>
        </w:rPr>
        <w:t xml:space="preserve"> </w:t>
      </w:r>
      <w:r>
        <w:rPr>
          <w:rFonts w:ascii="Times New Roman;Times;serif" w:hAnsi="Times New Roman;Times;serif"/>
          <w:sz w:val="20"/>
        </w:rPr>
        <w:t>are</w:t>
      </w:r>
      <w:r>
        <w:rPr>
          <w:rFonts w:ascii="Times New Roman;Times;serif" w:hAnsi="Times New Roman;Times;serif"/>
          <w:spacing w:val="14"/>
          <w:sz w:val="20"/>
        </w:rPr>
        <w:t xml:space="preserve"> </w:t>
      </w:r>
      <w:r>
        <w:rPr>
          <w:rFonts w:ascii="Times New Roman;Times;serif" w:hAnsi="Times New Roman;Times;serif"/>
          <w:sz w:val="20"/>
        </w:rPr>
        <w:t>compliant</w:t>
      </w:r>
      <w:r>
        <w:rPr>
          <w:rFonts w:ascii="Times New Roman;Times;serif" w:hAnsi="Times New Roman;Times;serif"/>
          <w:spacing w:val="13"/>
          <w:sz w:val="20"/>
        </w:rPr>
        <w:t xml:space="preserve"> </w:t>
      </w:r>
      <w:r>
        <w:rPr>
          <w:rFonts w:ascii="Times New Roman;Times;serif" w:hAnsi="Times New Roman;Times;serif"/>
          <w:sz w:val="20"/>
        </w:rPr>
        <w:t>with</w:t>
      </w:r>
      <w:r>
        <w:rPr>
          <w:rFonts w:ascii="Times New Roman;Times;serif" w:hAnsi="Times New Roman;Times;serif"/>
          <w:spacing w:val="15"/>
          <w:sz w:val="20"/>
        </w:rPr>
        <w:t xml:space="preserve"> </w:t>
      </w:r>
      <w:r>
        <w:rPr>
          <w:rFonts w:ascii="Times New Roman;Times;serif" w:hAnsi="Times New Roman;Times;serif"/>
          <w:sz w:val="20"/>
        </w:rPr>
        <w:t>applicable</w:t>
      </w:r>
      <w:r>
        <w:rPr>
          <w:rFonts w:ascii="Times New Roman;Times;serif" w:hAnsi="Times New Roman;Times;serif"/>
          <w:spacing w:val="12"/>
          <w:sz w:val="20"/>
        </w:rPr>
        <w:t xml:space="preserve"> </w:t>
      </w:r>
      <w:r>
        <w:rPr>
          <w:rFonts w:ascii="Times New Roman;Times;serif" w:hAnsi="Times New Roman;Times;serif"/>
          <w:sz w:val="20"/>
        </w:rPr>
        <w:t>state</w:t>
      </w:r>
      <w:r>
        <w:rPr>
          <w:rFonts w:ascii="Times New Roman;Times;serif" w:hAnsi="Times New Roman;Times;serif"/>
          <w:spacing w:val="14"/>
          <w:sz w:val="20"/>
        </w:rPr>
        <w:t xml:space="preserve"> </w:t>
      </w:r>
      <w:r>
        <w:rPr>
          <w:rFonts w:ascii="Times New Roman;Times;serif" w:hAnsi="Times New Roman;Times;serif"/>
          <w:sz w:val="20"/>
        </w:rPr>
        <w:t>and</w:t>
      </w:r>
      <w:r>
        <w:rPr>
          <w:rFonts w:ascii="Times New Roman;Times;serif" w:hAnsi="Times New Roman;Times;serif"/>
          <w:spacing w:val="15"/>
          <w:sz w:val="20"/>
        </w:rPr>
        <w:t xml:space="preserve"> </w:t>
      </w:r>
      <w:r>
        <w:rPr>
          <w:rFonts w:ascii="Times New Roman;Times;serif" w:hAnsi="Times New Roman;Times;serif"/>
          <w:sz w:val="20"/>
        </w:rPr>
        <w:t>local</w:t>
      </w:r>
      <w:r>
        <w:rPr>
          <w:rFonts w:ascii="Times New Roman;Times;serif" w:hAnsi="Times New Roman;Times;serif"/>
          <w:spacing w:val="13"/>
          <w:sz w:val="20"/>
        </w:rPr>
        <w:t xml:space="preserve"> </w:t>
      </w:r>
      <w:r>
        <w:rPr>
          <w:rFonts w:ascii="Times New Roman;Times;serif" w:hAnsi="Times New Roman;Times;serif"/>
          <w:sz w:val="20"/>
        </w:rPr>
        <w:t>laws,</w:t>
      </w:r>
      <w:r>
        <w:rPr>
          <w:rFonts w:ascii="Times New Roman;Times;serif" w:hAnsi="Times New Roman;Times;serif"/>
          <w:spacing w:val="14"/>
          <w:sz w:val="20"/>
        </w:rPr>
        <w:t xml:space="preserve"> </w:t>
      </w:r>
      <w:r>
        <w:rPr>
          <w:rFonts w:ascii="Times New Roman;Times;serif" w:hAnsi="Times New Roman;Times;serif"/>
          <w:sz w:val="20"/>
        </w:rPr>
        <w:t>strict</w:t>
      </w:r>
      <w:r>
        <w:rPr>
          <w:rFonts w:ascii="Times New Roman;Times;serif" w:hAnsi="Times New Roman;Times;serif"/>
          <w:spacing w:val="13"/>
          <w:sz w:val="20"/>
        </w:rPr>
        <w:t xml:space="preserve"> </w:t>
      </w:r>
      <w:r>
        <w:rPr>
          <w:rFonts w:ascii="Times New Roman;Times;serif" w:hAnsi="Times New Roman;Times;serif"/>
          <w:sz w:val="20"/>
        </w:rPr>
        <w:t>compliance</w:t>
      </w:r>
      <w:r>
        <w:rPr>
          <w:rFonts w:ascii="Times New Roman;Times;serif" w:hAnsi="Times New Roman;Times;serif"/>
          <w:spacing w:val="14"/>
          <w:sz w:val="20"/>
        </w:rPr>
        <w:t xml:space="preserve"> </w:t>
      </w:r>
      <w:r>
        <w:rPr>
          <w:rFonts w:ascii="Times New Roman;Times;serif" w:hAnsi="Times New Roman;Times;serif"/>
          <w:sz w:val="20"/>
        </w:rPr>
        <w:t>with</w:t>
      </w:r>
      <w:r>
        <w:rPr>
          <w:rFonts w:ascii="Times New Roman;Times;serif" w:hAnsi="Times New Roman;Times;serif"/>
          <w:spacing w:val="15"/>
          <w:sz w:val="20"/>
        </w:rPr>
        <w:t xml:space="preserve"> </w:t>
      </w:r>
      <w:r>
        <w:rPr>
          <w:rFonts w:ascii="Times New Roman;Times;serif" w:hAnsi="Times New Roman;Times;serif"/>
          <w:sz w:val="20"/>
        </w:rPr>
        <w:t>state</w:t>
      </w:r>
      <w:r>
        <w:rPr>
          <w:rFonts w:ascii="Times New Roman;Times;serif" w:hAnsi="Times New Roman;Times;serif"/>
          <w:spacing w:val="14"/>
          <w:sz w:val="20"/>
        </w:rPr>
        <w:t xml:space="preserve"> </w:t>
      </w:r>
      <w:r>
        <w:rPr>
          <w:rFonts w:ascii="Times New Roman;Times;serif" w:hAnsi="Times New Roman;Times;serif"/>
          <w:sz w:val="20"/>
        </w:rPr>
        <w:t>and</w:t>
      </w:r>
      <w:r>
        <w:rPr>
          <w:rFonts w:ascii="Times New Roman;Times;serif" w:hAnsi="Times New Roman;Times;serif"/>
          <w:spacing w:val="15"/>
          <w:sz w:val="20"/>
        </w:rPr>
        <w:t xml:space="preserve"> </w:t>
      </w:r>
      <w:r>
        <w:rPr>
          <w:rFonts w:ascii="Times New Roman;Times;serif" w:hAnsi="Times New Roman;Times;serif"/>
          <w:sz w:val="20"/>
        </w:rPr>
        <w:t>local</w:t>
      </w:r>
      <w:r>
        <w:rPr>
          <w:rFonts w:ascii="Times New Roman;Times;serif" w:hAnsi="Times New Roman;Times;serif"/>
          <w:spacing w:val="13"/>
          <w:sz w:val="20"/>
        </w:rPr>
        <w:t xml:space="preserve"> </w:t>
      </w:r>
      <w:r>
        <w:rPr>
          <w:rFonts w:ascii="Times New Roman;Times;serif" w:hAnsi="Times New Roman;Times;serif"/>
          <w:sz w:val="20"/>
        </w:rPr>
        <w:t>laws</w:t>
      </w:r>
      <w:r>
        <w:rPr>
          <w:rFonts w:ascii="Times New Roman;Times;serif" w:hAnsi="Times New Roman;Times;serif"/>
          <w:spacing w:val="13"/>
          <w:sz w:val="20"/>
        </w:rPr>
        <w:t xml:space="preserve"> </w:t>
      </w:r>
      <w:r>
        <w:rPr>
          <w:rFonts w:ascii="Times New Roman;Times;serif" w:hAnsi="Times New Roman;Times;serif"/>
          <w:sz w:val="20"/>
        </w:rPr>
        <w:t>with</w:t>
      </w:r>
      <w:r>
        <w:rPr>
          <w:rFonts w:ascii="Times New Roman;Times;serif" w:hAnsi="Times New Roman;Times;serif"/>
          <w:spacing w:val="15"/>
          <w:sz w:val="20"/>
        </w:rPr>
        <w:t xml:space="preserve"> </w:t>
      </w:r>
      <w:r>
        <w:rPr>
          <w:rFonts w:ascii="Times New Roman;Times;serif" w:hAnsi="Times New Roman;Times;serif"/>
          <w:sz w:val="20"/>
        </w:rPr>
        <w:t>respect</w:t>
      </w:r>
      <w:r>
        <w:rPr>
          <w:rFonts w:ascii="Times New Roman;Times;serif" w:hAnsi="Times New Roman;Times;serif"/>
          <w:spacing w:val="14"/>
          <w:sz w:val="20"/>
        </w:rPr>
        <w:t xml:space="preserve"> </w:t>
      </w:r>
      <w:r>
        <w:rPr>
          <w:rFonts w:ascii="Times New Roman;Times;serif" w:hAnsi="Times New Roman;Times;serif"/>
          <w:sz w:val="20"/>
        </w:rPr>
        <w:t>to</w:t>
      </w:r>
      <w:r>
        <w:rPr>
          <w:rFonts w:ascii="Times New Roman;Times;serif" w:hAnsi="Times New Roman;Times;serif"/>
          <w:spacing w:val="15"/>
          <w:sz w:val="20"/>
        </w:rPr>
        <w:t xml:space="preserve"> </w:t>
      </w:r>
      <w:r>
        <w:rPr>
          <w:rFonts w:ascii="Times New Roman;Times;serif" w:hAnsi="Times New Roman;Times;serif"/>
          <w:sz w:val="20"/>
        </w:rPr>
        <w:t>cannabis</w:t>
      </w:r>
      <w:r>
        <w:rPr>
          <w:rFonts w:ascii="Times New Roman;Times;serif" w:hAnsi="Times New Roman;Times;serif"/>
          <w:spacing w:val="13"/>
          <w:sz w:val="20"/>
        </w:rPr>
        <w:t xml:space="preserve"> </w:t>
      </w:r>
      <w:r>
        <w:rPr>
          <w:rFonts w:ascii="Times New Roman;Times;serif" w:hAnsi="Times New Roman;Times;serif"/>
          <w:sz w:val="20"/>
        </w:rPr>
        <w:t>may</w:t>
      </w:r>
      <w:r>
        <w:rPr>
          <w:rFonts w:ascii="Times New Roman;Times;serif" w:hAnsi="Times New Roman;Times;serif"/>
          <w:spacing w:val="15"/>
          <w:sz w:val="20"/>
        </w:rPr>
        <w:t xml:space="preserve"> </w:t>
      </w:r>
      <w:r>
        <w:rPr>
          <w:rFonts w:ascii="Times New Roman;Times;serif" w:hAnsi="Times New Roman;Times;serif"/>
          <w:sz w:val="20"/>
        </w:rPr>
        <w:t>neither</w:t>
      </w:r>
      <w:r>
        <w:rPr>
          <w:rFonts w:ascii="Times New Roman;Times;serif" w:hAnsi="Times New Roman;Times;serif"/>
          <w:spacing w:val="-3"/>
          <w:sz w:val="20"/>
        </w:rPr>
        <w:t xml:space="preserve"> </w:t>
      </w:r>
      <w:r>
        <w:rPr>
          <w:rFonts w:ascii="Times New Roman;Times;serif" w:hAnsi="Times New Roman;Times;serif"/>
          <w:sz w:val="20"/>
        </w:rPr>
        <w:t>absolve</w:t>
      </w:r>
      <w:r>
        <w:rPr>
          <w:rFonts w:ascii="Times New Roman;Times;serif" w:hAnsi="Times New Roman;Times;serif"/>
          <w:spacing w:val="-2"/>
          <w:sz w:val="20"/>
        </w:rPr>
        <w:t xml:space="preserve"> </w:t>
      </w:r>
      <w:r>
        <w:rPr>
          <w:rFonts w:ascii="Times New Roman;Times;serif" w:hAnsi="Times New Roman;Times;serif"/>
          <w:sz w:val="20"/>
        </w:rPr>
        <w:t>the</w:t>
      </w:r>
      <w:r>
        <w:rPr>
          <w:rFonts w:ascii="Times New Roman;Times;serif" w:hAnsi="Times New Roman;Times;serif"/>
          <w:spacing w:val="-2"/>
          <w:sz w:val="20"/>
        </w:rPr>
        <w:t xml:space="preserve"> </w:t>
      </w:r>
      <w:r>
        <w:rPr>
          <w:rFonts w:ascii="Times New Roman;Times;serif" w:hAnsi="Times New Roman;Times;serif"/>
          <w:sz w:val="20"/>
        </w:rPr>
        <w:t>Company</w:t>
      </w:r>
      <w:r>
        <w:rPr>
          <w:rFonts w:ascii="Times New Roman;Times;serif" w:hAnsi="Times New Roman;Times;serif"/>
          <w:spacing w:val="-3"/>
          <w:sz w:val="20"/>
        </w:rPr>
        <w:t xml:space="preserve"> </w:t>
      </w:r>
      <w:r>
        <w:rPr>
          <w:rFonts w:ascii="Times New Roman;Times;serif" w:hAnsi="Times New Roman;Times;serif"/>
          <w:sz w:val="20"/>
        </w:rPr>
        <w:t>of</w:t>
      </w:r>
      <w:r>
        <w:rPr>
          <w:rFonts w:ascii="Times New Roman;Times;serif" w:hAnsi="Times New Roman;Times;serif"/>
          <w:spacing w:val="-4"/>
          <w:sz w:val="20"/>
        </w:rPr>
        <w:t xml:space="preserve"> </w:t>
      </w:r>
      <w:r>
        <w:rPr>
          <w:rFonts w:ascii="Times New Roman;Times;serif" w:hAnsi="Times New Roman;Times;serif"/>
          <w:sz w:val="20"/>
        </w:rPr>
        <w:t>liability</w:t>
      </w:r>
      <w:r>
        <w:rPr>
          <w:rFonts w:ascii="Times New Roman;Times;serif" w:hAnsi="Times New Roman;Times;serif"/>
          <w:spacing w:val="-1"/>
          <w:sz w:val="20"/>
        </w:rPr>
        <w:t xml:space="preserve"> </w:t>
      </w:r>
      <w:r>
        <w:rPr>
          <w:rFonts w:ascii="Times New Roman;Times;serif" w:hAnsi="Times New Roman;Times;serif"/>
          <w:sz w:val="20"/>
        </w:rPr>
        <w:t>under</w:t>
      </w:r>
      <w:r>
        <w:rPr>
          <w:rFonts w:ascii="Times New Roman;Times;serif" w:hAnsi="Times New Roman;Times;serif"/>
          <w:spacing w:val="-1"/>
          <w:sz w:val="20"/>
        </w:rPr>
        <w:t xml:space="preserve"> </w:t>
      </w:r>
      <w:r>
        <w:rPr>
          <w:rFonts w:ascii="Times New Roman;Times;serif" w:hAnsi="Times New Roman;Times;serif"/>
          <w:sz w:val="20"/>
        </w:rPr>
        <w:t>United</w:t>
      </w:r>
      <w:r>
        <w:rPr>
          <w:rFonts w:ascii="Times New Roman;Times;serif" w:hAnsi="Times New Roman;Times;serif"/>
          <w:spacing w:val="-3"/>
          <w:sz w:val="20"/>
        </w:rPr>
        <w:t xml:space="preserve"> </w:t>
      </w:r>
      <w:r>
        <w:rPr>
          <w:rFonts w:ascii="Times New Roman;Times;serif" w:hAnsi="Times New Roman;Times;serif"/>
          <w:sz w:val="20"/>
        </w:rPr>
        <w:t>States</w:t>
      </w:r>
      <w:r>
        <w:rPr>
          <w:rFonts w:ascii="Times New Roman;Times;serif" w:hAnsi="Times New Roman;Times;serif"/>
          <w:spacing w:val="-3"/>
          <w:sz w:val="20"/>
        </w:rPr>
        <w:t xml:space="preserve"> </w:t>
      </w:r>
      <w:r>
        <w:rPr>
          <w:rFonts w:ascii="Times New Roman;Times;serif" w:hAnsi="Times New Roman;Times;serif"/>
          <w:sz w:val="20"/>
        </w:rPr>
        <w:t>federal</w:t>
      </w:r>
      <w:r>
        <w:rPr>
          <w:rFonts w:ascii="Times New Roman;Times;serif" w:hAnsi="Times New Roman;Times;serif"/>
          <w:spacing w:val="-5"/>
          <w:sz w:val="20"/>
        </w:rPr>
        <w:t xml:space="preserve"> </w:t>
      </w:r>
      <w:r>
        <w:rPr>
          <w:rFonts w:ascii="Times New Roman;Times;serif" w:hAnsi="Times New Roman;Times;serif"/>
          <w:sz w:val="20"/>
        </w:rPr>
        <w:t>law</w:t>
      </w:r>
      <w:r>
        <w:rPr>
          <w:rFonts w:ascii="Times New Roman;Times;serif" w:hAnsi="Times New Roman;Times;serif"/>
          <w:spacing w:val="-2"/>
          <w:sz w:val="20"/>
        </w:rPr>
        <w:t xml:space="preserve"> </w:t>
      </w:r>
      <w:r>
        <w:rPr>
          <w:rFonts w:ascii="Times New Roman;Times;serif" w:hAnsi="Times New Roman;Times;serif"/>
          <w:sz w:val="20"/>
        </w:rPr>
        <w:t>nor</w:t>
      </w:r>
      <w:r>
        <w:rPr>
          <w:rFonts w:ascii="Times New Roman;Times;serif" w:hAnsi="Times New Roman;Times;serif"/>
          <w:spacing w:val="-4"/>
          <w:sz w:val="20"/>
        </w:rPr>
        <w:t xml:space="preserve"> </w:t>
      </w:r>
      <w:r>
        <w:rPr>
          <w:rFonts w:ascii="Times New Roman;Times;serif" w:hAnsi="Times New Roman;Times;serif"/>
          <w:sz w:val="20"/>
        </w:rPr>
        <w:t>provide</w:t>
      </w:r>
      <w:r>
        <w:rPr>
          <w:rFonts w:ascii="Times New Roman;Times;serif" w:hAnsi="Times New Roman;Times;serif"/>
          <w:spacing w:val="-4"/>
          <w:sz w:val="20"/>
        </w:rPr>
        <w:t xml:space="preserve"> </w:t>
      </w:r>
      <w:r>
        <w:rPr>
          <w:rFonts w:ascii="Times New Roman;Times;serif" w:hAnsi="Times New Roman;Times;serif"/>
          <w:sz w:val="20"/>
        </w:rPr>
        <w:t>a</w:t>
      </w:r>
      <w:r>
        <w:rPr>
          <w:rFonts w:ascii="Times New Roman;Times;serif" w:hAnsi="Times New Roman;Times;serif"/>
          <w:spacing w:val="-2"/>
          <w:sz w:val="20"/>
        </w:rPr>
        <w:t xml:space="preserve"> </w:t>
      </w:r>
      <w:r>
        <w:rPr>
          <w:rFonts w:ascii="Times New Roman;Times;serif" w:hAnsi="Times New Roman;Times;serif"/>
          <w:sz w:val="20"/>
        </w:rPr>
        <w:t>defense</w:t>
      </w:r>
      <w:r>
        <w:rPr>
          <w:rFonts w:ascii="Times New Roman;Times;serif" w:hAnsi="Times New Roman;Times;serif"/>
          <w:spacing w:val="-2"/>
          <w:sz w:val="20"/>
        </w:rPr>
        <w:t xml:space="preserve"> </w:t>
      </w:r>
      <w:r>
        <w:rPr>
          <w:rFonts w:ascii="Times New Roman;Times;serif" w:hAnsi="Times New Roman;Times;serif"/>
          <w:sz w:val="20"/>
        </w:rPr>
        <w:t>to</w:t>
      </w:r>
      <w:r>
        <w:rPr>
          <w:rFonts w:ascii="Times New Roman;Times;serif" w:hAnsi="Times New Roman;Times;serif"/>
          <w:spacing w:val="-3"/>
          <w:sz w:val="20"/>
        </w:rPr>
        <w:t xml:space="preserve"> </w:t>
      </w:r>
      <w:r>
        <w:rPr>
          <w:rFonts w:ascii="Times New Roman;Times;serif" w:hAnsi="Times New Roman;Times;serif"/>
          <w:sz w:val="20"/>
        </w:rPr>
        <w:t>federal</w:t>
      </w:r>
      <w:r>
        <w:rPr>
          <w:rFonts w:ascii="Times New Roman;Times;serif" w:hAnsi="Times New Roman;Times;serif"/>
          <w:spacing w:val="-2"/>
          <w:sz w:val="20"/>
        </w:rPr>
        <w:t xml:space="preserve"> </w:t>
      </w:r>
      <w:r>
        <w:rPr>
          <w:rFonts w:ascii="Times New Roman;Times;serif" w:hAnsi="Times New Roman;Times;serif"/>
          <w:sz w:val="20"/>
        </w:rPr>
        <w:t>criminal</w:t>
      </w:r>
      <w:r>
        <w:rPr>
          <w:rFonts w:ascii="Times New Roman;Times;serif" w:hAnsi="Times New Roman;Times;serif"/>
          <w:spacing w:val="-5"/>
          <w:sz w:val="20"/>
        </w:rPr>
        <w:t xml:space="preserve"> </w:t>
      </w:r>
      <w:r>
        <w:rPr>
          <w:rFonts w:ascii="Times New Roman;Times;serif" w:hAnsi="Times New Roman;Times;serif"/>
          <w:sz w:val="20"/>
        </w:rPr>
        <w:t>charges</w:t>
      </w:r>
      <w:r>
        <w:rPr>
          <w:rFonts w:ascii="Times New Roman;Times;serif" w:hAnsi="Times New Roman;Times;serif"/>
          <w:spacing w:val="-3"/>
          <w:sz w:val="20"/>
        </w:rPr>
        <w:t xml:space="preserve"> </w:t>
      </w:r>
      <w:r>
        <w:rPr>
          <w:rFonts w:ascii="Times New Roman;Times;serif" w:hAnsi="Times New Roman;Times;serif"/>
          <w:sz w:val="20"/>
        </w:rPr>
        <w:t>that</w:t>
      </w:r>
      <w:r>
        <w:rPr>
          <w:rFonts w:ascii="Times New Roman;Times;serif" w:hAnsi="Times New Roman;Times;serif"/>
          <w:spacing w:val="-2"/>
          <w:sz w:val="20"/>
        </w:rPr>
        <w:t xml:space="preserve"> </w:t>
      </w:r>
      <w:r>
        <w:rPr>
          <w:rFonts w:ascii="Times New Roman;Times;serif" w:hAnsi="Times New Roman;Times;serif"/>
          <w:sz w:val="20"/>
        </w:rPr>
        <w:t>may</w:t>
      </w:r>
      <w:r>
        <w:rPr>
          <w:rFonts w:ascii="Times New Roman;Times;serif" w:hAnsi="Times New Roman;Times;serif"/>
          <w:spacing w:val="-1"/>
          <w:sz w:val="20"/>
        </w:rPr>
        <w:t xml:space="preserve"> </w:t>
      </w:r>
      <w:r>
        <w:rPr>
          <w:rFonts w:ascii="Times New Roman;Times;serif" w:hAnsi="Times New Roman;Times;serif"/>
          <w:sz w:val="20"/>
        </w:rPr>
        <w:t>be</w:t>
      </w:r>
      <w:r>
        <w:rPr>
          <w:rFonts w:ascii="Times New Roman;Times;serif" w:hAnsi="Times New Roman;Times;serif"/>
          <w:spacing w:val="-4"/>
          <w:sz w:val="20"/>
        </w:rPr>
        <w:t xml:space="preserve"> </w:t>
      </w:r>
      <w:r>
        <w:rPr>
          <w:rFonts w:ascii="Times New Roman;Times;serif" w:hAnsi="Times New Roman;Times;serif"/>
          <w:sz w:val="20"/>
        </w:rPr>
        <w:t>brought</w:t>
      </w:r>
      <w:r>
        <w:rPr>
          <w:rFonts w:ascii="Times New Roman;Times;serif" w:hAnsi="Times New Roman;Times;serif"/>
          <w:spacing w:val="-2"/>
          <w:sz w:val="20"/>
        </w:rPr>
        <w:t xml:space="preserve"> </w:t>
      </w:r>
      <w:r>
        <w:rPr>
          <w:rFonts w:ascii="Times New Roman;Times;serif" w:hAnsi="Times New Roman;Times;serif"/>
          <w:sz w:val="20"/>
        </w:rPr>
        <w:t>against</w:t>
      </w:r>
      <w:r>
        <w:rPr>
          <w:rFonts w:ascii="Times New Roman;Times;serif" w:hAnsi="Times New Roman;Times;serif"/>
          <w:spacing w:val="-12"/>
          <w:sz w:val="20"/>
        </w:rPr>
        <w:t xml:space="preserve"> </w:t>
      </w:r>
      <w:r>
        <w:rPr>
          <w:rFonts w:ascii="Times New Roman;Times;serif" w:hAnsi="Times New Roman;Times;serif"/>
          <w:sz w:val="20"/>
        </w:rPr>
        <w:t>the</w:t>
      </w:r>
      <w:r>
        <w:rPr>
          <w:rFonts w:ascii="Times New Roman;Times;serif" w:hAnsi="Times New Roman;Times;serif"/>
          <w:spacing w:val="-11"/>
          <w:sz w:val="20"/>
        </w:rPr>
        <w:t xml:space="preserve"> </w:t>
      </w:r>
      <w:r>
        <w:rPr>
          <w:rFonts w:ascii="Times New Roman;Times;serif" w:hAnsi="Times New Roman;Times;serif"/>
          <w:sz w:val="20"/>
        </w:rPr>
        <w:t>Company.</w:t>
      </w:r>
      <w:r>
        <w:rPr>
          <w:rFonts w:ascii="Times New Roman;Times;serif" w:hAnsi="Times New Roman;Times;serif"/>
          <w:spacing w:val="-11"/>
          <w:sz w:val="20"/>
        </w:rPr>
        <w:t xml:space="preserve"> </w:t>
      </w:r>
      <w:r>
        <w:rPr>
          <w:rFonts w:ascii="Times New Roman;Times;serif" w:hAnsi="Times New Roman;Times;serif"/>
          <w:sz w:val="20"/>
        </w:rPr>
        <w:t>The</w:t>
      </w:r>
      <w:r>
        <w:rPr>
          <w:rFonts w:ascii="Times New Roman;Times;serif" w:hAnsi="Times New Roman;Times;serif"/>
          <w:spacing w:val="-11"/>
          <w:sz w:val="20"/>
        </w:rPr>
        <w:t xml:space="preserve"> </w:t>
      </w:r>
      <w:r>
        <w:rPr>
          <w:rFonts w:ascii="Times New Roman;Times;serif" w:hAnsi="Times New Roman;Times;serif"/>
          <w:sz w:val="20"/>
        </w:rPr>
        <w:t>Supremacy</w:t>
      </w:r>
      <w:r>
        <w:rPr>
          <w:rFonts w:ascii="Times New Roman;Times;serif" w:hAnsi="Times New Roman;Times;serif"/>
          <w:spacing w:val="-10"/>
          <w:sz w:val="20"/>
        </w:rPr>
        <w:t xml:space="preserve"> </w:t>
      </w:r>
      <w:r>
        <w:rPr>
          <w:rFonts w:ascii="Times New Roman;Times;serif" w:hAnsi="Times New Roman;Times;serif"/>
          <w:sz w:val="20"/>
        </w:rPr>
        <w:t>Clause</w:t>
      </w:r>
      <w:r>
        <w:rPr>
          <w:rFonts w:ascii="Times New Roman;Times;serif" w:hAnsi="Times New Roman;Times;serif"/>
          <w:spacing w:val="-11"/>
          <w:sz w:val="20"/>
        </w:rPr>
        <w:t xml:space="preserve"> </w:t>
      </w:r>
      <w:r>
        <w:rPr>
          <w:rFonts w:ascii="Times New Roman;Times;serif" w:hAnsi="Times New Roman;Times;serif"/>
          <w:sz w:val="20"/>
        </w:rPr>
        <w:t>of</w:t>
      </w:r>
      <w:r>
        <w:rPr>
          <w:rFonts w:ascii="Times New Roman;Times;serif" w:hAnsi="Times New Roman;Times;serif"/>
          <w:spacing w:val="-13"/>
          <w:sz w:val="20"/>
        </w:rPr>
        <w:t xml:space="preserve"> </w:t>
      </w:r>
      <w:r>
        <w:rPr>
          <w:rFonts w:ascii="Times New Roman;Times;serif" w:hAnsi="Times New Roman;Times;serif"/>
          <w:sz w:val="20"/>
        </w:rPr>
        <w:t>the</w:t>
      </w:r>
      <w:r>
        <w:rPr>
          <w:rFonts w:ascii="Times New Roman;Times;serif" w:hAnsi="Times New Roman;Times;serif"/>
          <w:spacing w:val="-11"/>
          <w:sz w:val="20"/>
        </w:rPr>
        <w:t xml:space="preserve"> </w:t>
      </w:r>
      <w:r>
        <w:rPr>
          <w:rFonts w:ascii="Times New Roman;Times;serif" w:hAnsi="Times New Roman;Times;serif"/>
          <w:sz w:val="20"/>
        </w:rPr>
        <w:t>United</w:t>
      </w:r>
      <w:r>
        <w:rPr>
          <w:rFonts w:ascii="Times New Roman;Times;serif" w:hAnsi="Times New Roman;Times;serif"/>
          <w:spacing w:val="-13"/>
          <w:sz w:val="20"/>
        </w:rPr>
        <w:t xml:space="preserve"> </w:t>
      </w:r>
      <w:r>
        <w:rPr>
          <w:rFonts w:ascii="Times New Roman;Times;serif" w:hAnsi="Times New Roman;Times;serif"/>
          <w:sz w:val="20"/>
        </w:rPr>
        <w:t>States</w:t>
      </w:r>
      <w:r>
        <w:rPr>
          <w:rFonts w:ascii="Times New Roman;Times;serif" w:hAnsi="Times New Roman;Times;serif"/>
          <w:spacing w:val="-12"/>
          <w:sz w:val="20"/>
        </w:rPr>
        <w:t xml:space="preserve"> </w:t>
      </w:r>
      <w:r>
        <w:rPr>
          <w:rFonts w:ascii="Times New Roman;Times;serif" w:hAnsi="Times New Roman;Times;serif"/>
          <w:sz w:val="20"/>
        </w:rPr>
        <w:t>Constitution</w:t>
      </w:r>
      <w:r>
        <w:rPr>
          <w:rFonts w:ascii="Times New Roman;Times;serif" w:hAnsi="Times New Roman;Times;serif"/>
          <w:spacing w:val="-10"/>
          <w:sz w:val="20"/>
        </w:rPr>
        <w:t xml:space="preserve"> </w:t>
      </w:r>
      <w:r>
        <w:rPr>
          <w:rFonts w:ascii="Times New Roman;Times;serif" w:hAnsi="Times New Roman;Times;serif"/>
          <w:sz w:val="20"/>
        </w:rPr>
        <w:t>establishes</w:t>
      </w:r>
      <w:r>
        <w:rPr>
          <w:rFonts w:ascii="Times New Roman;Times;serif" w:hAnsi="Times New Roman;Times;serif"/>
          <w:spacing w:val="-12"/>
          <w:sz w:val="20"/>
        </w:rPr>
        <w:t xml:space="preserve"> </w:t>
      </w:r>
      <w:r>
        <w:rPr>
          <w:rFonts w:ascii="Times New Roman;Times;serif" w:hAnsi="Times New Roman;Times;serif"/>
          <w:sz w:val="20"/>
        </w:rPr>
        <w:t>that</w:t>
      </w:r>
      <w:r>
        <w:rPr>
          <w:rFonts w:ascii="Times New Roman;Times;serif" w:hAnsi="Times New Roman;Times;serif"/>
          <w:spacing w:val="-12"/>
          <w:sz w:val="20"/>
        </w:rPr>
        <w:t xml:space="preserve"> </w:t>
      </w:r>
      <w:r>
        <w:rPr>
          <w:rFonts w:ascii="Times New Roman;Times;serif" w:hAnsi="Times New Roman;Times;serif"/>
          <w:sz w:val="20"/>
        </w:rPr>
        <w:t>the</w:t>
      </w:r>
      <w:r>
        <w:rPr>
          <w:rFonts w:ascii="Times New Roman;Times;serif" w:hAnsi="Times New Roman;Times;serif"/>
          <w:spacing w:val="-11"/>
          <w:sz w:val="20"/>
        </w:rPr>
        <w:t xml:space="preserve"> </w:t>
      </w:r>
      <w:r>
        <w:rPr>
          <w:rFonts w:ascii="Times New Roman;Times;serif" w:hAnsi="Times New Roman;Times;serif"/>
          <w:sz w:val="20"/>
        </w:rPr>
        <w:t>United</w:t>
      </w:r>
      <w:r>
        <w:rPr>
          <w:rFonts w:ascii="Times New Roman;Times;serif" w:hAnsi="Times New Roman;Times;serif"/>
          <w:spacing w:val="-10"/>
          <w:sz w:val="20"/>
        </w:rPr>
        <w:t xml:space="preserve"> </w:t>
      </w:r>
      <w:r>
        <w:rPr>
          <w:rFonts w:ascii="Times New Roman;Times;serif" w:hAnsi="Times New Roman;Times;serif"/>
          <w:sz w:val="20"/>
        </w:rPr>
        <w:t>States</w:t>
      </w:r>
      <w:r>
        <w:rPr>
          <w:rFonts w:ascii="Times New Roman;Times;serif" w:hAnsi="Times New Roman;Times;serif"/>
          <w:spacing w:val="-12"/>
          <w:sz w:val="20"/>
        </w:rPr>
        <w:t xml:space="preserve"> </w:t>
      </w:r>
      <w:r>
        <w:rPr>
          <w:rFonts w:ascii="Times New Roman;Times;serif" w:hAnsi="Times New Roman;Times;serif"/>
          <w:sz w:val="20"/>
        </w:rPr>
        <w:t>Constitution</w:t>
      </w:r>
      <w:r>
        <w:rPr>
          <w:rFonts w:ascii="Times New Roman;Times;serif" w:hAnsi="Times New Roman;Times;serif"/>
          <w:spacing w:val="-10"/>
          <w:sz w:val="20"/>
        </w:rPr>
        <w:t xml:space="preserve"> </w:t>
      </w:r>
      <w:r>
        <w:rPr>
          <w:rFonts w:ascii="Times New Roman;Times;serif" w:hAnsi="Times New Roman;Times;serif"/>
          <w:sz w:val="20"/>
        </w:rPr>
        <w:t>and</w:t>
      </w:r>
      <w:r>
        <w:rPr>
          <w:rFonts w:ascii="Times New Roman;Times;serif" w:hAnsi="Times New Roman;Times;serif"/>
          <w:spacing w:val="-10"/>
          <w:sz w:val="20"/>
        </w:rPr>
        <w:t xml:space="preserve"> </w:t>
      </w:r>
      <w:r>
        <w:rPr>
          <w:rFonts w:ascii="Times New Roman;Times;serif" w:hAnsi="Times New Roman;Times;serif"/>
          <w:sz w:val="20"/>
        </w:rPr>
        <w:t>federal</w:t>
      </w:r>
      <w:r>
        <w:rPr>
          <w:rFonts w:ascii="Times New Roman;Times;serif" w:hAnsi="Times New Roman;Times;serif"/>
          <w:spacing w:val="-3"/>
          <w:sz w:val="20"/>
        </w:rPr>
        <w:t xml:space="preserve"> </w:t>
      </w:r>
      <w:r>
        <w:rPr>
          <w:rFonts w:ascii="Times New Roman;Times;serif" w:hAnsi="Times New Roman;Times;serif"/>
          <w:sz w:val="20"/>
        </w:rPr>
        <w:t>laws</w:t>
      </w:r>
      <w:r>
        <w:rPr>
          <w:rFonts w:ascii="Times New Roman;Times;serif" w:hAnsi="Times New Roman;Times;serif"/>
          <w:spacing w:val="-3"/>
          <w:sz w:val="20"/>
        </w:rPr>
        <w:t xml:space="preserve"> </w:t>
      </w:r>
      <w:r>
        <w:rPr>
          <w:rFonts w:ascii="Times New Roman;Times;serif" w:hAnsi="Times New Roman;Times;serif"/>
          <w:sz w:val="20"/>
        </w:rPr>
        <w:t>made</w:t>
      </w:r>
      <w:r>
        <w:rPr>
          <w:rFonts w:ascii="Times New Roman;Times;serif" w:hAnsi="Times New Roman;Times;serif"/>
          <w:spacing w:val="-2"/>
          <w:sz w:val="20"/>
        </w:rPr>
        <w:t xml:space="preserve"> </w:t>
      </w:r>
      <w:r>
        <w:rPr>
          <w:rFonts w:ascii="Times New Roman;Times;serif" w:hAnsi="Times New Roman;Times;serif"/>
          <w:sz w:val="20"/>
        </w:rPr>
        <w:t>pursuant</w:t>
      </w:r>
      <w:r>
        <w:rPr>
          <w:rFonts w:ascii="Times New Roman;Times;serif" w:hAnsi="Times New Roman;Times;serif"/>
          <w:spacing w:val="-2"/>
          <w:sz w:val="20"/>
        </w:rPr>
        <w:t xml:space="preserve"> </w:t>
      </w:r>
      <w:r>
        <w:rPr>
          <w:rFonts w:ascii="Times New Roman;Times;serif" w:hAnsi="Times New Roman;Times;serif"/>
          <w:sz w:val="20"/>
        </w:rPr>
        <w:t>to</w:t>
      </w:r>
      <w:r>
        <w:rPr>
          <w:rFonts w:ascii="Times New Roman;Times;serif" w:hAnsi="Times New Roman;Times;serif"/>
          <w:spacing w:val="-3"/>
          <w:sz w:val="20"/>
        </w:rPr>
        <w:t xml:space="preserve"> </w:t>
      </w:r>
      <w:r>
        <w:rPr>
          <w:rFonts w:ascii="Times New Roman;Times;serif" w:hAnsi="Times New Roman;Times;serif"/>
          <w:sz w:val="20"/>
        </w:rPr>
        <w:t>it</w:t>
      </w:r>
      <w:r>
        <w:rPr>
          <w:rFonts w:ascii="Times New Roman;Times;serif" w:hAnsi="Times New Roman;Times;serif"/>
          <w:spacing w:val="-2"/>
          <w:sz w:val="20"/>
        </w:rPr>
        <w:t xml:space="preserve"> </w:t>
      </w:r>
      <w:r>
        <w:rPr>
          <w:rFonts w:ascii="Times New Roman;Times;serif" w:hAnsi="Times New Roman;Times;serif"/>
          <w:sz w:val="20"/>
        </w:rPr>
        <w:t>are</w:t>
      </w:r>
      <w:r>
        <w:rPr>
          <w:rFonts w:ascii="Times New Roman;Times;serif" w:hAnsi="Times New Roman;Times;serif"/>
          <w:spacing w:val="-2"/>
          <w:sz w:val="20"/>
        </w:rPr>
        <w:t xml:space="preserve"> </w:t>
      </w:r>
      <w:r>
        <w:rPr>
          <w:rFonts w:ascii="Times New Roman;Times;serif" w:hAnsi="Times New Roman;Times;serif"/>
          <w:sz w:val="20"/>
        </w:rPr>
        <w:t>paramount</w:t>
      </w:r>
      <w:r>
        <w:rPr>
          <w:rFonts w:ascii="Times New Roman;Times;serif" w:hAnsi="Times New Roman;Times;serif"/>
          <w:spacing w:val="-2"/>
          <w:sz w:val="20"/>
        </w:rPr>
        <w:t xml:space="preserve"> </w:t>
      </w:r>
      <w:r>
        <w:rPr>
          <w:rFonts w:ascii="Times New Roman;Times;serif" w:hAnsi="Times New Roman;Times;serif"/>
          <w:sz w:val="20"/>
        </w:rPr>
        <w:t>and,</w:t>
      </w:r>
      <w:r>
        <w:rPr>
          <w:rFonts w:ascii="Times New Roman;Times;serif" w:hAnsi="Times New Roman;Times;serif"/>
          <w:spacing w:val="-1"/>
          <w:sz w:val="20"/>
        </w:rPr>
        <w:t xml:space="preserve"> </w:t>
      </w:r>
      <w:r>
        <w:rPr>
          <w:rFonts w:ascii="Times New Roman;Times;serif" w:hAnsi="Times New Roman;Times;serif"/>
          <w:sz w:val="20"/>
        </w:rPr>
        <w:t>in</w:t>
      </w:r>
      <w:r>
        <w:rPr>
          <w:rFonts w:ascii="Times New Roman;Times;serif" w:hAnsi="Times New Roman;Times;serif"/>
          <w:spacing w:val="-1"/>
          <w:sz w:val="20"/>
        </w:rPr>
        <w:t xml:space="preserve"> </w:t>
      </w:r>
      <w:r>
        <w:rPr>
          <w:rFonts w:ascii="Times New Roman;Times;serif" w:hAnsi="Times New Roman;Times;serif"/>
          <w:sz w:val="20"/>
        </w:rPr>
        <w:t>case</w:t>
      </w:r>
      <w:r>
        <w:rPr>
          <w:rFonts w:ascii="Times New Roman;Times;serif" w:hAnsi="Times New Roman;Times;serif"/>
          <w:spacing w:val="-2"/>
          <w:sz w:val="20"/>
        </w:rPr>
        <w:t xml:space="preserve"> </w:t>
      </w:r>
      <w:r>
        <w:rPr>
          <w:rFonts w:ascii="Times New Roman;Times;serif" w:hAnsi="Times New Roman;Times;serif"/>
          <w:sz w:val="20"/>
        </w:rPr>
        <w:t>of</w:t>
      </w:r>
      <w:r>
        <w:rPr>
          <w:rFonts w:ascii="Times New Roman;Times;serif" w:hAnsi="Times New Roman;Times;serif"/>
          <w:spacing w:val="-1"/>
          <w:sz w:val="20"/>
        </w:rPr>
        <w:t xml:space="preserve"> </w:t>
      </w:r>
      <w:r>
        <w:rPr>
          <w:rFonts w:ascii="Times New Roman;Times;serif" w:hAnsi="Times New Roman;Times;serif"/>
          <w:sz w:val="20"/>
        </w:rPr>
        <w:t>conflict</w:t>
      </w:r>
      <w:r>
        <w:rPr>
          <w:rFonts w:ascii="Times New Roman;Times;serif" w:hAnsi="Times New Roman;Times;serif"/>
          <w:spacing w:val="-2"/>
          <w:sz w:val="20"/>
        </w:rPr>
        <w:t xml:space="preserve"> </w:t>
      </w:r>
      <w:r>
        <w:rPr>
          <w:rFonts w:ascii="Times New Roman;Times;serif" w:hAnsi="Times New Roman;Times;serif"/>
          <w:sz w:val="20"/>
        </w:rPr>
        <w:t>between</w:t>
      </w:r>
      <w:r>
        <w:rPr>
          <w:rFonts w:ascii="Times New Roman;Times;serif" w:hAnsi="Times New Roman;Times;serif"/>
          <w:spacing w:val="-1"/>
          <w:sz w:val="20"/>
        </w:rPr>
        <w:t xml:space="preserve"> </w:t>
      </w:r>
      <w:r>
        <w:rPr>
          <w:rFonts w:ascii="Times New Roman;Times;serif" w:hAnsi="Times New Roman;Times;serif"/>
          <w:sz w:val="20"/>
        </w:rPr>
        <w:t>federal</w:t>
      </w:r>
      <w:r>
        <w:rPr>
          <w:rFonts w:ascii="Times New Roman;Times;serif" w:hAnsi="Times New Roman;Times;serif"/>
          <w:spacing w:val="-2"/>
          <w:sz w:val="20"/>
        </w:rPr>
        <w:t xml:space="preserve"> </w:t>
      </w:r>
      <w:r>
        <w:rPr>
          <w:rFonts w:ascii="Times New Roman;Times;serif" w:hAnsi="Times New Roman;Times;serif"/>
          <w:sz w:val="20"/>
        </w:rPr>
        <w:t>and</w:t>
      </w:r>
      <w:r>
        <w:rPr>
          <w:rFonts w:ascii="Times New Roman;Times;serif" w:hAnsi="Times New Roman;Times;serif"/>
          <w:spacing w:val="-1"/>
          <w:sz w:val="20"/>
        </w:rPr>
        <w:t xml:space="preserve"> </w:t>
      </w:r>
      <w:r>
        <w:rPr>
          <w:rFonts w:ascii="Times New Roman;Times;serif" w:hAnsi="Times New Roman;Times;serif"/>
          <w:sz w:val="20"/>
        </w:rPr>
        <w:t>state</w:t>
      </w:r>
      <w:r>
        <w:rPr>
          <w:rFonts w:ascii="Times New Roman;Times;serif" w:hAnsi="Times New Roman;Times;serif"/>
          <w:spacing w:val="-2"/>
          <w:sz w:val="20"/>
        </w:rPr>
        <w:t xml:space="preserve"> </w:t>
      </w:r>
      <w:r>
        <w:rPr>
          <w:rFonts w:ascii="Times New Roman;Times;serif" w:hAnsi="Times New Roman;Times;serif"/>
          <w:sz w:val="20"/>
        </w:rPr>
        <w:t>law,</w:t>
      </w:r>
      <w:r>
        <w:rPr>
          <w:rFonts w:ascii="Times New Roman;Times;serif" w:hAnsi="Times New Roman;Times;serif"/>
          <w:spacing w:val="-1"/>
          <w:sz w:val="20"/>
        </w:rPr>
        <w:t xml:space="preserve"> </w:t>
      </w:r>
      <w:r>
        <w:rPr>
          <w:rFonts w:ascii="Times New Roman;Times;serif" w:hAnsi="Times New Roman;Times;serif"/>
          <w:sz w:val="20"/>
        </w:rPr>
        <w:t>federal</w:t>
      </w:r>
      <w:r>
        <w:rPr>
          <w:rFonts w:ascii="Times New Roman;Times;serif" w:hAnsi="Times New Roman;Times;serif"/>
          <w:spacing w:val="-2"/>
          <w:sz w:val="20"/>
        </w:rPr>
        <w:t xml:space="preserve"> </w:t>
      </w:r>
      <w:r>
        <w:rPr>
          <w:rFonts w:ascii="Times New Roman;Times;serif" w:hAnsi="Times New Roman;Times;serif"/>
          <w:sz w:val="20"/>
        </w:rPr>
        <w:t>law</w:t>
      </w:r>
      <w:r>
        <w:rPr>
          <w:rFonts w:ascii="Times New Roman;Times;serif" w:hAnsi="Times New Roman;Times;serif"/>
          <w:spacing w:val="-2"/>
          <w:sz w:val="20"/>
        </w:rPr>
        <w:t xml:space="preserve"> </w:t>
      </w:r>
      <w:r>
        <w:rPr>
          <w:rFonts w:ascii="Times New Roman;Times;serif" w:hAnsi="Times New Roman;Times;serif"/>
          <w:sz w:val="20"/>
        </w:rPr>
        <w:t>shall</w:t>
      </w:r>
      <w:r>
        <w:rPr>
          <w:rFonts w:ascii="Times New Roman;Times;serif" w:hAnsi="Times New Roman;Times;serif"/>
          <w:spacing w:val="-2"/>
          <w:sz w:val="20"/>
        </w:rPr>
        <w:t xml:space="preserve"> </w:t>
      </w:r>
      <w:r>
        <w:rPr>
          <w:rFonts w:ascii="Times New Roman;Times;serif" w:hAnsi="Times New Roman;Times;serif"/>
          <w:sz w:val="20"/>
        </w:rPr>
        <w:t>apply.</w:t>
      </w:r>
    </w:p>
    <w:p>
      <w:pPr>
        <w:pStyle w:val="TextBody"/>
        <w:spacing w:before="0" w:after="240"/>
        <w:ind w:left="41" w:right="114" w:hanging="0"/>
        <w:jc w:val="both"/>
        <w:rPr>
          <w:rFonts w:ascii="Times New Roman;Times;serif" w:hAnsi="Times New Roman;Times;serif"/>
          <w:sz w:val="20"/>
        </w:rPr>
      </w:pPr>
      <w:r>
        <w:rPr>
          <w:rFonts w:ascii="Times New Roman;Times;serif" w:hAnsi="Times New Roman;Times;serif"/>
          <w:sz w:val="20"/>
        </w:rPr>
        <w:t>Nonetheless,</w:t>
      </w:r>
      <w:r>
        <w:rPr>
          <w:rFonts w:ascii="Times New Roman;Times;serif" w:hAnsi="Times New Roman;Times;serif"/>
          <w:spacing w:val="-3"/>
          <w:sz w:val="20"/>
        </w:rPr>
        <w:t xml:space="preserve"> </w:t>
      </w:r>
      <w:r>
        <w:rPr>
          <w:rFonts w:ascii="Times New Roman;Times;serif" w:hAnsi="Times New Roman;Times;serif"/>
          <w:sz w:val="20"/>
        </w:rPr>
        <w:t>44</w:t>
      </w:r>
      <w:r>
        <w:rPr>
          <w:rFonts w:ascii="Times New Roman;Times;serif" w:hAnsi="Times New Roman;Times;serif"/>
          <w:spacing w:val="-3"/>
          <w:sz w:val="20"/>
        </w:rPr>
        <w:t xml:space="preserve"> </w:t>
      </w:r>
      <w:r>
        <w:rPr>
          <w:rFonts w:ascii="Times New Roman;Times;serif" w:hAnsi="Times New Roman;Times;serif"/>
          <w:sz w:val="20"/>
        </w:rPr>
        <w:t>U.S.</w:t>
      </w:r>
      <w:r>
        <w:rPr>
          <w:rFonts w:ascii="Times New Roman;Times;serif" w:hAnsi="Times New Roman;Times;serif"/>
          <w:spacing w:val="-3"/>
          <w:sz w:val="20"/>
        </w:rPr>
        <w:t xml:space="preserve"> </w:t>
      </w:r>
      <w:r>
        <w:rPr>
          <w:rFonts w:ascii="Times New Roman;Times;serif" w:hAnsi="Times New Roman;Times;serif"/>
          <w:sz w:val="20"/>
        </w:rPr>
        <w:t>states,</w:t>
      </w:r>
      <w:r>
        <w:rPr>
          <w:rFonts w:ascii="Times New Roman;Times;serif" w:hAnsi="Times New Roman;Times;serif"/>
          <w:spacing w:val="-3"/>
          <w:sz w:val="20"/>
        </w:rPr>
        <w:t xml:space="preserve"> </w:t>
      </w:r>
      <w:r>
        <w:rPr>
          <w:rFonts w:ascii="Times New Roman;Times;serif" w:hAnsi="Times New Roman;Times;serif"/>
          <w:sz w:val="20"/>
        </w:rPr>
        <w:t>the</w:t>
      </w:r>
      <w:r>
        <w:rPr>
          <w:rFonts w:ascii="Times New Roman;Times;serif" w:hAnsi="Times New Roman;Times;serif"/>
          <w:spacing w:val="-3"/>
          <w:sz w:val="20"/>
        </w:rPr>
        <w:t xml:space="preserve"> </w:t>
      </w:r>
      <w:r>
        <w:rPr>
          <w:rFonts w:ascii="Times New Roman;Times;serif" w:hAnsi="Times New Roman;Times;serif"/>
          <w:sz w:val="20"/>
        </w:rPr>
        <w:t>District</w:t>
      </w:r>
      <w:r>
        <w:rPr>
          <w:rFonts w:ascii="Times New Roman;Times;serif" w:hAnsi="Times New Roman;Times;serif"/>
          <w:spacing w:val="-4"/>
          <w:sz w:val="20"/>
        </w:rPr>
        <w:t xml:space="preserve"> </w:t>
      </w:r>
      <w:r>
        <w:rPr>
          <w:rFonts w:ascii="Times New Roman;Times;serif" w:hAnsi="Times New Roman;Times;serif"/>
          <w:sz w:val="20"/>
        </w:rPr>
        <w:t>of</w:t>
      </w:r>
      <w:r>
        <w:rPr>
          <w:rFonts w:ascii="Times New Roman;Times;serif" w:hAnsi="Times New Roman;Times;serif"/>
          <w:spacing w:val="-3"/>
          <w:sz w:val="20"/>
        </w:rPr>
        <w:t xml:space="preserve"> </w:t>
      </w:r>
      <w:r>
        <w:rPr>
          <w:rFonts w:ascii="Times New Roman;Times;serif" w:hAnsi="Times New Roman;Times;serif"/>
          <w:sz w:val="20"/>
        </w:rPr>
        <w:t>Columbia,</w:t>
      </w:r>
      <w:r>
        <w:rPr>
          <w:rFonts w:ascii="Times New Roman;Times;serif" w:hAnsi="Times New Roman;Times;serif"/>
          <w:spacing w:val="-3"/>
          <w:sz w:val="20"/>
        </w:rPr>
        <w:t xml:space="preserve"> </w:t>
      </w:r>
      <w:r>
        <w:rPr>
          <w:rFonts w:ascii="Times New Roman;Times;serif" w:hAnsi="Times New Roman;Times;serif"/>
          <w:sz w:val="20"/>
        </w:rPr>
        <w:t>and</w:t>
      </w:r>
      <w:r>
        <w:rPr>
          <w:rFonts w:ascii="Times New Roman;Times;serif" w:hAnsi="Times New Roman;Times;serif"/>
          <w:spacing w:val="-3"/>
          <w:sz w:val="20"/>
        </w:rPr>
        <w:t xml:space="preserve"> </w:t>
      </w:r>
      <w:r>
        <w:rPr>
          <w:rFonts w:ascii="Times New Roman;Times;serif" w:hAnsi="Times New Roman;Times;serif"/>
          <w:sz w:val="20"/>
        </w:rPr>
        <w:t>the</w:t>
      </w:r>
      <w:r>
        <w:rPr>
          <w:rFonts w:ascii="Times New Roman;Times;serif" w:hAnsi="Times New Roman;Times;serif"/>
          <w:spacing w:val="-6"/>
          <w:sz w:val="20"/>
        </w:rPr>
        <w:t xml:space="preserve"> </w:t>
      </w:r>
      <w:r>
        <w:rPr>
          <w:rFonts w:ascii="Times New Roman;Times;serif" w:hAnsi="Times New Roman;Times;serif"/>
          <w:sz w:val="20"/>
        </w:rPr>
        <w:t>territories</w:t>
      </w:r>
      <w:r>
        <w:rPr>
          <w:rFonts w:ascii="Times New Roman;Times;serif" w:hAnsi="Times New Roman;Times;serif"/>
          <w:spacing w:val="-5"/>
          <w:sz w:val="20"/>
        </w:rPr>
        <w:t xml:space="preserve"> </w:t>
      </w:r>
      <w:r>
        <w:rPr>
          <w:rFonts w:ascii="Times New Roman;Times;serif" w:hAnsi="Times New Roman;Times;serif"/>
          <w:sz w:val="20"/>
        </w:rPr>
        <w:t>of</w:t>
      </w:r>
      <w:r>
        <w:rPr>
          <w:rFonts w:ascii="Times New Roman;Times;serif" w:hAnsi="Times New Roman;Times;serif"/>
          <w:spacing w:val="-3"/>
          <w:sz w:val="20"/>
        </w:rPr>
        <w:t xml:space="preserve"> </w:t>
      </w:r>
      <w:r>
        <w:rPr>
          <w:rFonts w:ascii="Times New Roman;Times;serif" w:hAnsi="Times New Roman;Times;serif"/>
          <w:sz w:val="20"/>
        </w:rPr>
        <w:t>Puerto</w:t>
      </w:r>
      <w:r>
        <w:rPr>
          <w:rFonts w:ascii="Times New Roman;Times;serif" w:hAnsi="Times New Roman;Times;serif"/>
          <w:spacing w:val="-3"/>
          <w:sz w:val="20"/>
        </w:rPr>
        <w:t xml:space="preserve"> </w:t>
      </w:r>
      <w:r>
        <w:rPr>
          <w:rFonts w:ascii="Times New Roman;Times;serif" w:hAnsi="Times New Roman;Times;serif"/>
          <w:sz w:val="20"/>
        </w:rPr>
        <w:t>Rico,</w:t>
      </w:r>
      <w:r>
        <w:rPr>
          <w:rFonts w:ascii="Times New Roman;Times;serif" w:hAnsi="Times New Roman;Times;serif"/>
          <w:spacing w:val="-3"/>
          <w:sz w:val="20"/>
        </w:rPr>
        <w:t xml:space="preserve"> </w:t>
      </w:r>
      <w:r>
        <w:rPr>
          <w:rFonts w:ascii="Times New Roman;Times;serif" w:hAnsi="Times New Roman;Times;serif"/>
          <w:sz w:val="20"/>
        </w:rPr>
        <w:t>the</w:t>
      </w:r>
      <w:r>
        <w:rPr>
          <w:rFonts w:ascii="Times New Roman;Times;serif" w:hAnsi="Times New Roman;Times;serif"/>
          <w:spacing w:val="-6"/>
          <w:sz w:val="20"/>
        </w:rPr>
        <w:t xml:space="preserve"> </w:t>
      </w:r>
      <w:r>
        <w:rPr>
          <w:rFonts w:ascii="Times New Roman;Times;serif" w:hAnsi="Times New Roman;Times;serif"/>
          <w:sz w:val="20"/>
        </w:rPr>
        <w:t>U.S.</w:t>
      </w:r>
      <w:r>
        <w:rPr>
          <w:rFonts w:ascii="Times New Roman;Times;serif" w:hAnsi="Times New Roman;Times;serif"/>
          <w:spacing w:val="-3"/>
          <w:sz w:val="20"/>
        </w:rPr>
        <w:t xml:space="preserve"> </w:t>
      </w:r>
      <w:r>
        <w:rPr>
          <w:rFonts w:ascii="Times New Roman;Times;serif" w:hAnsi="Times New Roman;Times;serif"/>
          <w:sz w:val="20"/>
        </w:rPr>
        <w:t>Virgin</w:t>
      </w:r>
      <w:r>
        <w:rPr>
          <w:rFonts w:ascii="Times New Roman;Times;serif" w:hAnsi="Times New Roman;Times;serif"/>
          <w:spacing w:val="-3"/>
          <w:sz w:val="20"/>
        </w:rPr>
        <w:t xml:space="preserve"> </w:t>
      </w:r>
      <w:r>
        <w:rPr>
          <w:rFonts w:ascii="Times New Roman;Times;serif" w:hAnsi="Times New Roman;Times;serif"/>
          <w:sz w:val="20"/>
        </w:rPr>
        <w:t>Islands,</w:t>
      </w:r>
      <w:r>
        <w:rPr>
          <w:rFonts w:ascii="Times New Roman;Times;serif" w:hAnsi="Times New Roman;Times;serif"/>
          <w:spacing w:val="-3"/>
          <w:sz w:val="20"/>
        </w:rPr>
        <w:t xml:space="preserve"> </w:t>
      </w:r>
      <w:r>
        <w:rPr>
          <w:rFonts w:ascii="Times New Roman;Times;serif" w:hAnsi="Times New Roman;Times;serif"/>
          <w:sz w:val="20"/>
        </w:rPr>
        <w:t>Guam,</w:t>
      </w:r>
      <w:r>
        <w:rPr>
          <w:rFonts w:ascii="Times New Roman;Times;serif" w:hAnsi="Times New Roman;Times;serif"/>
          <w:spacing w:val="-3"/>
          <w:sz w:val="20"/>
        </w:rPr>
        <w:t xml:space="preserve"> </w:t>
      </w:r>
      <w:r>
        <w:rPr>
          <w:rFonts w:ascii="Times New Roman;Times;serif" w:hAnsi="Times New Roman;Times;serif"/>
          <w:sz w:val="20"/>
        </w:rPr>
        <w:t>and</w:t>
      </w:r>
      <w:r>
        <w:rPr>
          <w:rFonts w:ascii="Times New Roman;Times;serif" w:hAnsi="Times New Roman;Times;serif"/>
          <w:spacing w:val="-3"/>
          <w:sz w:val="20"/>
        </w:rPr>
        <w:t xml:space="preserve"> </w:t>
      </w:r>
      <w:r>
        <w:rPr>
          <w:rFonts w:ascii="Times New Roman;Times;serif" w:hAnsi="Times New Roman;Times;serif"/>
          <w:sz w:val="20"/>
        </w:rPr>
        <w:t>the Northern</w:t>
      </w:r>
      <w:r>
        <w:rPr>
          <w:rFonts w:ascii="Times New Roman;Times;serif" w:hAnsi="Times New Roman;Times;serif"/>
          <w:spacing w:val="20"/>
          <w:sz w:val="20"/>
        </w:rPr>
        <w:t xml:space="preserve"> </w:t>
      </w:r>
      <w:r>
        <w:rPr>
          <w:rFonts w:ascii="Times New Roman;Times;serif" w:hAnsi="Times New Roman;Times;serif"/>
          <w:sz w:val="20"/>
        </w:rPr>
        <w:t>Mariana</w:t>
      </w:r>
      <w:r>
        <w:rPr>
          <w:rFonts w:ascii="Times New Roman;Times;serif" w:hAnsi="Times New Roman;Times;serif"/>
          <w:spacing w:val="18"/>
          <w:sz w:val="20"/>
        </w:rPr>
        <w:t xml:space="preserve"> </w:t>
      </w:r>
      <w:r>
        <w:rPr>
          <w:rFonts w:ascii="Times New Roman;Times;serif" w:hAnsi="Times New Roman;Times;serif"/>
          <w:sz w:val="20"/>
        </w:rPr>
        <w:t>Islands</w:t>
      </w:r>
      <w:r>
        <w:rPr>
          <w:rFonts w:ascii="Times New Roman;Times;serif" w:hAnsi="Times New Roman;Times;serif"/>
          <w:spacing w:val="15"/>
          <w:sz w:val="20"/>
        </w:rPr>
        <w:t xml:space="preserve"> </w:t>
      </w:r>
      <w:r>
        <w:rPr>
          <w:rFonts w:ascii="Times New Roman;Times;serif" w:hAnsi="Times New Roman;Times;serif"/>
          <w:sz w:val="20"/>
        </w:rPr>
        <w:t>have</w:t>
      </w:r>
      <w:r>
        <w:rPr>
          <w:rFonts w:ascii="Times New Roman;Times;serif" w:hAnsi="Times New Roman;Times;serif"/>
          <w:spacing w:val="18"/>
          <w:sz w:val="20"/>
        </w:rPr>
        <w:t xml:space="preserve"> </w:t>
      </w:r>
      <w:r>
        <w:rPr>
          <w:rFonts w:ascii="Times New Roman;Times;serif" w:hAnsi="Times New Roman;Times;serif"/>
          <w:sz w:val="20"/>
        </w:rPr>
        <w:t>legalized</w:t>
      </w:r>
      <w:r>
        <w:rPr>
          <w:rFonts w:ascii="Times New Roman;Times;serif" w:hAnsi="Times New Roman;Times;serif"/>
          <w:spacing w:val="20"/>
          <w:sz w:val="20"/>
        </w:rPr>
        <w:t xml:space="preserve"> </w:t>
      </w:r>
      <w:r>
        <w:rPr>
          <w:rFonts w:ascii="Times New Roman;Times;serif" w:hAnsi="Times New Roman;Times;serif"/>
          <w:sz w:val="20"/>
        </w:rPr>
        <w:t>some</w:t>
      </w:r>
      <w:r>
        <w:rPr>
          <w:rFonts w:ascii="Times New Roman;Times;serif" w:hAnsi="Times New Roman;Times;serif"/>
          <w:spacing w:val="18"/>
          <w:sz w:val="20"/>
        </w:rPr>
        <w:t xml:space="preserve"> </w:t>
      </w:r>
      <w:r>
        <w:rPr>
          <w:rFonts w:ascii="Times New Roman;Times;serif" w:hAnsi="Times New Roman;Times;serif"/>
          <w:sz w:val="20"/>
        </w:rPr>
        <w:t>form</w:t>
      </w:r>
      <w:r>
        <w:rPr>
          <w:rFonts w:ascii="Times New Roman;Times;serif" w:hAnsi="Times New Roman;Times;serif"/>
          <w:spacing w:val="16"/>
          <w:sz w:val="20"/>
        </w:rPr>
        <w:t xml:space="preserve"> </w:t>
      </w:r>
      <w:r>
        <w:rPr>
          <w:rFonts w:ascii="Times New Roman;Times;serif" w:hAnsi="Times New Roman;Times;serif"/>
          <w:sz w:val="20"/>
        </w:rPr>
        <w:t>of</w:t>
      </w:r>
      <w:r>
        <w:rPr>
          <w:rFonts w:ascii="Times New Roman;Times;serif" w:hAnsi="Times New Roman;Times;serif"/>
          <w:spacing w:val="20"/>
          <w:sz w:val="20"/>
        </w:rPr>
        <w:t xml:space="preserve"> </w:t>
      </w:r>
      <w:r>
        <w:rPr>
          <w:rFonts w:ascii="Times New Roman;Times;serif" w:hAnsi="Times New Roman;Times;serif"/>
          <w:sz w:val="20"/>
        </w:rPr>
        <w:t>cannabis</w:t>
      </w:r>
      <w:r>
        <w:rPr>
          <w:rFonts w:ascii="Times New Roman;Times;serif" w:hAnsi="Times New Roman;Times;serif"/>
          <w:spacing w:val="17"/>
          <w:sz w:val="20"/>
        </w:rPr>
        <w:t xml:space="preserve"> </w:t>
      </w:r>
      <w:r>
        <w:rPr>
          <w:rFonts w:ascii="Times New Roman;Times;serif" w:hAnsi="Times New Roman;Times;serif"/>
          <w:sz w:val="20"/>
        </w:rPr>
        <w:t>for</w:t>
      </w:r>
      <w:r>
        <w:rPr>
          <w:rFonts w:ascii="Times New Roman;Times;serif" w:hAnsi="Times New Roman;Times;serif"/>
          <w:spacing w:val="16"/>
          <w:sz w:val="20"/>
        </w:rPr>
        <w:t xml:space="preserve"> </w:t>
      </w:r>
      <w:r>
        <w:rPr>
          <w:rFonts w:ascii="Times New Roman;Times;serif" w:hAnsi="Times New Roman;Times;serif"/>
          <w:sz w:val="20"/>
        </w:rPr>
        <w:t>medical</w:t>
      </w:r>
      <w:r>
        <w:rPr>
          <w:rFonts w:ascii="Times New Roman;Times;serif" w:hAnsi="Times New Roman;Times;serif"/>
          <w:spacing w:val="17"/>
          <w:sz w:val="20"/>
        </w:rPr>
        <w:t xml:space="preserve"> </w:t>
      </w:r>
      <w:r>
        <w:rPr>
          <w:rFonts w:ascii="Times New Roman;Times;serif" w:hAnsi="Times New Roman;Times;serif"/>
          <w:sz w:val="20"/>
        </w:rPr>
        <w:t>use,</w:t>
      </w:r>
      <w:r>
        <w:rPr>
          <w:rFonts w:ascii="Times New Roman;Times;serif" w:hAnsi="Times New Roman;Times;serif"/>
          <w:spacing w:val="18"/>
          <w:sz w:val="20"/>
        </w:rPr>
        <w:t xml:space="preserve"> </w:t>
      </w:r>
      <w:r>
        <w:rPr>
          <w:rFonts w:ascii="Times New Roman;Times;serif" w:hAnsi="Times New Roman;Times;serif"/>
          <w:sz w:val="20"/>
        </w:rPr>
        <w:t>while</w:t>
      </w:r>
      <w:r>
        <w:rPr>
          <w:rFonts w:ascii="Times New Roman;Times;serif" w:hAnsi="Times New Roman;Times;serif"/>
          <w:spacing w:val="16"/>
          <w:sz w:val="20"/>
        </w:rPr>
        <w:t xml:space="preserve"> </w:t>
      </w:r>
      <w:r>
        <w:rPr>
          <w:rFonts w:ascii="Times New Roman;Times;serif" w:hAnsi="Times New Roman;Times;serif"/>
          <w:sz w:val="20"/>
        </w:rPr>
        <w:t>21</w:t>
      </w:r>
      <w:r>
        <w:rPr>
          <w:rFonts w:ascii="Times New Roman;Times;serif" w:hAnsi="Times New Roman;Times;serif"/>
          <w:spacing w:val="20"/>
          <w:sz w:val="20"/>
        </w:rPr>
        <w:t xml:space="preserve"> </w:t>
      </w:r>
      <w:r>
        <w:rPr>
          <w:rFonts w:ascii="Times New Roman;Times;serif" w:hAnsi="Times New Roman;Times;serif"/>
          <w:sz w:val="20"/>
        </w:rPr>
        <w:t>states</w:t>
      </w:r>
      <w:r>
        <w:rPr>
          <w:rFonts w:ascii="Times New Roman;Times;serif" w:hAnsi="Times New Roman;Times;serif"/>
          <w:spacing w:val="17"/>
          <w:sz w:val="20"/>
        </w:rPr>
        <w:t xml:space="preserve"> </w:t>
      </w:r>
      <w:r>
        <w:rPr>
          <w:rFonts w:ascii="Times New Roman;Times;serif" w:hAnsi="Times New Roman;Times;serif"/>
          <w:sz w:val="20"/>
        </w:rPr>
        <w:t>and</w:t>
      </w:r>
      <w:r>
        <w:rPr>
          <w:rFonts w:ascii="Times New Roman;Times;serif" w:hAnsi="Times New Roman;Times;serif"/>
          <w:spacing w:val="20"/>
          <w:sz w:val="20"/>
        </w:rPr>
        <w:t xml:space="preserve"> </w:t>
      </w:r>
      <w:r>
        <w:rPr>
          <w:rFonts w:ascii="Times New Roman;Times;serif" w:hAnsi="Times New Roman;Times;serif"/>
          <w:sz w:val="20"/>
        </w:rPr>
        <w:t>the</w:t>
      </w:r>
      <w:r>
        <w:rPr>
          <w:rFonts w:ascii="Times New Roman;Times;serif" w:hAnsi="Times New Roman;Times;serif"/>
          <w:spacing w:val="18"/>
          <w:sz w:val="20"/>
        </w:rPr>
        <w:t xml:space="preserve"> </w:t>
      </w:r>
      <w:r>
        <w:rPr>
          <w:rFonts w:ascii="Times New Roman;Times;serif" w:hAnsi="Times New Roman;Times;serif"/>
          <w:sz w:val="20"/>
        </w:rPr>
        <w:t>District</w:t>
      </w:r>
      <w:r>
        <w:rPr>
          <w:rFonts w:ascii="Times New Roman;Times;serif" w:hAnsi="Times New Roman;Times;serif"/>
          <w:spacing w:val="17"/>
          <w:sz w:val="20"/>
        </w:rPr>
        <w:t xml:space="preserve"> </w:t>
      </w:r>
      <w:r>
        <w:rPr>
          <w:rFonts w:ascii="Times New Roman;Times;serif" w:hAnsi="Times New Roman;Times;serif"/>
          <w:sz w:val="20"/>
        </w:rPr>
        <w:t>of</w:t>
      </w:r>
      <w:r>
        <w:rPr>
          <w:rFonts w:ascii="Times New Roman;Times;serif" w:hAnsi="Times New Roman;Times;serif"/>
          <w:spacing w:val="14"/>
          <w:sz w:val="20"/>
        </w:rPr>
        <w:t xml:space="preserve"> </w:t>
      </w:r>
      <w:r>
        <w:rPr>
          <w:rFonts w:ascii="Times New Roman;Times;serif" w:hAnsi="Times New Roman;Times;serif"/>
          <w:sz w:val="20"/>
        </w:rPr>
        <w:t>Columbia</w:t>
      </w:r>
      <w:r>
        <w:rPr>
          <w:rFonts w:ascii="Times New Roman;Times;serif" w:hAnsi="Times New Roman;Times;serif"/>
          <w:spacing w:val="18"/>
          <w:sz w:val="20"/>
        </w:rPr>
        <w:t xml:space="preserve"> </w:t>
      </w:r>
      <w:r>
        <w:rPr>
          <w:rFonts w:ascii="Times New Roman;Times;serif" w:hAnsi="Times New Roman;Times;serif"/>
          <w:sz w:val="20"/>
        </w:rPr>
        <w:t>have legalized the adult-use of cannabis for recreational purposes. As more and more states legalized medical and/or adult-use cannabis, the federal</w:t>
      </w:r>
      <w:r>
        <w:rPr>
          <w:rFonts w:ascii="Times New Roman;Times;serif" w:hAnsi="Times New Roman;Times;serif"/>
          <w:spacing w:val="21"/>
          <w:sz w:val="20"/>
        </w:rPr>
        <w:t xml:space="preserve"> </w:t>
      </w:r>
      <w:r>
        <w:rPr>
          <w:rFonts w:ascii="Times New Roman;Times;serif" w:hAnsi="Times New Roman;Times;serif"/>
          <w:sz w:val="20"/>
        </w:rPr>
        <w:t>government</w:t>
      </w:r>
      <w:r>
        <w:rPr>
          <w:rFonts w:ascii="Times New Roman;Times;serif" w:hAnsi="Times New Roman;Times;serif"/>
          <w:spacing w:val="21"/>
          <w:sz w:val="20"/>
        </w:rPr>
        <w:t xml:space="preserve"> </w:t>
      </w:r>
      <w:r>
        <w:rPr>
          <w:rFonts w:ascii="Times New Roman;Times;serif" w:hAnsi="Times New Roman;Times;serif"/>
          <w:sz w:val="20"/>
        </w:rPr>
        <w:t>attempted</w:t>
      </w:r>
      <w:r>
        <w:rPr>
          <w:rFonts w:ascii="Times New Roman;Times;serif" w:hAnsi="Times New Roman;Times;serif"/>
          <w:spacing w:val="20"/>
          <w:sz w:val="20"/>
        </w:rPr>
        <w:t xml:space="preserve"> </w:t>
      </w:r>
      <w:r>
        <w:rPr>
          <w:rFonts w:ascii="Times New Roman;Times;serif" w:hAnsi="Times New Roman;Times;serif"/>
          <w:sz w:val="20"/>
        </w:rPr>
        <w:t>to</w:t>
      </w:r>
      <w:r>
        <w:rPr>
          <w:rFonts w:ascii="Times New Roman;Times;serif" w:hAnsi="Times New Roman;Times;serif"/>
          <w:spacing w:val="24"/>
          <w:sz w:val="20"/>
        </w:rPr>
        <w:t xml:space="preserve"> </w:t>
      </w:r>
      <w:r>
        <w:rPr>
          <w:rFonts w:ascii="Times New Roman;Times;serif" w:hAnsi="Times New Roman;Times;serif"/>
          <w:sz w:val="20"/>
        </w:rPr>
        <w:t>provide</w:t>
      </w:r>
      <w:r>
        <w:rPr>
          <w:rFonts w:ascii="Times New Roman;Times;serif" w:hAnsi="Times New Roman;Times;serif"/>
          <w:spacing w:val="23"/>
          <w:sz w:val="20"/>
        </w:rPr>
        <w:t xml:space="preserve"> </w:t>
      </w:r>
      <w:r>
        <w:rPr>
          <w:rFonts w:ascii="Times New Roman;Times;serif" w:hAnsi="Times New Roman;Times;serif"/>
          <w:sz w:val="20"/>
        </w:rPr>
        <w:t>clarity</w:t>
      </w:r>
      <w:r>
        <w:rPr>
          <w:rFonts w:ascii="Times New Roman;Times;serif" w:hAnsi="Times New Roman;Times;serif"/>
          <w:spacing w:val="21"/>
          <w:sz w:val="20"/>
        </w:rPr>
        <w:t xml:space="preserve"> </w:t>
      </w:r>
      <w:r>
        <w:rPr>
          <w:rFonts w:ascii="Times New Roman;Times;serif" w:hAnsi="Times New Roman;Times;serif"/>
          <w:sz w:val="20"/>
        </w:rPr>
        <w:t>on</w:t>
      </w:r>
      <w:r>
        <w:rPr>
          <w:rFonts w:ascii="Times New Roman;Times;serif" w:hAnsi="Times New Roman;Times;serif"/>
          <w:spacing w:val="24"/>
          <w:sz w:val="20"/>
        </w:rPr>
        <w:t xml:space="preserve"> </w:t>
      </w:r>
      <w:r>
        <w:rPr>
          <w:rFonts w:ascii="Times New Roman;Times;serif" w:hAnsi="Times New Roman;Times;serif"/>
          <w:sz w:val="20"/>
        </w:rPr>
        <w:t>the</w:t>
      </w:r>
      <w:r>
        <w:rPr>
          <w:rFonts w:ascii="Times New Roman;Times;serif" w:hAnsi="Times New Roman;Times;serif"/>
          <w:spacing w:val="23"/>
          <w:sz w:val="20"/>
        </w:rPr>
        <w:t xml:space="preserve"> </w:t>
      </w:r>
      <w:r>
        <w:rPr>
          <w:rFonts w:ascii="Times New Roman;Times;serif" w:hAnsi="Times New Roman;Times;serif"/>
          <w:sz w:val="20"/>
        </w:rPr>
        <w:t>incongruity</w:t>
      </w:r>
      <w:r>
        <w:rPr>
          <w:rFonts w:ascii="Times New Roman;Times;serif" w:hAnsi="Times New Roman;Times;serif"/>
          <w:spacing w:val="24"/>
          <w:sz w:val="20"/>
        </w:rPr>
        <w:t xml:space="preserve"> </w:t>
      </w:r>
      <w:r>
        <w:rPr>
          <w:rFonts w:ascii="Times New Roman;Times;serif" w:hAnsi="Times New Roman;Times;serif"/>
          <w:sz w:val="20"/>
        </w:rPr>
        <w:t>between</w:t>
      </w:r>
      <w:r>
        <w:rPr>
          <w:rFonts w:ascii="Times New Roman;Times;serif" w:hAnsi="Times New Roman;Times;serif"/>
          <w:spacing w:val="24"/>
          <w:sz w:val="20"/>
        </w:rPr>
        <w:t xml:space="preserve"> </w:t>
      </w:r>
      <w:r>
        <w:rPr>
          <w:rFonts w:ascii="Times New Roman;Times;serif" w:hAnsi="Times New Roman;Times;serif"/>
          <w:sz w:val="20"/>
        </w:rPr>
        <w:t>federal</w:t>
      </w:r>
      <w:r>
        <w:rPr>
          <w:rFonts w:ascii="Times New Roman;Times;serif" w:hAnsi="Times New Roman;Times;serif"/>
          <w:spacing w:val="21"/>
          <w:sz w:val="20"/>
        </w:rPr>
        <w:t xml:space="preserve"> </w:t>
      </w:r>
      <w:r>
        <w:rPr>
          <w:rFonts w:ascii="Times New Roman;Times;serif" w:hAnsi="Times New Roman;Times;serif"/>
          <w:sz w:val="20"/>
        </w:rPr>
        <w:t>prohibition</w:t>
      </w:r>
      <w:r>
        <w:rPr>
          <w:rFonts w:ascii="Times New Roman;Times;serif" w:hAnsi="Times New Roman;Times;serif"/>
          <w:spacing w:val="24"/>
          <w:sz w:val="20"/>
        </w:rPr>
        <w:t xml:space="preserve"> </w:t>
      </w:r>
      <w:r>
        <w:rPr>
          <w:rFonts w:ascii="Times New Roman;Times;serif" w:hAnsi="Times New Roman;Times;serif"/>
          <w:sz w:val="20"/>
        </w:rPr>
        <w:t>under</w:t>
      </w:r>
      <w:r>
        <w:rPr>
          <w:rFonts w:ascii="Times New Roman;Times;serif" w:hAnsi="Times New Roman;Times;serif"/>
          <w:spacing w:val="24"/>
          <w:sz w:val="20"/>
        </w:rPr>
        <w:t xml:space="preserve"> </w:t>
      </w:r>
      <w:r>
        <w:rPr>
          <w:rFonts w:ascii="Times New Roman;Times;serif" w:hAnsi="Times New Roman;Times;serif"/>
          <w:sz w:val="20"/>
        </w:rPr>
        <w:t>the</w:t>
      </w:r>
      <w:r>
        <w:rPr>
          <w:rFonts w:ascii="Times New Roman;Times;serif" w:hAnsi="Times New Roman;Times;serif"/>
          <w:spacing w:val="20"/>
          <w:sz w:val="20"/>
        </w:rPr>
        <w:t xml:space="preserve"> </w:t>
      </w:r>
      <w:r>
        <w:rPr>
          <w:rFonts w:ascii="Times New Roman;Times;serif" w:hAnsi="Times New Roman;Times;serif"/>
          <w:sz w:val="20"/>
        </w:rPr>
        <w:t>CSA</w:t>
      </w:r>
      <w:r>
        <w:rPr>
          <w:rFonts w:ascii="Times New Roman;Times;serif" w:hAnsi="Times New Roman;Times;serif"/>
          <w:spacing w:val="23"/>
          <w:sz w:val="20"/>
        </w:rPr>
        <w:t xml:space="preserve"> </w:t>
      </w:r>
      <w:r>
        <w:rPr>
          <w:rFonts w:ascii="Times New Roman;Times;serif" w:hAnsi="Times New Roman;Times;serif"/>
          <w:sz w:val="20"/>
        </w:rPr>
        <w:t>and</w:t>
      </w:r>
      <w:r>
        <w:rPr>
          <w:rFonts w:ascii="Times New Roman;Times;serif" w:hAnsi="Times New Roman;Times;serif"/>
          <w:spacing w:val="24"/>
          <w:sz w:val="20"/>
        </w:rPr>
        <w:t xml:space="preserve"> </w:t>
      </w:r>
      <w:r>
        <w:rPr>
          <w:rFonts w:ascii="Times New Roman;Times;serif" w:hAnsi="Times New Roman;Times;serif"/>
          <w:sz w:val="20"/>
        </w:rPr>
        <w:t>these</w:t>
      </w:r>
      <w:r>
        <w:rPr>
          <w:rFonts w:ascii="Times New Roman;Times;serif" w:hAnsi="Times New Roman;Times;serif"/>
          <w:spacing w:val="23"/>
          <w:sz w:val="20"/>
        </w:rPr>
        <w:t xml:space="preserve"> </w:t>
      </w:r>
      <w:r>
        <w:rPr>
          <w:rFonts w:ascii="Times New Roman;Times;serif" w:hAnsi="Times New Roman;Times;serif"/>
          <w:sz w:val="20"/>
        </w:rPr>
        <w:t>state-legal regulatory</w:t>
      </w:r>
      <w:r>
        <w:rPr>
          <w:rFonts w:ascii="Times New Roman;Times;serif" w:hAnsi="Times New Roman;Times;serif"/>
          <w:spacing w:val="36"/>
          <w:sz w:val="20"/>
        </w:rPr>
        <w:t xml:space="preserve"> </w:t>
      </w:r>
      <w:r>
        <w:rPr>
          <w:rFonts w:ascii="Times New Roman;Times;serif" w:hAnsi="Times New Roman;Times;serif"/>
          <w:sz w:val="20"/>
        </w:rPr>
        <w:t>frameworks.</w:t>
      </w:r>
      <w:r>
        <w:rPr>
          <w:rFonts w:ascii="Times New Roman;Times;serif" w:hAnsi="Times New Roman;Times;serif"/>
          <w:spacing w:val="33"/>
          <w:sz w:val="20"/>
        </w:rPr>
        <w:t xml:space="preserve"> </w:t>
      </w:r>
      <w:r>
        <w:rPr>
          <w:rFonts w:ascii="Times New Roman;Times;serif" w:hAnsi="Times New Roman;Times;serif"/>
          <w:sz w:val="20"/>
        </w:rPr>
        <w:t>Notwithstanding</w:t>
      </w:r>
      <w:r>
        <w:rPr>
          <w:rFonts w:ascii="Times New Roman;Times;serif" w:hAnsi="Times New Roman;Times;serif"/>
          <w:spacing w:val="36"/>
          <w:sz w:val="20"/>
        </w:rPr>
        <w:t xml:space="preserve"> </w:t>
      </w:r>
      <w:r>
        <w:rPr>
          <w:rFonts w:ascii="Times New Roman;Times;serif" w:hAnsi="Times New Roman;Times;serif"/>
          <w:sz w:val="20"/>
        </w:rPr>
        <w:t>the</w:t>
      </w:r>
      <w:r>
        <w:rPr>
          <w:rFonts w:ascii="Times New Roman;Times;serif" w:hAnsi="Times New Roman;Times;serif"/>
          <w:spacing w:val="33"/>
          <w:sz w:val="20"/>
        </w:rPr>
        <w:t xml:space="preserve"> </w:t>
      </w:r>
      <w:r>
        <w:rPr>
          <w:rFonts w:ascii="Times New Roman;Times;serif" w:hAnsi="Times New Roman;Times;serif"/>
          <w:sz w:val="20"/>
        </w:rPr>
        <w:t>foregoing,</w:t>
      </w:r>
      <w:r>
        <w:rPr>
          <w:rFonts w:ascii="Times New Roman;Times;serif" w:hAnsi="Times New Roman;Times;serif"/>
          <w:spacing w:val="36"/>
          <w:sz w:val="20"/>
        </w:rPr>
        <w:t xml:space="preserve"> </w:t>
      </w:r>
      <w:r>
        <w:rPr>
          <w:rFonts w:ascii="Times New Roman;Times;serif" w:hAnsi="Times New Roman;Times;serif"/>
          <w:sz w:val="20"/>
        </w:rPr>
        <w:t>cannabis</w:t>
      </w:r>
      <w:r>
        <w:rPr>
          <w:rFonts w:ascii="Times New Roman;Times;serif" w:hAnsi="Times New Roman;Times;serif"/>
          <w:spacing w:val="34"/>
          <w:sz w:val="20"/>
        </w:rPr>
        <w:t xml:space="preserve"> </w:t>
      </w:r>
      <w:r>
        <w:rPr>
          <w:rFonts w:ascii="Times New Roman;Times;serif" w:hAnsi="Times New Roman;Times;serif"/>
          <w:sz w:val="20"/>
        </w:rPr>
        <w:t>remains</w:t>
      </w:r>
      <w:r>
        <w:rPr>
          <w:rFonts w:ascii="Times New Roman;Times;serif" w:hAnsi="Times New Roman;Times;serif"/>
          <w:spacing w:val="34"/>
          <w:sz w:val="20"/>
        </w:rPr>
        <w:t xml:space="preserve"> </w:t>
      </w:r>
      <w:r>
        <w:rPr>
          <w:rFonts w:ascii="Times New Roman;Times;serif" w:hAnsi="Times New Roman;Times;serif"/>
          <w:sz w:val="20"/>
        </w:rPr>
        <w:t>illegal</w:t>
      </w:r>
      <w:r>
        <w:rPr>
          <w:rFonts w:ascii="Times New Roman;Times;serif" w:hAnsi="Times New Roman;Times;serif"/>
          <w:spacing w:val="35"/>
          <w:sz w:val="20"/>
        </w:rPr>
        <w:t xml:space="preserve"> </w:t>
      </w:r>
      <w:r>
        <w:rPr>
          <w:rFonts w:ascii="Times New Roman;Times;serif" w:hAnsi="Times New Roman;Times;serif"/>
          <w:sz w:val="20"/>
        </w:rPr>
        <w:t>under</w:t>
      </w:r>
      <w:r>
        <w:rPr>
          <w:rFonts w:ascii="Times New Roman;Times;serif" w:hAnsi="Times New Roman;Times;serif"/>
          <w:spacing w:val="31"/>
          <w:sz w:val="20"/>
        </w:rPr>
        <w:t xml:space="preserve"> </w:t>
      </w:r>
      <w:r>
        <w:rPr>
          <w:rFonts w:ascii="Times New Roman;Times;serif" w:hAnsi="Times New Roman;Times;serif"/>
          <w:sz w:val="20"/>
        </w:rPr>
        <w:t>U.S.</w:t>
      </w:r>
      <w:r>
        <w:rPr>
          <w:rFonts w:ascii="Times New Roman;Times;serif" w:hAnsi="Times New Roman;Times;serif"/>
          <w:spacing w:val="36"/>
          <w:sz w:val="20"/>
        </w:rPr>
        <w:t xml:space="preserve"> </w:t>
      </w:r>
      <w:r>
        <w:rPr>
          <w:rFonts w:ascii="Times New Roman;Times;serif" w:hAnsi="Times New Roman;Times;serif"/>
          <w:sz w:val="20"/>
        </w:rPr>
        <w:t>federal</w:t>
      </w:r>
      <w:r>
        <w:rPr>
          <w:rFonts w:ascii="Times New Roman;Times;serif" w:hAnsi="Times New Roman;Times;serif"/>
          <w:spacing w:val="35"/>
          <w:sz w:val="20"/>
        </w:rPr>
        <w:t xml:space="preserve"> </w:t>
      </w:r>
      <w:r>
        <w:rPr>
          <w:rFonts w:ascii="Times New Roman;Times;serif" w:hAnsi="Times New Roman;Times;serif"/>
          <w:sz w:val="20"/>
        </w:rPr>
        <w:t>law,</w:t>
      </w:r>
      <w:r>
        <w:rPr>
          <w:rFonts w:ascii="Times New Roman;Times;serif" w:hAnsi="Times New Roman;Times;serif"/>
          <w:spacing w:val="33"/>
          <w:sz w:val="20"/>
        </w:rPr>
        <w:t xml:space="preserve"> </w:t>
      </w:r>
      <w:r>
        <w:rPr>
          <w:rFonts w:ascii="Times New Roman;Times;serif" w:hAnsi="Times New Roman;Times;serif"/>
          <w:sz w:val="20"/>
        </w:rPr>
        <w:t>with</w:t>
      </w:r>
      <w:r>
        <w:rPr>
          <w:rFonts w:ascii="Times New Roman;Times;serif" w:hAnsi="Times New Roman;Times;serif"/>
          <w:spacing w:val="36"/>
          <w:sz w:val="20"/>
        </w:rPr>
        <w:t xml:space="preserve"> </w:t>
      </w:r>
      <w:r>
        <w:rPr>
          <w:rFonts w:ascii="Times New Roman;Times;serif" w:hAnsi="Times New Roman;Times;serif"/>
          <w:sz w:val="20"/>
        </w:rPr>
        <w:t>cannabis</w:t>
      </w:r>
      <w:r>
        <w:rPr>
          <w:rFonts w:ascii="Times New Roman;Times;serif" w:hAnsi="Times New Roman;Times;serif"/>
          <w:spacing w:val="33"/>
          <w:sz w:val="20"/>
        </w:rPr>
        <w:t xml:space="preserve"> </w:t>
      </w:r>
      <w:r>
        <w:rPr>
          <w:rFonts w:ascii="Times New Roman;Times;serif" w:hAnsi="Times New Roman;Times;serif"/>
          <w:sz w:val="20"/>
        </w:rPr>
        <w:t>listed</w:t>
      </w:r>
      <w:r>
        <w:rPr>
          <w:rFonts w:ascii="Times New Roman;Times;serif" w:hAnsi="Times New Roman;Times;serif"/>
          <w:spacing w:val="36"/>
          <w:sz w:val="20"/>
        </w:rPr>
        <w:t xml:space="preserve"> </w:t>
      </w:r>
      <w:r>
        <w:rPr>
          <w:rFonts w:ascii="Times New Roman;Times;serif" w:hAnsi="Times New Roman;Times;serif"/>
          <w:sz w:val="20"/>
        </w:rPr>
        <w:t>as</w:t>
      </w:r>
      <w:r>
        <w:rPr>
          <w:rFonts w:ascii="Times New Roman;Times;serif" w:hAnsi="Times New Roman;Times;serif"/>
          <w:spacing w:val="34"/>
          <w:sz w:val="20"/>
        </w:rPr>
        <w:t xml:space="preserve"> </w:t>
      </w:r>
      <w:r>
        <w:rPr>
          <w:rFonts w:ascii="Times New Roman;Times;serif" w:hAnsi="Times New Roman;Times;serif"/>
          <w:sz w:val="20"/>
        </w:rPr>
        <w:t>a Schedule I drug under the CSA.</w:t>
      </w:r>
    </w:p>
    <w:p>
      <w:pPr>
        <w:pStyle w:val="TextBody"/>
        <w:spacing w:before="109" w:after="0"/>
        <w:ind w:left="0" w:right="113" w:hanging="0"/>
        <w:jc w:val="both"/>
        <w:rPr>
          <w:rFonts w:ascii="Times New Roman;Times;serif" w:hAnsi="Times New Roman;Times;serif"/>
          <w:sz w:val="20"/>
        </w:rPr>
      </w:pPr>
      <w:r>
        <w:rPr>
          <w:rFonts w:ascii="Times New Roman;Times;serif" w:hAnsi="Times New Roman;Times;serif"/>
          <w:sz w:val="20"/>
        </w:rPr>
        <w:t>Until</w:t>
      </w:r>
      <w:r>
        <w:rPr>
          <w:rFonts w:ascii="Times New Roman;Times;serif" w:hAnsi="Times New Roman;Times;serif"/>
          <w:spacing w:val="-2"/>
          <w:sz w:val="20"/>
        </w:rPr>
        <w:t xml:space="preserve"> </w:t>
      </w:r>
      <w:r>
        <w:rPr>
          <w:rFonts w:ascii="Times New Roman;Times;serif" w:hAnsi="Times New Roman;Times;serif"/>
          <w:sz w:val="20"/>
        </w:rPr>
        <w:t>2018,</w:t>
      </w:r>
      <w:r>
        <w:rPr>
          <w:rFonts w:ascii="Times New Roman;Times;serif" w:hAnsi="Times New Roman;Times;serif"/>
          <w:spacing w:val="-1"/>
          <w:sz w:val="20"/>
        </w:rPr>
        <w:t xml:space="preserve"> </w:t>
      </w:r>
      <w:r>
        <w:rPr>
          <w:rFonts w:ascii="Times New Roman;Times;serif" w:hAnsi="Times New Roman;Times;serif"/>
          <w:sz w:val="20"/>
        </w:rPr>
        <w:t>the</w:t>
      </w:r>
      <w:r>
        <w:rPr>
          <w:rFonts w:ascii="Times New Roman;Times;serif" w:hAnsi="Times New Roman;Times;serif"/>
          <w:spacing w:val="-4"/>
          <w:sz w:val="20"/>
        </w:rPr>
        <w:t xml:space="preserve"> </w:t>
      </w:r>
      <w:r>
        <w:rPr>
          <w:rFonts w:ascii="Times New Roman;Times;serif" w:hAnsi="Times New Roman;Times;serif"/>
          <w:sz w:val="20"/>
        </w:rPr>
        <w:t>federal</w:t>
      </w:r>
      <w:r>
        <w:rPr>
          <w:rFonts w:ascii="Times New Roman;Times;serif" w:hAnsi="Times New Roman;Times;serif"/>
          <w:spacing w:val="-2"/>
          <w:sz w:val="20"/>
        </w:rPr>
        <w:t xml:space="preserve"> </w:t>
      </w:r>
      <w:r>
        <w:rPr>
          <w:rFonts w:ascii="Times New Roman;Times;serif" w:hAnsi="Times New Roman;Times;serif"/>
          <w:sz w:val="20"/>
        </w:rPr>
        <w:t>government</w:t>
      </w:r>
      <w:r>
        <w:rPr>
          <w:rFonts w:ascii="Times New Roman;Times;serif" w:hAnsi="Times New Roman;Times;serif"/>
          <w:spacing w:val="-2"/>
          <w:sz w:val="20"/>
        </w:rPr>
        <w:t xml:space="preserve"> </w:t>
      </w:r>
      <w:r>
        <w:rPr>
          <w:rFonts w:ascii="Times New Roman;Times;serif" w:hAnsi="Times New Roman;Times;serif"/>
          <w:sz w:val="20"/>
        </w:rPr>
        <w:t>provided</w:t>
      </w:r>
      <w:r>
        <w:rPr>
          <w:rFonts w:ascii="Times New Roman;Times;serif" w:hAnsi="Times New Roman;Times;serif"/>
          <w:spacing w:val="-1"/>
          <w:sz w:val="20"/>
        </w:rPr>
        <w:t xml:space="preserve"> </w:t>
      </w:r>
      <w:r>
        <w:rPr>
          <w:rFonts w:ascii="Times New Roman;Times;serif" w:hAnsi="Times New Roman;Times;serif"/>
          <w:sz w:val="20"/>
        </w:rPr>
        <w:t>guidance</w:t>
      </w:r>
      <w:r>
        <w:rPr>
          <w:rFonts w:ascii="Times New Roman;Times;serif" w:hAnsi="Times New Roman;Times;serif"/>
          <w:spacing w:val="-2"/>
          <w:sz w:val="20"/>
        </w:rPr>
        <w:t xml:space="preserve"> </w:t>
      </w:r>
      <w:r>
        <w:rPr>
          <w:rFonts w:ascii="Times New Roman;Times;serif" w:hAnsi="Times New Roman;Times;serif"/>
          <w:sz w:val="20"/>
        </w:rPr>
        <w:t>to</w:t>
      </w:r>
      <w:r>
        <w:rPr>
          <w:rFonts w:ascii="Times New Roman;Times;serif" w:hAnsi="Times New Roman;Times;serif"/>
          <w:spacing w:val="-1"/>
          <w:sz w:val="20"/>
        </w:rPr>
        <w:t xml:space="preserve"> </w:t>
      </w:r>
      <w:r>
        <w:rPr>
          <w:rFonts w:ascii="Times New Roman;Times;serif" w:hAnsi="Times New Roman;Times;serif"/>
          <w:sz w:val="20"/>
        </w:rPr>
        <w:t>federal</w:t>
      </w:r>
      <w:r>
        <w:rPr>
          <w:rFonts w:ascii="Times New Roman;Times;serif" w:hAnsi="Times New Roman;Times;serif"/>
          <w:spacing w:val="-2"/>
          <w:sz w:val="20"/>
        </w:rPr>
        <w:t xml:space="preserve"> </w:t>
      </w:r>
      <w:r>
        <w:rPr>
          <w:rFonts w:ascii="Times New Roman;Times;serif" w:hAnsi="Times New Roman;Times;serif"/>
          <w:sz w:val="20"/>
        </w:rPr>
        <w:t>law</w:t>
      </w:r>
      <w:r>
        <w:rPr>
          <w:rFonts w:ascii="Times New Roman;Times;serif" w:hAnsi="Times New Roman;Times;serif"/>
          <w:spacing w:val="-2"/>
          <w:sz w:val="20"/>
        </w:rPr>
        <w:t xml:space="preserve"> </w:t>
      </w:r>
      <w:r>
        <w:rPr>
          <w:rFonts w:ascii="Times New Roman;Times;serif" w:hAnsi="Times New Roman;Times;serif"/>
          <w:sz w:val="20"/>
        </w:rPr>
        <w:t>enforcement</w:t>
      </w:r>
      <w:r>
        <w:rPr>
          <w:rFonts w:ascii="Times New Roman;Times;serif" w:hAnsi="Times New Roman;Times;serif"/>
          <w:spacing w:val="-2"/>
          <w:sz w:val="20"/>
        </w:rPr>
        <w:t xml:space="preserve"> </w:t>
      </w:r>
      <w:r>
        <w:rPr>
          <w:rFonts w:ascii="Times New Roman;Times;serif" w:hAnsi="Times New Roman;Times;serif"/>
          <w:sz w:val="20"/>
        </w:rPr>
        <w:t>agencies</w:t>
      </w:r>
      <w:r>
        <w:rPr>
          <w:rFonts w:ascii="Times New Roman;Times;serif" w:hAnsi="Times New Roman;Times;serif"/>
          <w:spacing w:val="-3"/>
          <w:sz w:val="20"/>
        </w:rPr>
        <w:t xml:space="preserve"> </w:t>
      </w:r>
      <w:r>
        <w:rPr>
          <w:rFonts w:ascii="Times New Roman;Times;serif" w:hAnsi="Times New Roman;Times;serif"/>
          <w:sz w:val="20"/>
        </w:rPr>
        <w:t>and</w:t>
      </w:r>
      <w:r>
        <w:rPr>
          <w:rFonts w:ascii="Times New Roman;Times;serif" w:hAnsi="Times New Roman;Times;serif"/>
          <w:spacing w:val="-1"/>
          <w:sz w:val="20"/>
        </w:rPr>
        <w:t xml:space="preserve"> </w:t>
      </w:r>
      <w:r>
        <w:rPr>
          <w:rFonts w:ascii="Times New Roman;Times;serif" w:hAnsi="Times New Roman;Times;serif"/>
          <w:sz w:val="20"/>
        </w:rPr>
        <w:t>banking</w:t>
      </w:r>
      <w:r>
        <w:rPr>
          <w:rFonts w:ascii="Times New Roman;Times;serif" w:hAnsi="Times New Roman;Times;serif"/>
          <w:spacing w:val="-1"/>
          <w:sz w:val="20"/>
        </w:rPr>
        <w:t xml:space="preserve"> </w:t>
      </w:r>
      <w:r>
        <w:rPr>
          <w:rFonts w:ascii="Times New Roman;Times;serif" w:hAnsi="Times New Roman;Times;serif"/>
          <w:sz w:val="20"/>
        </w:rPr>
        <w:t>institutions</w:t>
      </w:r>
      <w:r>
        <w:rPr>
          <w:rFonts w:ascii="Times New Roman;Times;serif" w:hAnsi="Times New Roman;Times;serif"/>
          <w:spacing w:val="-3"/>
          <w:sz w:val="20"/>
        </w:rPr>
        <w:t xml:space="preserve"> </w:t>
      </w:r>
      <w:r>
        <w:rPr>
          <w:rFonts w:ascii="Times New Roman;Times;serif" w:hAnsi="Times New Roman;Times;serif"/>
          <w:sz w:val="20"/>
        </w:rPr>
        <w:t>regarding</w:t>
      </w:r>
      <w:r>
        <w:rPr>
          <w:rFonts w:ascii="Times New Roman;Times;serif" w:hAnsi="Times New Roman;Times;serif"/>
          <w:spacing w:val="-2"/>
          <w:sz w:val="20"/>
        </w:rPr>
        <w:t xml:space="preserve"> </w:t>
      </w:r>
      <w:r>
        <w:rPr>
          <w:rFonts w:ascii="Times New Roman;Times;serif" w:hAnsi="Times New Roman;Times;serif"/>
          <w:sz w:val="20"/>
        </w:rPr>
        <w:t>cannabis</w:t>
      </w:r>
      <w:r>
        <w:rPr>
          <w:rFonts w:ascii="Times New Roman;Times;serif" w:hAnsi="Times New Roman;Times;serif"/>
          <w:spacing w:val="3"/>
          <w:sz w:val="20"/>
        </w:rPr>
        <w:t xml:space="preserve"> </w:t>
      </w:r>
      <w:r>
        <w:rPr>
          <w:rFonts w:ascii="Times New Roman;Times;serif" w:hAnsi="Times New Roman;Times;serif"/>
          <w:sz w:val="20"/>
        </w:rPr>
        <w:t>through</w:t>
      </w:r>
      <w:r>
        <w:rPr>
          <w:rFonts w:ascii="Times New Roman;Times;serif" w:hAnsi="Times New Roman;Times;serif"/>
          <w:spacing w:val="5"/>
          <w:sz w:val="20"/>
        </w:rPr>
        <w:t xml:space="preserve"> </w:t>
      </w:r>
      <w:r>
        <w:rPr>
          <w:rFonts w:ascii="Times New Roman;Times;serif" w:hAnsi="Times New Roman;Times;serif"/>
          <w:sz w:val="20"/>
        </w:rPr>
        <w:t>a</w:t>
      </w:r>
      <w:r>
        <w:rPr>
          <w:rFonts w:ascii="Times New Roman;Times;serif" w:hAnsi="Times New Roman;Times;serif"/>
          <w:spacing w:val="2"/>
          <w:sz w:val="20"/>
        </w:rPr>
        <w:t xml:space="preserve"> </w:t>
      </w:r>
      <w:r>
        <w:rPr>
          <w:rFonts w:ascii="Times New Roman;Times;serif" w:hAnsi="Times New Roman;Times;serif"/>
          <w:sz w:val="20"/>
        </w:rPr>
        <w:t>series</w:t>
      </w:r>
      <w:r>
        <w:rPr>
          <w:rFonts w:ascii="Times New Roman;Times;serif" w:hAnsi="Times New Roman;Times;serif"/>
          <w:spacing w:val="3"/>
          <w:sz w:val="20"/>
        </w:rPr>
        <w:t xml:space="preserve"> </w:t>
      </w:r>
      <w:r>
        <w:rPr>
          <w:rFonts w:ascii="Times New Roman;Times;serif" w:hAnsi="Times New Roman;Times;serif"/>
          <w:sz w:val="20"/>
        </w:rPr>
        <w:t>of</w:t>
      </w:r>
      <w:r>
        <w:rPr>
          <w:rFonts w:ascii="Times New Roman;Times;serif" w:hAnsi="Times New Roman;Times;serif"/>
          <w:spacing w:val="3"/>
          <w:sz w:val="20"/>
        </w:rPr>
        <w:t xml:space="preserve"> </w:t>
      </w:r>
      <w:r>
        <w:rPr>
          <w:rFonts w:ascii="Times New Roman;Times;serif" w:hAnsi="Times New Roman;Times;serif"/>
          <w:sz w:val="20"/>
        </w:rPr>
        <w:t>memoranda</w:t>
      </w:r>
      <w:r>
        <w:rPr>
          <w:rFonts w:ascii="Times New Roman;Times;serif" w:hAnsi="Times New Roman;Times;serif"/>
          <w:spacing w:val="2"/>
          <w:sz w:val="20"/>
        </w:rPr>
        <w:t xml:space="preserve"> </w:t>
      </w:r>
      <w:r>
        <w:rPr>
          <w:rFonts w:ascii="Times New Roman;Times;serif" w:hAnsi="Times New Roman;Times;serif"/>
          <w:sz w:val="20"/>
        </w:rPr>
        <w:t>from</w:t>
      </w:r>
      <w:r>
        <w:rPr>
          <w:rFonts w:ascii="Times New Roman;Times;serif" w:hAnsi="Times New Roman;Times;serif"/>
          <w:spacing w:val="3"/>
          <w:sz w:val="20"/>
        </w:rPr>
        <w:t xml:space="preserve"> </w:t>
      </w:r>
      <w:r>
        <w:rPr>
          <w:rFonts w:ascii="Times New Roman;Times;serif" w:hAnsi="Times New Roman;Times;serif"/>
          <w:sz w:val="20"/>
        </w:rPr>
        <w:t>the</w:t>
      </w:r>
      <w:r>
        <w:rPr>
          <w:rFonts w:ascii="Times New Roman;Times;serif" w:hAnsi="Times New Roman;Times;serif"/>
          <w:spacing w:val="2"/>
          <w:sz w:val="20"/>
        </w:rPr>
        <w:t xml:space="preserve"> </w:t>
      </w:r>
      <w:r>
        <w:rPr>
          <w:rFonts w:ascii="Times New Roman;Times;serif" w:hAnsi="Times New Roman;Times;serif"/>
          <w:sz w:val="20"/>
        </w:rPr>
        <w:t>Department</w:t>
      </w:r>
      <w:r>
        <w:rPr>
          <w:rFonts w:ascii="Times New Roman;Times;serif" w:hAnsi="Times New Roman;Times;serif"/>
          <w:spacing w:val="4"/>
          <w:sz w:val="20"/>
        </w:rPr>
        <w:t xml:space="preserve"> </w:t>
      </w:r>
      <w:r>
        <w:rPr>
          <w:rFonts w:ascii="Times New Roman;Times;serif" w:hAnsi="Times New Roman;Times;serif"/>
          <w:sz w:val="20"/>
        </w:rPr>
        <w:t>of</w:t>
      </w:r>
      <w:r>
        <w:rPr>
          <w:rFonts w:ascii="Times New Roman;Times;serif" w:hAnsi="Times New Roman;Times;serif"/>
          <w:spacing w:val="3"/>
          <w:sz w:val="20"/>
        </w:rPr>
        <w:t xml:space="preserve"> </w:t>
      </w:r>
      <w:r>
        <w:rPr>
          <w:rFonts w:ascii="Times New Roman;Times;serif" w:hAnsi="Times New Roman;Times;serif"/>
          <w:sz w:val="20"/>
        </w:rPr>
        <w:t>Justice</w:t>
      </w:r>
      <w:r>
        <w:rPr>
          <w:rFonts w:ascii="Times New Roman;Times;serif" w:hAnsi="Times New Roman;Times;serif"/>
          <w:spacing w:val="5"/>
          <w:sz w:val="20"/>
        </w:rPr>
        <w:t xml:space="preserve"> </w:t>
      </w:r>
      <w:r>
        <w:rPr>
          <w:rFonts w:ascii="Times New Roman;Times;serif" w:hAnsi="Times New Roman;Times;serif"/>
          <w:sz w:val="20"/>
        </w:rPr>
        <w:t>(“DOJ”).</w:t>
      </w:r>
      <w:r>
        <w:rPr>
          <w:rFonts w:ascii="Times New Roman;Times;serif" w:hAnsi="Times New Roman;Times;serif"/>
          <w:spacing w:val="2"/>
          <w:sz w:val="20"/>
        </w:rPr>
        <w:t xml:space="preserve"> </w:t>
      </w:r>
      <w:r>
        <w:rPr>
          <w:rFonts w:ascii="Times New Roman;Times;serif" w:hAnsi="Times New Roman;Times;serif"/>
          <w:sz w:val="20"/>
        </w:rPr>
        <w:t>The</w:t>
      </w:r>
      <w:r>
        <w:rPr>
          <w:rFonts w:ascii="Times New Roman;Times;serif" w:hAnsi="Times New Roman;Times;serif"/>
          <w:spacing w:val="2"/>
          <w:sz w:val="20"/>
        </w:rPr>
        <w:t xml:space="preserve"> </w:t>
      </w:r>
      <w:r>
        <w:rPr>
          <w:rFonts w:ascii="Times New Roman;Times;serif" w:hAnsi="Times New Roman;Times;serif"/>
          <w:sz w:val="20"/>
        </w:rPr>
        <w:t>most</w:t>
      </w:r>
      <w:r>
        <w:rPr>
          <w:rFonts w:ascii="Times New Roman;Times;serif" w:hAnsi="Times New Roman;Times;serif"/>
          <w:spacing w:val="4"/>
          <w:sz w:val="20"/>
        </w:rPr>
        <w:t xml:space="preserve"> </w:t>
      </w:r>
      <w:r>
        <w:rPr>
          <w:rFonts w:ascii="Times New Roman;Times;serif" w:hAnsi="Times New Roman;Times;serif"/>
          <w:sz w:val="20"/>
        </w:rPr>
        <w:t>recent</w:t>
      </w:r>
      <w:r>
        <w:rPr>
          <w:rFonts w:ascii="Times New Roman;Times;serif" w:hAnsi="Times New Roman;Times;serif"/>
          <w:spacing w:val="4"/>
          <w:sz w:val="20"/>
        </w:rPr>
        <w:t xml:space="preserve"> </w:t>
      </w:r>
      <w:r>
        <w:rPr>
          <w:rFonts w:ascii="Times New Roman;Times;serif" w:hAnsi="Times New Roman;Times;serif"/>
          <w:sz w:val="20"/>
        </w:rPr>
        <w:t>such</w:t>
      </w:r>
      <w:r>
        <w:rPr>
          <w:rFonts w:ascii="Times New Roman;Times;serif" w:hAnsi="Times New Roman;Times;serif"/>
          <w:spacing w:val="3"/>
          <w:sz w:val="20"/>
        </w:rPr>
        <w:t xml:space="preserve"> </w:t>
      </w:r>
      <w:r>
        <w:rPr>
          <w:rFonts w:ascii="Times New Roman;Times;serif" w:hAnsi="Times New Roman;Times;serif"/>
          <w:sz w:val="20"/>
        </w:rPr>
        <w:t>memorandum was</w:t>
      </w:r>
      <w:r>
        <w:rPr>
          <w:rFonts w:ascii="Times New Roman;Times;serif" w:hAnsi="Times New Roman;Times;serif"/>
          <w:spacing w:val="3"/>
          <w:sz w:val="20"/>
        </w:rPr>
        <w:t xml:space="preserve"> </w:t>
      </w:r>
      <w:r>
        <w:rPr>
          <w:rFonts w:ascii="Times New Roman;Times;serif" w:hAnsi="Times New Roman;Times;serif"/>
          <w:sz w:val="20"/>
        </w:rPr>
        <w:t>drafted</w:t>
      </w:r>
      <w:r>
        <w:rPr>
          <w:rFonts w:ascii="Times New Roman;Times;serif" w:hAnsi="Times New Roman;Times;serif"/>
          <w:spacing w:val="3"/>
          <w:sz w:val="20"/>
        </w:rPr>
        <w:t xml:space="preserve"> </w:t>
      </w:r>
      <w:r>
        <w:rPr>
          <w:rFonts w:ascii="Times New Roman;Times;serif" w:hAnsi="Times New Roman;Times;serif"/>
          <w:sz w:val="20"/>
        </w:rPr>
        <w:t>by</w:t>
      </w:r>
      <w:r>
        <w:rPr>
          <w:rFonts w:ascii="Times New Roman;Times;serif" w:hAnsi="Times New Roman;Times;serif"/>
          <w:spacing w:val="-2"/>
          <w:sz w:val="20"/>
        </w:rPr>
        <w:t xml:space="preserve"> </w:t>
      </w:r>
      <w:r>
        <w:rPr>
          <w:rFonts w:ascii="Times New Roman;Times;serif" w:hAnsi="Times New Roman;Times;serif"/>
          <w:sz w:val="20"/>
        </w:rPr>
        <w:t>former</w:t>
      </w:r>
      <w:r>
        <w:rPr>
          <w:rFonts w:ascii="Times New Roman;Times;serif" w:hAnsi="Times New Roman;Times;serif"/>
          <w:spacing w:val="28"/>
          <w:sz w:val="20"/>
        </w:rPr>
        <w:t xml:space="preserve"> </w:t>
      </w:r>
      <w:r>
        <w:rPr>
          <w:rFonts w:ascii="Times New Roman;Times;serif" w:hAnsi="Times New Roman;Times;serif"/>
          <w:sz w:val="20"/>
        </w:rPr>
        <w:t>Deputy</w:t>
      </w:r>
      <w:r>
        <w:rPr>
          <w:rFonts w:ascii="Times New Roman;Times;serif" w:hAnsi="Times New Roman;Times;serif"/>
          <w:spacing w:val="28"/>
          <w:sz w:val="20"/>
        </w:rPr>
        <w:t xml:space="preserve"> </w:t>
      </w:r>
      <w:r>
        <w:rPr>
          <w:rFonts w:ascii="Times New Roman;Times;serif" w:hAnsi="Times New Roman;Times;serif"/>
          <w:sz w:val="20"/>
        </w:rPr>
        <w:t>Attorney</w:t>
      </w:r>
      <w:r>
        <w:rPr>
          <w:rFonts w:ascii="Times New Roman;Times;serif" w:hAnsi="Times New Roman;Times;serif"/>
          <w:spacing w:val="31"/>
          <w:sz w:val="20"/>
        </w:rPr>
        <w:t xml:space="preserve"> </w:t>
      </w:r>
      <w:r>
        <w:rPr>
          <w:rFonts w:ascii="Times New Roman;Times;serif" w:hAnsi="Times New Roman;Times;serif"/>
          <w:sz w:val="20"/>
        </w:rPr>
        <w:t>General</w:t>
      </w:r>
      <w:r>
        <w:rPr>
          <w:rFonts w:ascii="Times New Roman;Times;serif" w:hAnsi="Times New Roman;Times;serif"/>
          <w:spacing w:val="29"/>
          <w:sz w:val="20"/>
        </w:rPr>
        <w:t xml:space="preserve"> </w:t>
      </w:r>
      <w:r>
        <w:rPr>
          <w:rFonts w:ascii="Times New Roman;Times;serif" w:hAnsi="Times New Roman;Times;serif"/>
          <w:sz w:val="20"/>
        </w:rPr>
        <w:t>James</w:t>
      </w:r>
      <w:r>
        <w:rPr>
          <w:rFonts w:ascii="Times New Roman;Times;serif" w:hAnsi="Times New Roman;Times;serif"/>
          <w:spacing w:val="29"/>
          <w:sz w:val="20"/>
        </w:rPr>
        <w:t xml:space="preserve"> </w:t>
      </w:r>
      <w:r>
        <w:rPr>
          <w:rFonts w:ascii="Times New Roman;Times;serif" w:hAnsi="Times New Roman;Times;serif"/>
          <w:sz w:val="20"/>
        </w:rPr>
        <w:t>Cole</w:t>
      </w:r>
      <w:r>
        <w:rPr>
          <w:rFonts w:ascii="Times New Roman;Times;serif" w:hAnsi="Times New Roman;Times;serif"/>
          <w:spacing w:val="30"/>
          <w:sz w:val="20"/>
        </w:rPr>
        <w:t xml:space="preserve"> </w:t>
      </w:r>
      <w:r>
        <w:rPr>
          <w:rFonts w:ascii="Times New Roman;Times;serif" w:hAnsi="Times New Roman;Times;serif"/>
          <w:sz w:val="20"/>
        </w:rPr>
        <w:t>on</w:t>
      </w:r>
      <w:r>
        <w:rPr>
          <w:rFonts w:ascii="Times New Roman;Times;serif" w:hAnsi="Times New Roman;Times;serif"/>
          <w:spacing w:val="31"/>
          <w:sz w:val="20"/>
        </w:rPr>
        <w:t xml:space="preserve"> </w:t>
      </w:r>
      <w:r>
        <w:rPr>
          <w:rFonts w:ascii="Times New Roman;Times;serif" w:hAnsi="Times New Roman;Times;serif"/>
          <w:sz w:val="20"/>
        </w:rPr>
        <w:t>August</w:t>
      </w:r>
      <w:r>
        <w:rPr>
          <w:rFonts w:ascii="Times New Roman;Times;serif" w:hAnsi="Times New Roman;Times;serif"/>
          <w:spacing w:val="27"/>
          <w:sz w:val="20"/>
        </w:rPr>
        <w:t xml:space="preserve"> </w:t>
      </w:r>
      <w:r>
        <w:rPr>
          <w:rFonts w:ascii="Times New Roman;Times;serif" w:hAnsi="Times New Roman;Times;serif"/>
          <w:sz w:val="20"/>
        </w:rPr>
        <w:t>29,</w:t>
      </w:r>
      <w:r>
        <w:rPr>
          <w:rFonts w:ascii="Times New Roman;Times;serif" w:hAnsi="Times New Roman;Times;serif"/>
          <w:spacing w:val="28"/>
          <w:sz w:val="20"/>
        </w:rPr>
        <w:t xml:space="preserve"> </w:t>
      </w:r>
      <w:r>
        <w:rPr>
          <w:rFonts w:ascii="Times New Roman;Times;serif" w:hAnsi="Times New Roman;Times;serif"/>
          <w:sz w:val="20"/>
        </w:rPr>
        <w:t>2013</w:t>
      </w:r>
      <w:r>
        <w:rPr>
          <w:rFonts w:ascii="Times New Roman;Times;serif" w:hAnsi="Times New Roman;Times;serif"/>
          <w:spacing w:val="31"/>
          <w:sz w:val="20"/>
        </w:rPr>
        <w:t xml:space="preserve"> </w:t>
      </w:r>
      <w:r>
        <w:rPr>
          <w:rFonts w:ascii="Times New Roman;Times;serif" w:hAnsi="Times New Roman;Times;serif"/>
          <w:sz w:val="20"/>
        </w:rPr>
        <w:t>(the</w:t>
      </w:r>
      <w:r>
        <w:rPr>
          <w:rFonts w:ascii="Times New Roman;Times;serif" w:hAnsi="Times New Roman;Times;serif"/>
          <w:spacing w:val="28"/>
          <w:sz w:val="20"/>
        </w:rPr>
        <w:t xml:space="preserve"> </w:t>
      </w:r>
      <w:r>
        <w:rPr>
          <w:rFonts w:ascii="Times New Roman;Times;serif" w:hAnsi="Times New Roman;Times;serif"/>
          <w:sz w:val="20"/>
        </w:rPr>
        <w:t>“Cole</w:t>
      </w:r>
      <w:r>
        <w:rPr>
          <w:rFonts w:ascii="Times New Roman;Times;serif" w:hAnsi="Times New Roman;Times;serif"/>
          <w:spacing w:val="30"/>
          <w:sz w:val="20"/>
        </w:rPr>
        <w:t xml:space="preserve"> </w:t>
      </w:r>
      <w:r>
        <w:rPr>
          <w:rFonts w:ascii="Times New Roman;Times;serif" w:hAnsi="Times New Roman;Times;serif"/>
          <w:sz w:val="20"/>
        </w:rPr>
        <w:t>Memorandum”).</w:t>
      </w:r>
      <w:r>
        <w:rPr>
          <w:rFonts w:ascii="Times New Roman;Times;serif" w:hAnsi="Times New Roman;Times;serif"/>
          <w:spacing w:val="30"/>
          <w:sz w:val="20"/>
        </w:rPr>
        <w:t xml:space="preserve"> </w:t>
      </w:r>
      <w:r>
        <w:rPr>
          <w:rFonts w:ascii="Times New Roman;Times;serif" w:hAnsi="Times New Roman;Times;serif"/>
          <w:sz w:val="20"/>
        </w:rPr>
        <w:t>The</w:t>
      </w:r>
      <w:r>
        <w:rPr>
          <w:rFonts w:ascii="Times New Roman;Times;serif" w:hAnsi="Times New Roman;Times;serif"/>
          <w:spacing w:val="30"/>
          <w:sz w:val="20"/>
        </w:rPr>
        <w:t xml:space="preserve"> </w:t>
      </w:r>
      <w:r>
        <w:rPr>
          <w:rFonts w:ascii="Times New Roman;Times;serif" w:hAnsi="Times New Roman;Times;serif"/>
          <w:sz w:val="20"/>
        </w:rPr>
        <w:t>Cole</w:t>
      </w:r>
      <w:r>
        <w:rPr>
          <w:rFonts w:ascii="Times New Roman;Times;serif" w:hAnsi="Times New Roman;Times;serif"/>
          <w:spacing w:val="30"/>
          <w:sz w:val="20"/>
        </w:rPr>
        <w:t xml:space="preserve"> </w:t>
      </w:r>
      <w:r>
        <w:rPr>
          <w:rFonts w:ascii="Times New Roman;Times;serif" w:hAnsi="Times New Roman;Times;serif"/>
          <w:sz w:val="20"/>
        </w:rPr>
        <w:t>Memorandum</w:t>
      </w:r>
      <w:r>
        <w:rPr>
          <w:rFonts w:ascii="Times New Roman;Times;serif" w:hAnsi="Times New Roman;Times;serif"/>
          <w:spacing w:val="28"/>
          <w:sz w:val="20"/>
        </w:rPr>
        <w:t xml:space="preserve"> </w:t>
      </w:r>
      <w:r>
        <w:rPr>
          <w:rFonts w:ascii="Times New Roman;Times;serif" w:hAnsi="Times New Roman;Times;serif"/>
          <w:sz w:val="20"/>
        </w:rPr>
        <w:t>offered</w:t>
      </w:r>
      <w:r>
        <w:rPr>
          <w:rFonts w:ascii="Times New Roman;Times;serif" w:hAnsi="Times New Roman;Times;serif"/>
          <w:spacing w:val="-3"/>
          <w:sz w:val="20"/>
        </w:rPr>
        <w:t xml:space="preserve"> </w:t>
      </w:r>
      <w:r>
        <w:rPr>
          <w:rFonts w:ascii="Times New Roman;Times;serif" w:hAnsi="Times New Roman;Times;serif"/>
          <w:sz w:val="20"/>
        </w:rPr>
        <w:t>guidance</w:t>
      </w:r>
      <w:r>
        <w:rPr>
          <w:rFonts w:ascii="Times New Roman;Times;serif" w:hAnsi="Times New Roman;Times;serif"/>
          <w:spacing w:val="2"/>
          <w:sz w:val="20"/>
        </w:rPr>
        <w:t xml:space="preserve"> </w:t>
      </w:r>
      <w:r>
        <w:rPr>
          <w:rFonts w:ascii="Times New Roman;Times;serif" w:hAnsi="Times New Roman;Times;serif"/>
          <w:sz w:val="20"/>
        </w:rPr>
        <w:t>to</w:t>
      </w:r>
      <w:r>
        <w:rPr>
          <w:rFonts w:ascii="Times New Roman;Times;serif" w:hAnsi="Times New Roman;Times;serif"/>
          <w:spacing w:val="3"/>
          <w:sz w:val="20"/>
        </w:rPr>
        <w:t xml:space="preserve"> </w:t>
      </w:r>
      <w:r>
        <w:rPr>
          <w:rFonts w:ascii="Times New Roman;Times;serif" w:hAnsi="Times New Roman;Times;serif"/>
          <w:sz w:val="20"/>
        </w:rPr>
        <w:t>federal</w:t>
      </w:r>
      <w:r>
        <w:rPr>
          <w:rFonts w:ascii="Times New Roman;Times;serif" w:hAnsi="Times New Roman;Times;serif"/>
          <w:spacing w:val="2"/>
          <w:sz w:val="20"/>
        </w:rPr>
        <w:t xml:space="preserve"> </w:t>
      </w:r>
      <w:r>
        <w:rPr>
          <w:rFonts w:ascii="Times New Roman;Times;serif" w:hAnsi="Times New Roman;Times;serif"/>
          <w:sz w:val="20"/>
        </w:rPr>
        <w:t>enforcement</w:t>
      </w:r>
      <w:r>
        <w:rPr>
          <w:rFonts w:ascii="Times New Roman;Times;serif" w:hAnsi="Times New Roman;Times;serif"/>
          <w:spacing w:val="2"/>
          <w:sz w:val="20"/>
        </w:rPr>
        <w:t xml:space="preserve"> </w:t>
      </w:r>
      <w:r>
        <w:rPr>
          <w:rFonts w:ascii="Times New Roman;Times;serif" w:hAnsi="Times New Roman;Times;serif"/>
          <w:sz w:val="20"/>
        </w:rPr>
        <w:t>agencies</w:t>
      </w:r>
      <w:r>
        <w:rPr>
          <w:rFonts w:ascii="Times New Roman;Times;serif" w:hAnsi="Times New Roman;Times;serif"/>
          <w:spacing w:val="1"/>
          <w:sz w:val="20"/>
        </w:rPr>
        <w:t xml:space="preserve"> </w:t>
      </w:r>
      <w:r>
        <w:rPr>
          <w:rFonts w:ascii="Times New Roman;Times;serif" w:hAnsi="Times New Roman;Times;serif"/>
          <w:sz w:val="20"/>
        </w:rPr>
        <w:t>as</w:t>
      </w:r>
      <w:r>
        <w:rPr>
          <w:rFonts w:ascii="Times New Roman;Times;serif" w:hAnsi="Times New Roman;Times;serif"/>
          <w:spacing w:val="1"/>
          <w:sz w:val="20"/>
        </w:rPr>
        <w:t xml:space="preserve"> </w:t>
      </w:r>
      <w:r>
        <w:rPr>
          <w:rFonts w:ascii="Times New Roman;Times;serif" w:hAnsi="Times New Roman;Times;serif"/>
          <w:sz w:val="20"/>
        </w:rPr>
        <w:t>to</w:t>
      </w:r>
      <w:r>
        <w:rPr>
          <w:rFonts w:ascii="Times New Roman;Times;serif" w:hAnsi="Times New Roman;Times;serif"/>
          <w:spacing w:val="3"/>
          <w:sz w:val="20"/>
        </w:rPr>
        <w:t xml:space="preserve"> </w:t>
      </w:r>
      <w:r>
        <w:rPr>
          <w:rFonts w:ascii="Times New Roman;Times;serif" w:hAnsi="Times New Roman;Times;serif"/>
          <w:sz w:val="20"/>
        </w:rPr>
        <w:t>how</w:t>
      </w:r>
      <w:r>
        <w:rPr>
          <w:rFonts w:ascii="Times New Roman;Times;serif" w:hAnsi="Times New Roman;Times;serif"/>
          <w:spacing w:val="2"/>
          <w:sz w:val="20"/>
        </w:rPr>
        <w:t xml:space="preserve"> </w:t>
      </w:r>
      <w:r>
        <w:rPr>
          <w:rFonts w:ascii="Times New Roman;Times;serif" w:hAnsi="Times New Roman;Times;serif"/>
          <w:sz w:val="20"/>
        </w:rPr>
        <w:t>to</w:t>
      </w:r>
      <w:r>
        <w:rPr>
          <w:rFonts w:ascii="Times New Roman;Times;serif" w:hAnsi="Times New Roman;Times;serif"/>
          <w:spacing w:val="3"/>
          <w:sz w:val="20"/>
        </w:rPr>
        <w:t xml:space="preserve"> </w:t>
      </w:r>
      <w:r>
        <w:rPr>
          <w:rFonts w:ascii="Times New Roman;Times;serif" w:hAnsi="Times New Roman;Times;serif"/>
          <w:sz w:val="20"/>
        </w:rPr>
        <w:t>prioritize</w:t>
      </w:r>
      <w:r>
        <w:rPr>
          <w:rFonts w:ascii="Times New Roman;Times;serif" w:hAnsi="Times New Roman;Times;serif"/>
          <w:spacing w:val="2"/>
          <w:sz w:val="20"/>
        </w:rPr>
        <w:t xml:space="preserve"> </w:t>
      </w:r>
      <w:r>
        <w:rPr>
          <w:rFonts w:ascii="Times New Roman;Times;serif" w:hAnsi="Times New Roman;Times;serif"/>
          <w:sz w:val="20"/>
        </w:rPr>
        <w:t>civil</w:t>
      </w:r>
      <w:r>
        <w:rPr>
          <w:rFonts w:ascii="Times New Roman;Times;serif" w:hAnsi="Times New Roman;Times;serif"/>
          <w:spacing w:val="2"/>
          <w:sz w:val="20"/>
        </w:rPr>
        <w:t xml:space="preserve"> </w:t>
      </w:r>
      <w:r>
        <w:rPr>
          <w:rFonts w:ascii="Times New Roman;Times;serif" w:hAnsi="Times New Roman;Times;serif"/>
          <w:sz w:val="20"/>
        </w:rPr>
        <w:t>enforcement,</w:t>
      </w:r>
      <w:r>
        <w:rPr>
          <w:rFonts w:ascii="Times New Roman;Times;serif" w:hAnsi="Times New Roman;Times;serif"/>
          <w:spacing w:val="2"/>
          <w:sz w:val="20"/>
        </w:rPr>
        <w:t xml:space="preserve"> </w:t>
      </w:r>
      <w:r>
        <w:rPr>
          <w:rFonts w:ascii="Times New Roman;Times;serif" w:hAnsi="Times New Roman;Times;serif"/>
          <w:sz w:val="20"/>
        </w:rPr>
        <w:t>criminal</w:t>
      </w:r>
      <w:r>
        <w:rPr>
          <w:rFonts w:ascii="Times New Roman;Times;serif" w:hAnsi="Times New Roman;Times;serif"/>
          <w:spacing w:val="2"/>
          <w:sz w:val="20"/>
        </w:rPr>
        <w:t xml:space="preserve"> </w:t>
      </w:r>
      <w:r>
        <w:rPr>
          <w:rFonts w:ascii="Times New Roman;Times;serif" w:hAnsi="Times New Roman;Times;serif"/>
          <w:sz w:val="20"/>
        </w:rPr>
        <w:t>investigations,</w:t>
      </w:r>
      <w:r>
        <w:rPr>
          <w:rFonts w:ascii="Times New Roman;Times;serif" w:hAnsi="Times New Roman;Times;serif"/>
          <w:spacing w:val="1"/>
          <w:sz w:val="20"/>
        </w:rPr>
        <w:t xml:space="preserve"> </w:t>
      </w:r>
      <w:r>
        <w:rPr>
          <w:rFonts w:ascii="Times New Roman;Times;serif" w:hAnsi="Times New Roman;Times;serif"/>
          <w:sz w:val="20"/>
        </w:rPr>
        <w:t>and</w:t>
      </w:r>
      <w:r>
        <w:rPr>
          <w:rFonts w:ascii="Times New Roman;Times;serif" w:hAnsi="Times New Roman;Times;serif"/>
          <w:spacing w:val="3"/>
          <w:sz w:val="20"/>
        </w:rPr>
        <w:t xml:space="preserve"> </w:t>
      </w:r>
      <w:r>
        <w:rPr>
          <w:rFonts w:ascii="Times New Roman;Times;serif" w:hAnsi="Times New Roman;Times;serif"/>
          <w:sz w:val="20"/>
        </w:rPr>
        <w:t>prosecutions</w:t>
      </w:r>
      <w:r>
        <w:rPr>
          <w:rFonts w:ascii="Times New Roman;Times;serif" w:hAnsi="Times New Roman;Times;serif"/>
          <w:spacing w:val="1"/>
          <w:sz w:val="20"/>
        </w:rPr>
        <w:t xml:space="preserve"> </w:t>
      </w:r>
      <w:r>
        <w:rPr>
          <w:rFonts w:ascii="Times New Roman;Times;serif" w:hAnsi="Times New Roman;Times;serif"/>
          <w:sz w:val="20"/>
        </w:rPr>
        <w:t>regarding</w:t>
      </w:r>
      <w:r>
        <w:rPr>
          <w:rFonts w:ascii="Times New Roman;Times;serif" w:hAnsi="Times New Roman;Times;serif"/>
          <w:spacing w:val="-2"/>
          <w:sz w:val="20"/>
        </w:rPr>
        <w:t xml:space="preserve"> </w:t>
      </w:r>
      <w:r>
        <w:rPr>
          <w:rFonts w:ascii="Times New Roman;Times;serif" w:hAnsi="Times New Roman;Times;serif"/>
          <w:sz w:val="20"/>
        </w:rPr>
        <w:t>cannabis</w:t>
      </w:r>
      <w:r>
        <w:rPr>
          <w:rFonts w:ascii="Times New Roman;Times;serif" w:hAnsi="Times New Roman;Times;serif"/>
          <w:spacing w:val="3"/>
          <w:sz w:val="20"/>
        </w:rPr>
        <w:t xml:space="preserve"> </w:t>
      </w:r>
      <w:r>
        <w:rPr>
          <w:rFonts w:ascii="Times New Roman;Times;serif" w:hAnsi="Times New Roman;Times;serif"/>
          <w:sz w:val="20"/>
        </w:rPr>
        <w:t>in</w:t>
      </w:r>
      <w:r>
        <w:rPr>
          <w:rFonts w:ascii="Times New Roman;Times;serif" w:hAnsi="Times New Roman;Times;serif"/>
          <w:spacing w:val="5"/>
          <w:sz w:val="20"/>
        </w:rPr>
        <w:t xml:space="preserve"> </w:t>
      </w:r>
      <w:r>
        <w:rPr>
          <w:rFonts w:ascii="Times New Roman;Times;serif" w:hAnsi="Times New Roman;Times;serif"/>
          <w:sz w:val="20"/>
        </w:rPr>
        <w:t>all</w:t>
      </w:r>
      <w:r>
        <w:rPr>
          <w:rFonts w:ascii="Times New Roman;Times;serif" w:hAnsi="Times New Roman;Times;serif"/>
          <w:spacing w:val="4"/>
          <w:sz w:val="20"/>
        </w:rPr>
        <w:t xml:space="preserve"> </w:t>
      </w:r>
      <w:r>
        <w:rPr>
          <w:rFonts w:ascii="Times New Roman;Times;serif" w:hAnsi="Times New Roman;Times;serif"/>
          <w:sz w:val="20"/>
        </w:rPr>
        <w:t>states,</w:t>
      </w:r>
      <w:r>
        <w:rPr>
          <w:rFonts w:ascii="Times New Roman;Times;serif" w:hAnsi="Times New Roman;Times;serif"/>
          <w:spacing w:val="5"/>
          <w:sz w:val="20"/>
        </w:rPr>
        <w:t xml:space="preserve"> </w:t>
      </w:r>
      <w:r>
        <w:rPr>
          <w:rFonts w:ascii="Times New Roman;Times;serif" w:hAnsi="Times New Roman;Times;serif"/>
          <w:sz w:val="20"/>
        </w:rPr>
        <w:t>and</w:t>
      </w:r>
      <w:r>
        <w:rPr>
          <w:rFonts w:ascii="Times New Roman;Times;serif" w:hAnsi="Times New Roman;Times;serif"/>
          <w:spacing w:val="5"/>
          <w:sz w:val="20"/>
        </w:rPr>
        <w:t xml:space="preserve"> </w:t>
      </w:r>
      <w:r>
        <w:rPr>
          <w:rFonts w:ascii="Times New Roman;Times;serif" w:hAnsi="Times New Roman;Times;serif"/>
          <w:sz w:val="20"/>
        </w:rPr>
        <w:t>acknowledged</w:t>
      </w:r>
      <w:r>
        <w:rPr>
          <w:rFonts w:ascii="Times New Roman;Times;serif" w:hAnsi="Times New Roman;Times;serif"/>
          <w:spacing w:val="5"/>
          <w:sz w:val="20"/>
        </w:rPr>
        <w:t xml:space="preserve"> </w:t>
      </w:r>
      <w:r>
        <w:rPr>
          <w:rFonts w:ascii="Times New Roman;Times;serif" w:hAnsi="Times New Roman;Times;serif"/>
          <w:sz w:val="20"/>
        </w:rPr>
        <w:t>that,</w:t>
      </w:r>
      <w:r>
        <w:rPr>
          <w:rFonts w:ascii="Times New Roman;Times;serif" w:hAnsi="Times New Roman;Times;serif"/>
          <w:spacing w:val="5"/>
          <w:sz w:val="20"/>
        </w:rPr>
        <w:t xml:space="preserve"> </w:t>
      </w:r>
      <w:r>
        <w:rPr>
          <w:rFonts w:ascii="Times New Roman;Times;serif" w:hAnsi="Times New Roman;Times;serif"/>
          <w:sz w:val="20"/>
        </w:rPr>
        <w:t>notwithstanding</w:t>
      </w:r>
      <w:r>
        <w:rPr>
          <w:rFonts w:ascii="Times New Roman;Times;serif" w:hAnsi="Times New Roman;Times;serif"/>
          <w:spacing w:val="5"/>
          <w:sz w:val="20"/>
        </w:rPr>
        <w:t xml:space="preserve"> </w:t>
      </w:r>
      <w:r>
        <w:rPr>
          <w:rFonts w:ascii="Times New Roman;Times;serif" w:hAnsi="Times New Roman;Times;serif"/>
          <w:sz w:val="20"/>
        </w:rPr>
        <w:t>the</w:t>
      </w:r>
      <w:r>
        <w:rPr>
          <w:rFonts w:ascii="Times New Roman;Times;serif" w:hAnsi="Times New Roman;Times;serif"/>
          <w:spacing w:val="4"/>
          <w:sz w:val="20"/>
        </w:rPr>
        <w:t xml:space="preserve"> </w:t>
      </w:r>
      <w:r>
        <w:rPr>
          <w:rFonts w:ascii="Times New Roman;Times;serif" w:hAnsi="Times New Roman;Times;serif"/>
          <w:sz w:val="20"/>
        </w:rPr>
        <w:t>designation</w:t>
      </w:r>
      <w:r>
        <w:rPr>
          <w:rFonts w:ascii="Times New Roman;Times;serif" w:hAnsi="Times New Roman;Times;serif"/>
          <w:spacing w:val="5"/>
          <w:sz w:val="20"/>
        </w:rPr>
        <w:t xml:space="preserve"> </w:t>
      </w:r>
      <w:r>
        <w:rPr>
          <w:rFonts w:ascii="Times New Roman;Times;serif" w:hAnsi="Times New Roman;Times;serif"/>
          <w:sz w:val="20"/>
        </w:rPr>
        <w:t>of</w:t>
      </w:r>
      <w:r>
        <w:rPr>
          <w:rFonts w:ascii="Times New Roman;Times;serif" w:hAnsi="Times New Roman;Times;serif"/>
          <w:spacing w:val="5"/>
          <w:sz w:val="20"/>
        </w:rPr>
        <w:t xml:space="preserve"> </w:t>
      </w:r>
      <w:r>
        <w:rPr>
          <w:rFonts w:ascii="Times New Roman;Times;serif" w:hAnsi="Times New Roman;Times;serif"/>
          <w:sz w:val="20"/>
        </w:rPr>
        <w:t>cannabis</w:t>
      </w:r>
      <w:r>
        <w:rPr>
          <w:rFonts w:ascii="Times New Roman;Times;serif" w:hAnsi="Times New Roman;Times;serif"/>
          <w:spacing w:val="3"/>
          <w:sz w:val="20"/>
        </w:rPr>
        <w:t xml:space="preserve"> </w:t>
      </w:r>
      <w:r>
        <w:rPr>
          <w:rFonts w:ascii="Times New Roman;Times;serif" w:hAnsi="Times New Roman;Times;serif"/>
          <w:sz w:val="20"/>
        </w:rPr>
        <w:t>as</w:t>
      </w:r>
      <w:r>
        <w:rPr>
          <w:rFonts w:ascii="Times New Roman;Times;serif" w:hAnsi="Times New Roman;Times;serif"/>
          <w:spacing w:val="3"/>
          <w:sz w:val="20"/>
        </w:rPr>
        <w:t xml:space="preserve"> </w:t>
      </w:r>
      <w:r>
        <w:rPr>
          <w:rFonts w:ascii="Times New Roman;Times;serif" w:hAnsi="Times New Roman;Times;serif"/>
          <w:sz w:val="20"/>
        </w:rPr>
        <w:t>a</w:t>
      </w:r>
      <w:r>
        <w:rPr>
          <w:rFonts w:ascii="Times New Roman;Times;serif" w:hAnsi="Times New Roman;Times;serif"/>
          <w:spacing w:val="7"/>
          <w:sz w:val="20"/>
        </w:rPr>
        <w:t xml:space="preserve"> </w:t>
      </w:r>
      <w:r>
        <w:rPr>
          <w:rFonts w:ascii="Times New Roman;Times;serif" w:hAnsi="Times New Roman;Times;serif"/>
          <w:sz w:val="20"/>
        </w:rPr>
        <w:t>Schedule</w:t>
      </w:r>
      <w:r>
        <w:rPr>
          <w:rFonts w:ascii="Times New Roman;Times;serif" w:hAnsi="Times New Roman;Times;serif"/>
          <w:spacing w:val="4"/>
          <w:sz w:val="20"/>
        </w:rPr>
        <w:t xml:space="preserve"> </w:t>
      </w:r>
      <w:r>
        <w:rPr>
          <w:rFonts w:ascii="Times New Roman;Times;serif" w:hAnsi="Times New Roman;Times;serif"/>
          <w:sz w:val="20"/>
        </w:rPr>
        <w:t>I</w:t>
      </w:r>
      <w:r>
        <w:rPr>
          <w:rFonts w:ascii="Times New Roman;Times;serif" w:hAnsi="Times New Roman;Times;serif"/>
          <w:spacing w:val="5"/>
          <w:sz w:val="20"/>
        </w:rPr>
        <w:t xml:space="preserve"> </w:t>
      </w:r>
      <w:r>
        <w:rPr>
          <w:rFonts w:ascii="Times New Roman;Times;serif" w:hAnsi="Times New Roman;Times;serif"/>
          <w:sz w:val="20"/>
        </w:rPr>
        <w:t>controlled</w:t>
      </w:r>
      <w:r>
        <w:rPr>
          <w:rFonts w:ascii="Times New Roman;Times;serif" w:hAnsi="Times New Roman;Times;serif"/>
          <w:spacing w:val="5"/>
          <w:sz w:val="20"/>
        </w:rPr>
        <w:t xml:space="preserve"> </w:t>
      </w:r>
      <w:r>
        <w:rPr>
          <w:rFonts w:ascii="Times New Roman;Times;serif" w:hAnsi="Times New Roman;Times;serif"/>
          <w:sz w:val="20"/>
        </w:rPr>
        <w:t>substance</w:t>
      </w:r>
      <w:r>
        <w:rPr>
          <w:rFonts w:ascii="Times New Roman;Times;serif" w:hAnsi="Times New Roman;Times;serif"/>
          <w:spacing w:val="4"/>
          <w:sz w:val="20"/>
        </w:rPr>
        <w:t xml:space="preserve"> </w:t>
      </w:r>
      <w:r>
        <w:rPr>
          <w:rFonts w:ascii="Times New Roman;Times;serif" w:hAnsi="Times New Roman;Times;serif"/>
          <w:sz w:val="20"/>
        </w:rPr>
        <w:t>at</w:t>
      </w:r>
      <w:r>
        <w:rPr>
          <w:rFonts w:ascii="Times New Roman;Times;serif" w:hAnsi="Times New Roman;Times;serif"/>
          <w:spacing w:val="4"/>
          <w:sz w:val="20"/>
        </w:rPr>
        <w:t xml:space="preserve"> </w:t>
      </w:r>
      <w:r>
        <w:rPr>
          <w:rFonts w:ascii="Times New Roman;Times;serif" w:hAnsi="Times New Roman;Times;serif"/>
          <w:sz w:val="20"/>
        </w:rPr>
        <w:t>the</w:t>
      </w:r>
      <w:r>
        <w:rPr>
          <w:rFonts w:ascii="Times New Roman;Times;serif" w:hAnsi="Times New Roman;Times;serif"/>
          <w:spacing w:val="-3"/>
          <w:sz w:val="20"/>
        </w:rPr>
        <w:t xml:space="preserve"> </w:t>
      </w:r>
      <w:r>
        <w:rPr>
          <w:rFonts w:ascii="Times New Roman;Times;serif" w:hAnsi="Times New Roman;Times;serif"/>
          <w:sz w:val="20"/>
        </w:rPr>
        <w:t>federal</w:t>
      </w:r>
      <w:r>
        <w:rPr>
          <w:rFonts w:ascii="Times New Roman;Times;serif" w:hAnsi="Times New Roman;Times;serif"/>
          <w:spacing w:val="-5"/>
          <w:sz w:val="20"/>
        </w:rPr>
        <w:t xml:space="preserve"> </w:t>
      </w:r>
      <w:r>
        <w:rPr>
          <w:rFonts w:ascii="Times New Roman;Times;serif" w:hAnsi="Times New Roman;Times;serif"/>
          <w:sz w:val="20"/>
        </w:rPr>
        <w:t>level,</w:t>
      </w:r>
      <w:r>
        <w:rPr>
          <w:rFonts w:ascii="Times New Roman;Times;serif" w:hAnsi="Times New Roman;Times;serif"/>
          <w:spacing w:val="-4"/>
          <w:sz w:val="20"/>
        </w:rPr>
        <w:t xml:space="preserve"> </w:t>
      </w:r>
      <w:r>
        <w:rPr>
          <w:rFonts w:ascii="Times New Roman;Times;serif" w:hAnsi="Times New Roman;Times;serif"/>
          <w:sz w:val="20"/>
        </w:rPr>
        <w:t>several</w:t>
      </w:r>
      <w:r>
        <w:rPr>
          <w:rFonts w:ascii="Times New Roman;Times;serif" w:hAnsi="Times New Roman;Times;serif"/>
          <w:spacing w:val="-5"/>
          <w:sz w:val="20"/>
        </w:rPr>
        <w:t xml:space="preserve"> </w:t>
      </w:r>
      <w:r>
        <w:rPr>
          <w:rFonts w:ascii="Times New Roman;Times;serif" w:hAnsi="Times New Roman;Times;serif"/>
          <w:sz w:val="20"/>
        </w:rPr>
        <w:t>states</w:t>
      </w:r>
      <w:r>
        <w:rPr>
          <w:rFonts w:ascii="Times New Roman;Times;serif" w:hAnsi="Times New Roman;Times;serif"/>
          <w:spacing w:val="-5"/>
          <w:sz w:val="20"/>
        </w:rPr>
        <w:t xml:space="preserve"> </w:t>
      </w:r>
      <w:r>
        <w:rPr>
          <w:rFonts w:ascii="Times New Roman;Times;serif" w:hAnsi="Times New Roman;Times;serif"/>
          <w:sz w:val="20"/>
        </w:rPr>
        <w:t>have</w:t>
      </w:r>
      <w:r>
        <w:rPr>
          <w:rFonts w:ascii="Times New Roman;Times;serif" w:hAnsi="Times New Roman;Times;serif"/>
          <w:spacing w:val="-4"/>
          <w:sz w:val="20"/>
        </w:rPr>
        <w:t xml:space="preserve"> </w:t>
      </w:r>
      <w:r>
        <w:rPr>
          <w:rFonts w:ascii="Times New Roman;Times;serif" w:hAnsi="Times New Roman;Times;serif"/>
          <w:sz w:val="20"/>
        </w:rPr>
        <w:t>enacted</w:t>
      </w:r>
      <w:r>
        <w:rPr>
          <w:rFonts w:ascii="Times New Roman;Times;serif" w:hAnsi="Times New Roman;Times;serif"/>
          <w:spacing w:val="-3"/>
          <w:sz w:val="20"/>
        </w:rPr>
        <w:t xml:space="preserve"> </w:t>
      </w:r>
      <w:r>
        <w:rPr>
          <w:rFonts w:ascii="Times New Roman;Times;serif" w:hAnsi="Times New Roman;Times;serif"/>
          <w:sz w:val="20"/>
        </w:rPr>
        <w:t>laws</w:t>
      </w:r>
      <w:r>
        <w:rPr>
          <w:rFonts w:ascii="Times New Roman;Times;serif" w:hAnsi="Times New Roman;Times;serif"/>
          <w:spacing w:val="-5"/>
          <w:sz w:val="20"/>
        </w:rPr>
        <w:t xml:space="preserve"> </w:t>
      </w:r>
      <w:r>
        <w:rPr>
          <w:rFonts w:ascii="Times New Roman;Times;serif" w:hAnsi="Times New Roman;Times;serif"/>
          <w:sz w:val="20"/>
        </w:rPr>
        <w:t>authorizing</w:t>
      </w:r>
      <w:r>
        <w:rPr>
          <w:rFonts w:ascii="Times New Roman;Times;serif" w:hAnsi="Times New Roman;Times;serif"/>
          <w:spacing w:val="-3"/>
          <w:sz w:val="20"/>
        </w:rPr>
        <w:t xml:space="preserve"> </w:t>
      </w:r>
      <w:r>
        <w:rPr>
          <w:rFonts w:ascii="Times New Roman;Times;serif" w:hAnsi="Times New Roman;Times;serif"/>
          <w:sz w:val="20"/>
        </w:rPr>
        <w:t>the</w:t>
      </w:r>
      <w:r>
        <w:rPr>
          <w:rFonts w:ascii="Times New Roman;Times;serif" w:hAnsi="Times New Roman;Times;serif"/>
          <w:spacing w:val="-4"/>
          <w:sz w:val="20"/>
        </w:rPr>
        <w:t xml:space="preserve"> </w:t>
      </w:r>
      <w:r>
        <w:rPr>
          <w:rFonts w:ascii="Times New Roman;Times;serif" w:hAnsi="Times New Roman;Times;serif"/>
          <w:sz w:val="20"/>
        </w:rPr>
        <w:t>use</w:t>
      </w:r>
      <w:r>
        <w:rPr>
          <w:rFonts w:ascii="Times New Roman;Times;serif" w:hAnsi="Times New Roman;Times;serif"/>
          <w:spacing w:val="-4"/>
          <w:sz w:val="20"/>
        </w:rPr>
        <w:t xml:space="preserve"> </w:t>
      </w:r>
      <w:r>
        <w:rPr>
          <w:rFonts w:ascii="Times New Roman;Times;serif" w:hAnsi="Times New Roman;Times;serif"/>
          <w:sz w:val="20"/>
        </w:rPr>
        <w:t>of</w:t>
      </w:r>
      <w:r>
        <w:rPr>
          <w:rFonts w:ascii="Times New Roman;Times;serif" w:hAnsi="Times New Roman;Times;serif"/>
          <w:spacing w:val="-4"/>
          <w:sz w:val="20"/>
        </w:rPr>
        <w:t xml:space="preserve"> </w:t>
      </w:r>
      <w:r>
        <w:rPr>
          <w:rFonts w:ascii="Times New Roman;Times;serif" w:hAnsi="Times New Roman;Times;serif"/>
          <w:sz w:val="20"/>
        </w:rPr>
        <w:t>cannabis.</w:t>
      </w:r>
      <w:r>
        <w:rPr>
          <w:rFonts w:ascii="Times New Roman;Times;serif" w:hAnsi="Times New Roman;Times;serif"/>
          <w:spacing w:val="-4"/>
          <w:sz w:val="20"/>
        </w:rPr>
        <w:t xml:space="preserve"> </w:t>
      </w:r>
      <w:r>
        <w:rPr>
          <w:rFonts w:ascii="Times New Roman;Times;serif" w:hAnsi="Times New Roman;Times;serif"/>
          <w:sz w:val="20"/>
        </w:rPr>
        <w:t>The</w:t>
      </w:r>
      <w:r>
        <w:rPr>
          <w:rFonts w:ascii="Times New Roman;Times;serif" w:hAnsi="Times New Roman;Times;serif"/>
          <w:spacing w:val="-4"/>
          <w:sz w:val="20"/>
        </w:rPr>
        <w:t xml:space="preserve"> </w:t>
      </w:r>
      <w:r>
        <w:rPr>
          <w:rFonts w:ascii="Times New Roman;Times;serif" w:hAnsi="Times New Roman;Times;serif"/>
          <w:sz w:val="20"/>
        </w:rPr>
        <w:t>Cole</w:t>
      </w:r>
      <w:r>
        <w:rPr>
          <w:rFonts w:ascii="Times New Roman;Times;serif" w:hAnsi="Times New Roman;Times;serif"/>
          <w:spacing w:val="-4"/>
          <w:sz w:val="20"/>
        </w:rPr>
        <w:t xml:space="preserve"> </w:t>
      </w:r>
      <w:r>
        <w:rPr>
          <w:rFonts w:ascii="Times New Roman;Times;serif" w:hAnsi="Times New Roman;Times;serif"/>
          <w:sz w:val="20"/>
        </w:rPr>
        <w:t>Memorandum</w:t>
      </w:r>
      <w:r>
        <w:rPr>
          <w:rFonts w:ascii="Times New Roman;Times;serif" w:hAnsi="Times New Roman;Times;serif"/>
          <w:spacing w:val="-3"/>
          <w:sz w:val="20"/>
        </w:rPr>
        <w:t xml:space="preserve"> </w:t>
      </w:r>
      <w:r>
        <w:rPr>
          <w:rFonts w:ascii="Times New Roman;Times;serif" w:hAnsi="Times New Roman;Times;serif"/>
          <w:sz w:val="20"/>
        </w:rPr>
        <w:t>also</w:t>
      </w:r>
      <w:r>
        <w:rPr>
          <w:rFonts w:ascii="Times New Roman;Times;serif" w:hAnsi="Times New Roman;Times;serif"/>
          <w:spacing w:val="-3"/>
          <w:sz w:val="20"/>
        </w:rPr>
        <w:t xml:space="preserve"> </w:t>
      </w:r>
      <w:r>
        <w:rPr>
          <w:rFonts w:ascii="Times New Roman;Times;serif" w:hAnsi="Times New Roman;Times;serif"/>
          <w:sz w:val="20"/>
        </w:rPr>
        <w:t>noted</w:t>
      </w:r>
      <w:r>
        <w:rPr>
          <w:rFonts w:ascii="Times New Roman;Times;serif" w:hAnsi="Times New Roman;Times;serif"/>
          <w:spacing w:val="-3"/>
          <w:sz w:val="20"/>
        </w:rPr>
        <w:t xml:space="preserve"> </w:t>
      </w:r>
      <w:r>
        <w:rPr>
          <w:rFonts w:ascii="Times New Roman;Times;serif" w:hAnsi="Times New Roman;Times;serif"/>
          <w:sz w:val="20"/>
        </w:rPr>
        <w:t>that</w:t>
      </w:r>
      <w:r>
        <w:rPr>
          <w:rFonts w:ascii="Times New Roman;Times;serif" w:hAnsi="Times New Roman;Times;serif"/>
          <w:spacing w:val="-5"/>
          <w:sz w:val="20"/>
        </w:rPr>
        <w:t xml:space="preserve"> </w:t>
      </w:r>
      <w:r>
        <w:rPr>
          <w:rFonts w:ascii="Times New Roman;Times;serif" w:hAnsi="Times New Roman;Times;serif"/>
          <w:sz w:val="20"/>
        </w:rPr>
        <w:t>jurisdictions</w:t>
      </w:r>
      <w:r>
        <w:rPr>
          <w:rFonts w:ascii="Times New Roman;Times;serif" w:hAnsi="Times New Roman;Times;serif"/>
          <w:spacing w:val="-5"/>
          <w:sz w:val="20"/>
        </w:rPr>
        <w:t xml:space="preserve"> </w:t>
      </w:r>
      <w:r>
        <w:rPr>
          <w:rFonts w:ascii="Times New Roman;Times;serif" w:hAnsi="Times New Roman;Times;serif"/>
          <w:sz w:val="20"/>
        </w:rPr>
        <w:t>that</w:t>
      </w:r>
      <w:r>
        <w:rPr>
          <w:rFonts w:ascii="Times New Roman;Times;serif" w:hAnsi="Times New Roman;Times;serif"/>
          <w:spacing w:val="-3"/>
          <w:sz w:val="20"/>
        </w:rPr>
        <w:t xml:space="preserve"> </w:t>
      </w:r>
      <w:r>
        <w:rPr>
          <w:rFonts w:ascii="Times New Roman;Times;serif" w:hAnsi="Times New Roman;Times;serif"/>
          <w:sz w:val="20"/>
        </w:rPr>
        <w:t>have</w:t>
      </w:r>
      <w:r>
        <w:rPr>
          <w:rFonts w:ascii="Times New Roman;Times;serif" w:hAnsi="Times New Roman;Times;serif"/>
          <w:spacing w:val="-4"/>
          <w:sz w:val="20"/>
        </w:rPr>
        <w:t xml:space="preserve"> </w:t>
      </w:r>
      <w:r>
        <w:rPr>
          <w:rFonts w:ascii="Times New Roman;Times;serif" w:hAnsi="Times New Roman;Times;serif"/>
          <w:sz w:val="20"/>
        </w:rPr>
        <w:t>enacted</w:t>
      </w:r>
      <w:r>
        <w:rPr>
          <w:rFonts w:ascii="Times New Roman;Times;serif" w:hAnsi="Times New Roman;Times;serif"/>
          <w:spacing w:val="-3"/>
          <w:sz w:val="20"/>
        </w:rPr>
        <w:t xml:space="preserve"> </w:t>
      </w:r>
      <w:r>
        <w:rPr>
          <w:rFonts w:ascii="Times New Roman;Times;serif" w:hAnsi="Times New Roman;Times;serif"/>
          <w:sz w:val="20"/>
        </w:rPr>
        <w:t>laws</w:t>
      </w:r>
      <w:r>
        <w:rPr>
          <w:rFonts w:ascii="Times New Roman;Times;serif" w:hAnsi="Times New Roman;Times;serif"/>
          <w:spacing w:val="-5"/>
          <w:sz w:val="20"/>
        </w:rPr>
        <w:t xml:space="preserve"> </w:t>
      </w:r>
      <w:r>
        <w:rPr>
          <w:rFonts w:ascii="Times New Roman;Times;serif" w:hAnsi="Times New Roman;Times;serif"/>
          <w:sz w:val="20"/>
        </w:rPr>
        <w:t>legalizing</w:t>
      </w:r>
      <w:r>
        <w:rPr>
          <w:rFonts w:ascii="Times New Roman;Times;serif" w:hAnsi="Times New Roman;Times;serif"/>
          <w:spacing w:val="-3"/>
          <w:sz w:val="20"/>
        </w:rPr>
        <w:t xml:space="preserve"> </w:t>
      </w:r>
      <w:r>
        <w:rPr>
          <w:rFonts w:ascii="Times New Roman;Times;serif" w:hAnsi="Times New Roman;Times;serif"/>
          <w:sz w:val="20"/>
        </w:rPr>
        <w:t>cannabis</w:t>
      </w:r>
      <w:r>
        <w:rPr>
          <w:rFonts w:ascii="Times New Roman;Times;serif" w:hAnsi="Times New Roman;Times;serif"/>
          <w:spacing w:val="-5"/>
          <w:sz w:val="20"/>
        </w:rPr>
        <w:t xml:space="preserve"> </w:t>
      </w:r>
      <w:r>
        <w:rPr>
          <w:rFonts w:ascii="Times New Roman;Times;serif" w:hAnsi="Times New Roman;Times;serif"/>
          <w:sz w:val="20"/>
        </w:rPr>
        <w:t>in</w:t>
      </w:r>
      <w:r>
        <w:rPr>
          <w:rFonts w:ascii="Times New Roman;Times;serif" w:hAnsi="Times New Roman;Times;serif"/>
          <w:spacing w:val="-3"/>
          <w:sz w:val="20"/>
        </w:rPr>
        <w:t xml:space="preserve"> </w:t>
      </w:r>
      <w:r>
        <w:rPr>
          <w:rFonts w:ascii="Times New Roman;Times;serif" w:hAnsi="Times New Roman;Times;serif"/>
          <w:sz w:val="20"/>
        </w:rPr>
        <w:t>some</w:t>
      </w:r>
      <w:r>
        <w:rPr>
          <w:rFonts w:ascii="Times New Roman;Times;serif" w:hAnsi="Times New Roman;Times;serif"/>
          <w:spacing w:val="-4"/>
          <w:sz w:val="20"/>
        </w:rPr>
        <w:t xml:space="preserve"> </w:t>
      </w:r>
      <w:r>
        <w:rPr>
          <w:rFonts w:ascii="Times New Roman;Times;serif" w:hAnsi="Times New Roman;Times;serif"/>
          <w:sz w:val="20"/>
        </w:rPr>
        <w:t>form</w:t>
      </w:r>
      <w:r>
        <w:rPr>
          <w:rFonts w:ascii="Times New Roman;Times;serif" w:hAnsi="Times New Roman;Times;serif"/>
          <w:spacing w:val="-3"/>
          <w:sz w:val="20"/>
        </w:rPr>
        <w:t xml:space="preserve"> </w:t>
      </w:r>
      <w:r>
        <w:rPr>
          <w:rFonts w:ascii="Times New Roman;Times;serif" w:hAnsi="Times New Roman;Times;serif"/>
          <w:sz w:val="20"/>
        </w:rPr>
        <w:t>have</w:t>
      </w:r>
      <w:r>
        <w:rPr>
          <w:rFonts w:ascii="Times New Roman;Times;serif" w:hAnsi="Times New Roman;Times;serif"/>
          <w:spacing w:val="-4"/>
          <w:sz w:val="20"/>
        </w:rPr>
        <w:t xml:space="preserve"> </w:t>
      </w:r>
      <w:r>
        <w:rPr>
          <w:rFonts w:ascii="Times New Roman;Times;serif" w:hAnsi="Times New Roman;Times;serif"/>
          <w:sz w:val="20"/>
        </w:rPr>
        <w:t>also</w:t>
      </w:r>
      <w:r>
        <w:rPr>
          <w:rFonts w:ascii="Times New Roman;Times;serif" w:hAnsi="Times New Roman;Times;serif"/>
          <w:spacing w:val="-3"/>
          <w:sz w:val="20"/>
        </w:rPr>
        <w:t xml:space="preserve"> </w:t>
      </w:r>
      <w:r>
        <w:rPr>
          <w:rFonts w:ascii="Times New Roman;Times;serif" w:hAnsi="Times New Roman;Times;serif"/>
          <w:sz w:val="20"/>
        </w:rPr>
        <w:t>implemented</w:t>
      </w:r>
      <w:r>
        <w:rPr>
          <w:rFonts w:ascii="Times New Roman;Times;serif" w:hAnsi="Times New Roman;Times;serif"/>
          <w:spacing w:val="-3"/>
          <w:sz w:val="20"/>
        </w:rPr>
        <w:t xml:space="preserve"> </w:t>
      </w:r>
      <w:r>
        <w:rPr>
          <w:rFonts w:ascii="Times New Roman;Times;serif" w:hAnsi="Times New Roman;Times;serif"/>
          <w:sz w:val="20"/>
        </w:rPr>
        <w:t>strong</w:t>
      </w:r>
      <w:r>
        <w:rPr>
          <w:rFonts w:ascii="Times New Roman;Times;serif" w:hAnsi="Times New Roman;Times;serif"/>
          <w:spacing w:val="-3"/>
          <w:sz w:val="20"/>
        </w:rPr>
        <w:t xml:space="preserve"> </w:t>
      </w:r>
      <w:r>
        <w:rPr>
          <w:rFonts w:ascii="Times New Roman;Times;serif" w:hAnsi="Times New Roman;Times;serif"/>
          <w:sz w:val="20"/>
        </w:rPr>
        <w:t>and</w:t>
      </w:r>
      <w:r>
        <w:rPr>
          <w:rFonts w:ascii="Times New Roman;Times;serif" w:hAnsi="Times New Roman;Times;serif"/>
          <w:spacing w:val="-3"/>
          <w:sz w:val="20"/>
        </w:rPr>
        <w:t xml:space="preserve"> </w:t>
      </w:r>
      <w:r>
        <w:rPr>
          <w:rFonts w:ascii="Times New Roman;Times;serif" w:hAnsi="Times New Roman;Times;serif"/>
          <w:sz w:val="20"/>
        </w:rPr>
        <w:t>effective</w:t>
      </w:r>
      <w:r>
        <w:rPr>
          <w:rFonts w:ascii="Times New Roman;Times;serif" w:hAnsi="Times New Roman;Times;serif"/>
          <w:spacing w:val="-4"/>
          <w:sz w:val="20"/>
        </w:rPr>
        <w:t xml:space="preserve"> </w:t>
      </w:r>
      <w:r>
        <w:rPr>
          <w:rFonts w:ascii="Times New Roman;Times;serif" w:hAnsi="Times New Roman;Times;serif"/>
          <w:sz w:val="20"/>
        </w:rPr>
        <w:t>regulatory</w:t>
      </w:r>
      <w:r>
        <w:rPr>
          <w:rFonts w:ascii="Times New Roman;Times;serif" w:hAnsi="Times New Roman;Times;serif"/>
          <w:spacing w:val="-3"/>
          <w:sz w:val="20"/>
        </w:rPr>
        <w:t xml:space="preserve"> </w:t>
      </w:r>
      <w:r>
        <w:rPr>
          <w:rFonts w:ascii="Times New Roman;Times;serif" w:hAnsi="Times New Roman;Times;serif"/>
          <w:sz w:val="20"/>
        </w:rPr>
        <w:t>and</w:t>
      </w:r>
      <w:r>
        <w:rPr>
          <w:rFonts w:ascii="Times New Roman;Times;serif" w:hAnsi="Times New Roman;Times;serif"/>
          <w:spacing w:val="-6"/>
          <w:sz w:val="20"/>
        </w:rPr>
        <w:t xml:space="preserve"> </w:t>
      </w:r>
      <w:r>
        <w:rPr>
          <w:rFonts w:ascii="Times New Roman;Times;serif" w:hAnsi="Times New Roman;Times;serif"/>
          <w:sz w:val="20"/>
        </w:rPr>
        <w:t>enforcement</w:t>
      </w:r>
      <w:r>
        <w:rPr>
          <w:rFonts w:ascii="Times New Roman;Times;serif" w:hAnsi="Times New Roman;Times;serif"/>
          <w:spacing w:val="-5"/>
          <w:sz w:val="20"/>
        </w:rPr>
        <w:t xml:space="preserve"> </w:t>
      </w:r>
      <w:r>
        <w:rPr>
          <w:rFonts w:ascii="Times New Roman;Times;serif" w:hAnsi="Times New Roman;Times;serif"/>
          <w:sz w:val="20"/>
        </w:rPr>
        <w:t>systems</w:t>
      </w:r>
      <w:r>
        <w:rPr>
          <w:rFonts w:ascii="Times New Roman;Times;serif" w:hAnsi="Times New Roman;Times;serif"/>
          <w:spacing w:val="-5"/>
          <w:sz w:val="20"/>
        </w:rPr>
        <w:t xml:space="preserve"> </w:t>
      </w:r>
      <w:r>
        <w:rPr>
          <w:rFonts w:ascii="Times New Roman;Times;serif" w:hAnsi="Times New Roman;Times;serif"/>
          <w:sz w:val="20"/>
        </w:rPr>
        <w:t>to</w:t>
      </w:r>
      <w:r>
        <w:rPr>
          <w:rFonts w:ascii="Times New Roman;Times;serif" w:hAnsi="Times New Roman;Times;serif"/>
          <w:spacing w:val="-3"/>
          <w:sz w:val="20"/>
        </w:rPr>
        <w:t xml:space="preserv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113" w:hanging="0"/>
        <w:jc w:val="both"/>
        <w:rPr>
          <w:rFonts w:ascii="Times New Roman;Times;serif" w:hAnsi="Times New Roman;Times;serif"/>
          <w:sz w:val="20"/>
        </w:rPr>
      </w:pPr>
      <w:r>
        <w:rPr>
          <w:rFonts w:ascii="Times New Roman;Times;serif" w:hAnsi="Times New Roman;Times;serif"/>
          <w:sz w:val="20"/>
        </w:rPr>
        <w:t>control</w:t>
      </w:r>
      <w:r>
        <w:rPr>
          <w:rFonts w:ascii="Times New Roman;Times;serif" w:hAnsi="Times New Roman;Times;serif"/>
          <w:spacing w:val="4"/>
          <w:sz w:val="20"/>
        </w:rPr>
        <w:t xml:space="preserve"> </w:t>
      </w:r>
      <w:r>
        <w:rPr>
          <w:rFonts w:ascii="Times New Roman;Times;serif" w:hAnsi="Times New Roman;Times;serif"/>
          <w:sz w:val="20"/>
        </w:rPr>
        <w:t>the</w:t>
      </w:r>
      <w:r>
        <w:rPr>
          <w:rFonts w:ascii="Times New Roman;Times;serif" w:hAnsi="Times New Roman;Times;serif"/>
          <w:spacing w:val="7"/>
          <w:sz w:val="20"/>
        </w:rPr>
        <w:t xml:space="preserve"> </w:t>
      </w:r>
      <w:r>
        <w:rPr>
          <w:rFonts w:ascii="Times New Roman;Times;serif" w:hAnsi="Times New Roman;Times;serif"/>
          <w:sz w:val="20"/>
        </w:rPr>
        <w:t>cultivation,</w:t>
      </w:r>
      <w:r>
        <w:rPr>
          <w:rFonts w:ascii="Times New Roman;Times;serif" w:hAnsi="Times New Roman;Times;serif"/>
          <w:spacing w:val="5"/>
          <w:sz w:val="20"/>
        </w:rPr>
        <w:t xml:space="preserve"> </w:t>
      </w:r>
      <w:r>
        <w:rPr>
          <w:rFonts w:ascii="Times New Roman;Times;serif" w:hAnsi="Times New Roman;Times;serif"/>
          <w:sz w:val="20"/>
        </w:rPr>
        <w:t>processing,</w:t>
      </w:r>
      <w:r>
        <w:rPr>
          <w:rFonts w:ascii="Times New Roman;Times;serif" w:hAnsi="Times New Roman;Times;serif"/>
          <w:spacing w:val="7"/>
          <w:sz w:val="20"/>
        </w:rPr>
        <w:t xml:space="preserve"> </w:t>
      </w:r>
      <w:r>
        <w:rPr>
          <w:rFonts w:ascii="Times New Roman;Times;serif" w:hAnsi="Times New Roman;Times;serif"/>
          <w:sz w:val="20"/>
        </w:rPr>
        <w:t>distribution,</w:t>
      </w:r>
      <w:r>
        <w:rPr>
          <w:rFonts w:ascii="Times New Roman;Times;serif" w:hAnsi="Times New Roman;Times;serif"/>
          <w:spacing w:val="7"/>
          <w:sz w:val="20"/>
        </w:rPr>
        <w:t xml:space="preserve"> </w:t>
      </w:r>
      <w:r>
        <w:rPr>
          <w:rFonts w:ascii="Times New Roman;Times;serif" w:hAnsi="Times New Roman;Times;serif"/>
          <w:sz w:val="20"/>
        </w:rPr>
        <w:t>sale,</w:t>
      </w:r>
      <w:r>
        <w:rPr>
          <w:rFonts w:ascii="Times New Roman;Times;serif" w:hAnsi="Times New Roman;Times;serif"/>
          <w:spacing w:val="7"/>
          <w:sz w:val="20"/>
        </w:rPr>
        <w:t xml:space="preserve"> </w:t>
      </w:r>
      <w:r>
        <w:rPr>
          <w:rFonts w:ascii="Times New Roman;Times;serif" w:hAnsi="Times New Roman;Times;serif"/>
          <w:sz w:val="20"/>
        </w:rPr>
        <w:t>and</w:t>
      </w:r>
      <w:r>
        <w:rPr>
          <w:rFonts w:ascii="Times New Roman;Times;serif" w:hAnsi="Times New Roman;Times;serif"/>
          <w:spacing w:val="5"/>
          <w:sz w:val="20"/>
        </w:rPr>
        <w:t xml:space="preserve"> </w:t>
      </w:r>
      <w:r>
        <w:rPr>
          <w:rFonts w:ascii="Times New Roman;Times;serif" w:hAnsi="Times New Roman;Times;serif"/>
          <w:sz w:val="20"/>
        </w:rPr>
        <w:t>possession</w:t>
      </w:r>
      <w:r>
        <w:rPr>
          <w:rFonts w:ascii="Times New Roman;Times;serif" w:hAnsi="Times New Roman;Times;serif"/>
          <w:spacing w:val="8"/>
          <w:sz w:val="20"/>
        </w:rPr>
        <w:t xml:space="preserve"> </w:t>
      </w:r>
      <w:r>
        <w:rPr>
          <w:rFonts w:ascii="Times New Roman;Times;serif" w:hAnsi="Times New Roman;Times;serif"/>
          <w:sz w:val="20"/>
        </w:rPr>
        <w:t>of</w:t>
      </w:r>
      <w:r>
        <w:rPr>
          <w:rFonts w:ascii="Times New Roman;Times;serif" w:hAnsi="Times New Roman;Times;serif"/>
          <w:spacing w:val="5"/>
          <w:sz w:val="20"/>
        </w:rPr>
        <w:t xml:space="preserve"> </w:t>
      </w:r>
      <w:r>
        <w:rPr>
          <w:rFonts w:ascii="Times New Roman;Times;serif" w:hAnsi="Times New Roman;Times;serif"/>
          <w:sz w:val="20"/>
        </w:rPr>
        <w:t>cannabis.</w:t>
      </w:r>
      <w:r>
        <w:rPr>
          <w:rFonts w:ascii="Times New Roman;Times;serif" w:hAnsi="Times New Roman;Times;serif"/>
          <w:spacing w:val="7"/>
          <w:sz w:val="20"/>
        </w:rPr>
        <w:t xml:space="preserve"> </w:t>
      </w:r>
      <w:r>
        <w:rPr>
          <w:rFonts w:ascii="Times New Roman;Times;serif" w:hAnsi="Times New Roman;Times;serif"/>
          <w:sz w:val="20"/>
        </w:rPr>
        <w:t>As</w:t>
      </w:r>
      <w:r>
        <w:rPr>
          <w:rFonts w:ascii="Times New Roman;Times;serif" w:hAnsi="Times New Roman;Times;serif"/>
          <w:spacing w:val="6"/>
          <w:sz w:val="20"/>
        </w:rPr>
        <w:t xml:space="preserve"> </w:t>
      </w:r>
      <w:r>
        <w:rPr>
          <w:rFonts w:ascii="Times New Roman;Times;serif" w:hAnsi="Times New Roman;Times;serif"/>
          <w:sz w:val="20"/>
        </w:rPr>
        <w:t>such,</w:t>
      </w:r>
      <w:r>
        <w:rPr>
          <w:rFonts w:ascii="Times New Roman;Times;serif" w:hAnsi="Times New Roman;Times;serif"/>
          <w:spacing w:val="5"/>
          <w:sz w:val="20"/>
        </w:rPr>
        <w:t xml:space="preserve"> </w:t>
      </w:r>
      <w:r>
        <w:rPr>
          <w:rFonts w:ascii="Times New Roman;Times;serif" w:hAnsi="Times New Roman;Times;serif"/>
          <w:sz w:val="20"/>
        </w:rPr>
        <w:t>conduct</w:t>
      </w:r>
      <w:r>
        <w:rPr>
          <w:rFonts w:ascii="Times New Roman;Times;serif" w:hAnsi="Times New Roman;Times;serif"/>
          <w:spacing w:val="6"/>
          <w:sz w:val="20"/>
        </w:rPr>
        <w:t xml:space="preserve"> </w:t>
      </w:r>
      <w:r>
        <w:rPr>
          <w:rFonts w:ascii="Times New Roman;Times;serif" w:hAnsi="Times New Roman;Times;serif"/>
          <w:sz w:val="20"/>
        </w:rPr>
        <w:t>in</w:t>
      </w:r>
      <w:r>
        <w:rPr>
          <w:rFonts w:ascii="Times New Roman;Times;serif" w:hAnsi="Times New Roman;Times;serif"/>
          <w:spacing w:val="8"/>
          <w:sz w:val="20"/>
        </w:rPr>
        <w:t xml:space="preserve"> </w:t>
      </w:r>
      <w:r>
        <w:rPr>
          <w:rFonts w:ascii="Times New Roman;Times;serif" w:hAnsi="Times New Roman;Times;serif"/>
          <w:sz w:val="20"/>
        </w:rPr>
        <w:t>compliance</w:t>
      </w:r>
      <w:r>
        <w:rPr>
          <w:rFonts w:ascii="Times New Roman;Times;serif" w:hAnsi="Times New Roman;Times;serif"/>
          <w:spacing w:val="4"/>
          <w:sz w:val="20"/>
        </w:rPr>
        <w:t xml:space="preserve"> </w:t>
      </w:r>
      <w:r>
        <w:rPr>
          <w:rFonts w:ascii="Times New Roman;Times;serif" w:hAnsi="Times New Roman;Times;serif"/>
          <w:sz w:val="20"/>
        </w:rPr>
        <w:t>with</w:t>
      </w:r>
      <w:r>
        <w:rPr>
          <w:rFonts w:ascii="Times New Roman;Times;serif" w:hAnsi="Times New Roman;Times;serif"/>
          <w:spacing w:val="8"/>
          <w:sz w:val="20"/>
        </w:rPr>
        <w:t xml:space="preserve"> </w:t>
      </w:r>
      <w:r>
        <w:rPr>
          <w:rFonts w:ascii="Times New Roman;Times;serif" w:hAnsi="Times New Roman;Times;serif"/>
          <w:sz w:val="20"/>
        </w:rPr>
        <w:t>those</w:t>
      </w:r>
      <w:r>
        <w:rPr>
          <w:rFonts w:ascii="Times New Roman;Times;serif" w:hAnsi="Times New Roman;Times;serif"/>
          <w:spacing w:val="8"/>
          <w:sz w:val="20"/>
        </w:rPr>
        <w:t xml:space="preserve"> </w:t>
      </w:r>
      <w:r>
        <w:rPr>
          <w:rFonts w:ascii="Times New Roman;Times;serif" w:hAnsi="Times New Roman;Times;serif"/>
          <w:sz w:val="20"/>
        </w:rPr>
        <w:t>laws</w:t>
      </w:r>
      <w:r>
        <w:rPr>
          <w:rFonts w:ascii="Times New Roman;Times;serif" w:hAnsi="Times New Roman;Times;serif"/>
          <w:spacing w:val="6"/>
          <w:sz w:val="20"/>
        </w:rPr>
        <w:t xml:space="preserve"> </w:t>
      </w:r>
      <w:r>
        <w:rPr>
          <w:rFonts w:ascii="Times New Roman;Times;serif" w:hAnsi="Times New Roman;Times;serif"/>
          <w:sz w:val="20"/>
        </w:rPr>
        <w:t>and</w:t>
      </w:r>
      <w:r>
        <w:rPr>
          <w:rFonts w:ascii="Times New Roman;Times;serif" w:hAnsi="Times New Roman;Times;serif"/>
          <w:spacing w:val="-3"/>
          <w:sz w:val="20"/>
        </w:rPr>
        <w:t xml:space="preserve"> </w:t>
      </w:r>
      <w:r>
        <w:rPr>
          <w:rFonts w:ascii="Times New Roman;Times;serif" w:hAnsi="Times New Roman;Times;serif"/>
          <w:sz w:val="20"/>
        </w:rPr>
        <w:t>regulations is less likely</w:t>
      </w:r>
      <w:r>
        <w:rPr>
          <w:rFonts w:ascii="Times New Roman;Times;serif" w:hAnsi="Times New Roman;Times;serif"/>
          <w:spacing w:val="1"/>
          <w:sz w:val="20"/>
        </w:rPr>
        <w:t xml:space="preserve"> </w:t>
      </w:r>
      <w:r>
        <w:rPr>
          <w:rFonts w:ascii="Times New Roman;Times;serif" w:hAnsi="Times New Roman;Times;serif"/>
          <w:sz w:val="20"/>
        </w:rPr>
        <w:t>to</w:t>
      </w:r>
      <w:r>
        <w:rPr>
          <w:rFonts w:ascii="Times New Roman;Times;serif" w:hAnsi="Times New Roman;Times;serif"/>
          <w:spacing w:val="1"/>
          <w:sz w:val="20"/>
        </w:rPr>
        <w:t xml:space="preserve"> </w:t>
      </w:r>
      <w:r>
        <w:rPr>
          <w:rFonts w:ascii="Times New Roman;Times;serif" w:hAnsi="Times New Roman;Times;serif"/>
          <w:sz w:val="20"/>
        </w:rPr>
        <w:t>be</w:t>
      </w:r>
      <w:r>
        <w:rPr>
          <w:rFonts w:ascii="Times New Roman;Times;serif" w:hAnsi="Times New Roman;Times;serif"/>
          <w:spacing w:val="-2"/>
          <w:sz w:val="20"/>
        </w:rPr>
        <w:t xml:space="preserve"> </w:t>
      </w:r>
      <w:r>
        <w:rPr>
          <w:rFonts w:ascii="Times New Roman;Times;serif" w:hAnsi="Times New Roman;Times;serif"/>
          <w:sz w:val="20"/>
        </w:rPr>
        <w:t>a priority</w:t>
      </w:r>
      <w:r>
        <w:rPr>
          <w:rFonts w:ascii="Times New Roman;Times;serif" w:hAnsi="Times New Roman;Times;serif"/>
          <w:spacing w:val="1"/>
          <w:sz w:val="20"/>
        </w:rPr>
        <w:t xml:space="preserve"> </w:t>
      </w:r>
      <w:r>
        <w:rPr>
          <w:rFonts w:ascii="Times New Roman;Times;serif" w:hAnsi="Times New Roman;Times;serif"/>
          <w:sz w:val="20"/>
        </w:rPr>
        <w:t>at</w:t>
      </w:r>
      <w:r>
        <w:rPr>
          <w:rFonts w:ascii="Times New Roman;Times;serif" w:hAnsi="Times New Roman;Times;serif"/>
          <w:spacing w:val="-2"/>
          <w:sz w:val="20"/>
        </w:rPr>
        <w:t xml:space="preserve"> </w:t>
      </w:r>
      <w:r>
        <w:rPr>
          <w:rFonts w:ascii="Times New Roman;Times;serif" w:hAnsi="Times New Roman;Times;serif"/>
          <w:sz w:val="20"/>
        </w:rPr>
        <w:t>the federal level.</w:t>
      </w:r>
      <w:r>
        <w:rPr>
          <w:rFonts w:ascii="Times New Roman;Times;serif" w:hAnsi="Times New Roman;Times;serif"/>
          <w:spacing w:val="-1"/>
          <w:sz w:val="20"/>
        </w:rPr>
        <w:t xml:space="preserve"> </w:t>
      </w:r>
      <w:r>
        <w:rPr>
          <w:rFonts w:ascii="Times New Roman;Times;serif" w:hAnsi="Times New Roman;Times;serif"/>
          <w:sz w:val="20"/>
        </w:rPr>
        <w:t>The Cole Memorandum</w:t>
      </w:r>
      <w:r>
        <w:rPr>
          <w:rFonts w:ascii="Times New Roman;Times;serif" w:hAnsi="Times New Roman;Times;serif"/>
          <w:spacing w:val="-1"/>
          <w:sz w:val="20"/>
        </w:rPr>
        <w:t xml:space="preserve"> </w:t>
      </w:r>
      <w:r>
        <w:rPr>
          <w:rFonts w:ascii="Times New Roman;Times;serif" w:hAnsi="Times New Roman;Times;serif"/>
          <w:sz w:val="20"/>
        </w:rPr>
        <w:t>was seen by</w:t>
      </w:r>
      <w:r>
        <w:rPr>
          <w:rFonts w:ascii="Times New Roman;Times;serif" w:hAnsi="Times New Roman;Times;serif"/>
          <w:spacing w:val="-1"/>
          <w:sz w:val="20"/>
        </w:rPr>
        <w:t xml:space="preserve"> </w:t>
      </w:r>
      <w:r>
        <w:rPr>
          <w:rFonts w:ascii="Times New Roman;Times;serif" w:hAnsi="Times New Roman;Times;serif"/>
          <w:sz w:val="20"/>
        </w:rPr>
        <w:t>many</w:t>
      </w:r>
      <w:r>
        <w:rPr>
          <w:rFonts w:ascii="Times New Roman;Times;serif" w:hAnsi="Times New Roman;Times;serif"/>
          <w:spacing w:val="-1"/>
          <w:sz w:val="20"/>
        </w:rPr>
        <w:t xml:space="preserve"> </w:t>
      </w:r>
      <w:r>
        <w:rPr>
          <w:rFonts w:ascii="Times New Roman;Times;serif" w:hAnsi="Times New Roman;Times;serif"/>
          <w:sz w:val="20"/>
        </w:rPr>
        <w:t>state-legal cannabis companies</w:t>
      </w:r>
      <w:r>
        <w:rPr>
          <w:rFonts w:ascii="Times New Roman;Times;serif" w:hAnsi="Times New Roman;Times;serif"/>
          <w:spacing w:val="-3"/>
          <w:sz w:val="20"/>
        </w:rPr>
        <w:t xml:space="preserve"> </w:t>
      </w:r>
      <w:r>
        <w:rPr>
          <w:rFonts w:ascii="Times New Roman;Times;serif" w:hAnsi="Times New Roman;Times;serif"/>
          <w:sz w:val="20"/>
        </w:rPr>
        <w:t>as</w:t>
      </w:r>
      <w:r>
        <w:rPr>
          <w:rFonts w:ascii="Times New Roman;Times;serif" w:hAnsi="Times New Roman;Times;serif"/>
          <w:spacing w:val="15"/>
          <w:sz w:val="20"/>
        </w:rPr>
        <w:t xml:space="preserve"> </w:t>
      </w:r>
      <w:r>
        <w:rPr>
          <w:rFonts w:ascii="Times New Roman;Times;serif" w:hAnsi="Times New Roman;Times;serif"/>
          <w:sz w:val="20"/>
        </w:rPr>
        <w:t>a</w:t>
      </w:r>
      <w:r>
        <w:rPr>
          <w:rFonts w:ascii="Times New Roman;Times;serif" w:hAnsi="Times New Roman;Times;serif"/>
          <w:spacing w:val="16"/>
          <w:sz w:val="20"/>
        </w:rPr>
        <w:t xml:space="preserve"> </w:t>
      </w:r>
      <w:r>
        <w:rPr>
          <w:rFonts w:ascii="Times New Roman;Times;serif" w:hAnsi="Times New Roman;Times;serif"/>
          <w:sz w:val="20"/>
        </w:rPr>
        <w:t>safe</w:t>
      </w:r>
      <w:r>
        <w:rPr>
          <w:rFonts w:ascii="Times New Roman;Times;serif" w:hAnsi="Times New Roman;Times;serif"/>
          <w:spacing w:val="16"/>
          <w:sz w:val="20"/>
        </w:rPr>
        <w:t xml:space="preserve"> </w:t>
      </w:r>
      <w:r>
        <w:rPr>
          <w:rFonts w:ascii="Times New Roman;Times;serif" w:hAnsi="Times New Roman;Times;serif"/>
          <w:sz w:val="20"/>
        </w:rPr>
        <w:t>harbor</w:t>
      </w:r>
      <w:r>
        <w:rPr>
          <w:rFonts w:ascii="Times New Roman;Times;serif" w:hAnsi="Times New Roman;Times;serif"/>
          <w:spacing w:val="15"/>
          <w:sz w:val="20"/>
        </w:rPr>
        <w:t xml:space="preserve"> </w:t>
      </w:r>
      <w:r>
        <w:rPr>
          <w:rFonts w:ascii="Times New Roman;Times;serif" w:hAnsi="Times New Roman;Times;serif"/>
          <w:sz w:val="20"/>
        </w:rPr>
        <w:t>for</w:t>
      </w:r>
      <w:r>
        <w:rPr>
          <w:rFonts w:ascii="Times New Roman;Times;serif" w:hAnsi="Times New Roman;Times;serif"/>
          <w:spacing w:val="17"/>
          <w:sz w:val="20"/>
        </w:rPr>
        <w:t xml:space="preserve"> </w:t>
      </w:r>
      <w:r>
        <w:rPr>
          <w:rFonts w:ascii="Times New Roman;Times;serif" w:hAnsi="Times New Roman;Times;serif"/>
          <w:sz w:val="20"/>
        </w:rPr>
        <w:t>their</w:t>
      </w:r>
      <w:r>
        <w:rPr>
          <w:rFonts w:ascii="Times New Roman;Times;serif" w:hAnsi="Times New Roman;Times;serif"/>
          <w:spacing w:val="14"/>
          <w:sz w:val="20"/>
        </w:rPr>
        <w:t xml:space="preserve"> </w:t>
      </w:r>
      <w:r>
        <w:rPr>
          <w:rFonts w:ascii="Times New Roman;Times;serif" w:hAnsi="Times New Roman;Times;serif"/>
          <w:sz w:val="20"/>
        </w:rPr>
        <w:t>licensed</w:t>
      </w:r>
      <w:r>
        <w:rPr>
          <w:rFonts w:ascii="Times New Roman;Times;serif" w:hAnsi="Times New Roman;Times;serif"/>
          <w:spacing w:val="17"/>
          <w:sz w:val="20"/>
        </w:rPr>
        <w:t xml:space="preserve"> </w:t>
      </w:r>
      <w:r>
        <w:rPr>
          <w:rFonts w:ascii="Times New Roman;Times;serif" w:hAnsi="Times New Roman;Times;serif"/>
          <w:sz w:val="20"/>
        </w:rPr>
        <w:t>operations</w:t>
      </w:r>
      <w:r>
        <w:rPr>
          <w:rFonts w:ascii="Times New Roman;Times;serif" w:hAnsi="Times New Roman;Times;serif"/>
          <w:spacing w:val="15"/>
          <w:sz w:val="20"/>
        </w:rPr>
        <w:t xml:space="preserve"> </w:t>
      </w:r>
      <w:r>
        <w:rPr>
          <w:rFonts w:ascii="Times New Roman;Times;serif" w:hAnsi="Times New Roman;Times;serif"/>
          <w:sz w:val="20"/>
        </w:rPr>
        <w:t>that</w:t>
      </w:r>
      <w:r>
        <w:rPr>
          <w:rFonts w:ascii="Times New Roman;Times;serif" w:hAnsi="Times New Roman;Times;serif"/>
          <w:spacing w:val="16"/>
          <w:sz w:val="20"/>
        </w:rPr>
        <w:t xml:space="preserve"> </w:t>
      </w:r>
      <w:r>
        <w:rPr>
          <w:rFonts w:ascii="Times New Roman;Times;serif" w:hAnsi="Times New Roman;Times;serif"/>
          <w:sz w:val="20"/>
        </w:rPr>
        <w:t>were</w:t>
      </w:r>
      <w:r>
        <w:rPr>
          <w:rFonts w:ascii="Times New Roman;Times;serif" w:hAnsi="Times New Roman;Times;serif"/>
          <w:spacing w:val="16"/>
          <w:sz w:val="20"/>
        </w:rPr>
        <w:t xml:space="preserve"> </w:t>
      </w:r>
      <w:r>
        <w:rPr>
          <w:rFonts w:ascii="Times New Roman;Times;serif" w:hAnsi="Times New Roman;Times;serif"/>
          <w:sz w:val="20"/>
        </w:rPr>
        <w:t>conducted</w:t>
      </w:r>
      <w:r>
        <w:rPr>
          <w:rFonts w:ascii="Times New Roman;Times;serif" w:hAnsi="Times New Roman;Times;serif"/>
          <w:spacing w:val="17"/>
          <w:sz w:val="20"/>
        </w:rPr>
        <w:t xml:space="preserve"> </w:t>
      </w:r>
      <w:r>
        <w:rPr>
          <w:rFonts w:ascii="Times New Roman;Times;serif" w:hAnsi="Times New Roman;Times;serif"/>
          <w:sz w:val="20"/>
        </w:rPr>
        <w:t>in</w:t>
      </w:r>
      <w:r>
        <w:rPr>
          <w:rFonts w:ascii="Times New Roman;Times;serif" w:hAnsi="Times New Roman;Times;serif"/>
          <w:spacing w:val="17"/>
          <w:sz w:val="20"/>
        </w:rPr>
        <w:t xml:space="preserve"> </w:t>
      </w:r>
      <w:r>
        <w:rPr>
          <w:rFonts w:ascii="Times New Roman;Times;serif" w:hAnsi="Times New Roman;Times;serif"/>
          <w:sz w:val="20"/>
        </w:rPr>
        <w:t>full</w:t>
      </w:r>
      <w:r>
        <w:rPr>
          <w:rFonts w:ascii="Times New Roman;Times;serif" w:hAnsi="Times New Roman;Times;serif"/>
          <w:spacing w:val="16"/>
          <w:sz w:val="20"/>
        </w:rPr>
        <w:t xml:space="preserve"> </w:t>
      </w:r>
      <w:r>
        <w:rPr>
          <w:rFonts w:ascii="Times New Roman;Times;serif" w:hAnsi="Times New Roman;Times;serif"/>
          <w:sz w:val="20"/>
        </w:rPr>
        <w:t>compliance</w:t>
      </w:r>
      <w:r>
        <w:rPr>
          <w:rFonts w:ascii="Times New Roman;Times;serif" w:hAnsi="Times New Roman;Times;serif"/>
          <w:spacing w:val="14"/>
          <w:sz w:val="20"/>
        </w:rPr>
        <w:t xml:space="preserve"> </w:t>
      </w:r>
      <w:r>
        <w:rPr>
          <w:rFonts w:ascii="Times New Roman;Times;serif" w:hAnsi="Times New Roman;Times;serif"/>
          <w:sz w:val="20"/>
        </w:rPr>
        <w:t>with</w:t>
      </w:r>
      <w:r>
        <w:rPr>
          <w:rFonts w:ascii="Times New Roman;Times;serif" w:hAnsi="Times New Roman;Times;serif"/>
          <w:spacing w:val="17"/>
          <w:sz w:val="20"/>
        </w:rPr>
        <w:t xml:space="preserve"> </w:t>
      </w:r>
      <w:r>
        <w:rPr>
          <w:rFonts w:ascii="Times New Roman;Times;serif" w:hAnsi="Times New Roman;Times;serif"/>
          <w:sz w:val="20"/>
        </w:rPr>
        <w:t>all</w:t>
      </w:r>
      <w:r>
        <w:rPr>
          <w:rFonts w:ascii="Times New Roman;Times;serif" w:hAnsi="Times New Roman;Times;serif"/>
          <w:spacing w:val="16"/>
          <w:sz w:val="20"/>
        </w:rPr>
        <w:t xml:space="preserve"> </w:t>
      </w:r>
      <w:r>
        <w:rPr>
          <w:rFonts w:ascii="Times New Roman;Times;serif" w:hAnsi="Times New Roman;Times;serif"/>
          <w:sz w:val="20"/>
        </w:rPr>
        <w:t>applicable</w:t>
      </w:r>
      <w:r>
        <w:rPr>
          <w:rFonts w:ascii="Times New Roman;Times;serif" w:hAnsi="Times New Roman;Times;serif"/>
          <w:spacing w:val="16"/>
          <w:sz w:val="20"/>
        </w:rPr>
        <w:t xml:space="preserve"> </w:t>
      </w:r>
      <w:r>
        <w:rPr>
          <w:rFonts w:ascii="Times New Roman;Times;serif" w:hAnsi="Times New Roman;Times;serif"/>
          <w:sz w:val="20"/>
        </w:rPr>
        <w:t>state</w:t>
      </w:r>
      <w:r>
        <w:rPr>
          <w:rFonts w:ascii="Times New Roman;Times;serif" w:hAnsi="Times New Roman;Times;serif"/>
          <w:spacing w:val="16"/>
          <w:sz w:val="20"/>
        </w:rPr>
        <w:t xml:space="preserve"> </w:t>
      </w:r>
      <w:r>
        <w:rPr>
          <w:rFonts w:ascii="Times New Roman;Times;serif" w:hAnsi="Times New Roman;Times;serif"/>
          <w:sz w:val="20"/>
        </w:rPr>
        <w:t>and</w:t>
      </w:r>
      <w:r>
        <w:rPr>
          <w:rFonts w:ascii="Times New Roman;Times;serif" w:hAnsi="Times New Roman;Times;serif"/>
          <w:spacing w:val="17"/>
          <w:sz w:val="20"/>
        </w:rPr>
        <w:t xml:space="preserve"> </w:t>
      </w:r>
      <w:r>
        <w:rPr>
          <w:rFonts w:ascii="Times New Roman;Times;serif" w:hAnsi="Times New Roman;Times;serif"/>
          <w:sz w:val="20"/>
        </w:rPr>
        <w:t>local</w:t>
      </w:r>
      <w:r>
        <w:rPr>
          <w:rFonts w:ascii="Times New Roman;Times;serif" w:hAnsi="Times New Roman;Times;serif"/>
          <w:spacing w:val="16"/>
          <w:sz w:val="20"/>
        </w:rPr>
        <w:t xml:space="preserve"> </w:t>
      </w:r>
      <w:r>
        <w:rPr>
          <w:rFonts w:ascii="Times New Roman;Times;serif" w:hAnsi="Times New Roman;Times;serif"/>
          <w:sz w:val="20"/>
        </w:rPr>
        <w:t>regulations.</w:t>
      </w:r>
      <w:r>
        <w:rPr>
          <w:rFonts w:ascii="Times New Roman;Times;serif" w:hAnsi="Times New Roman;Times;serif"/>
          <w:spacing w:val="-3"/>
          <w:sz w:val="20"/>
        </w:rPr>
        <w:t xml:space="preserve"> </w:t>
      </w:r>
      <w:r>
        <w:rPr>
          <w:rFonts w:ascii="Times New Roman;Times;serif" w:hAnsi="Times New Roman;Times;serif"/>
          <w:sz w:val="20"/>
        </w:rPr>
        <w:t>However,</w:t>
      </w:r>
      <w:r>
        <w:rPr>
          <w:rFonts w:ascii="Times New Roman;Times;serif" w:hAnsi="Times New Roman;Times;serif"/>
          <w:spacing w:val="-9"/>
          <w:sz w:val="20"/>
        </w:rPr>
        <w:t xml:space="preserve"> </w:t>
      </w:r>
      <w:r>
        <w:rPr>
          <w:rFonts w:ascii="Times New Roman;Times;serif" w:hAnsi="Times New Roman;Times;serif"/>
          <w:sz w:val="20"/>
        </w:rPr>
        <w:t>on</w:t>
      </w:r>
      <w:r>
        <w:rPr>
          <w:rFonts w:ascii="Times New Roman;Times;serif" w:hAnsi="Times New Roman;Times;serif"/>
          <w:spacing w:val="-8"/>
          <w:sz w:val="20"/>
        </w:rPr>
        <w:t xml:space="preserve"> </w:t>
      </w:r>
      <w:r>
        <w:rPr>
          <w:rFonts w:ascii="Times New Roman;Times;serif" w:hAnsi="Times New Roman;Times;serif"/>
          <w:sz w:val="20"/>
        </w:rPr>
        <w:t>January</w:t>
      </w:r>
      <w:r>
        <w:rPr>
          <w:rFonts w:ascii="Times New Roman;Times;serif" w:hAnsi="Times New Roman;Times;serif"/>
          <w:spacing w:val="-10"/>
          <w:sz w:val="20"/>
        </w:rPr>
        <w:t xml:space="preserve"> </w:t>
      </w:r>
      <w:r>
        <w:rPr>
          <w:rFonts w:ascii="Times New Roman;Times;serif" w:hAnsi="Times New Roman;Times;serif"/>
          <w:sz w:val="20"/>
        </w:rPr>
        <w:t>4,</w:t>
      </w:r>
      <w:r>
        <w:rPr>
          <w:rFonts w:ascii="Times New Roman;Times;serif" w:hAnsi="Times New Roman;Times;serif"/>
          <w:spacing w:val="-9"/>
          <w:sz w:val="20"/>
        </w:rPr>
        <w:t xml:space="preserve"> </w:t>
      </w:r>
      <w:r>
        <w:rPr>
          <w:rFonts w:ascii="Times New Roman;Times;serif" w:hAnsi="Times New Roman;Times;serif"/>
          <w:sz w:val="20"/>
        </w:rPr>
        <w:t>2018,</w:t>
      </w:r>
      <w:r>
        <w:rPr>
          <w:rFonts w:ascii="Times New Roman;Times;serif" w:hAnsi="Times New Roman;Times;serif"/>
          <w:spacing w:val="-11"/>
          <w:sz w:val="20"/>
        </w:rPr>
        <w:t xml:space="preserve"> </w:t>
      </w:r>
      <w:r>
        <w:rPr>
          <w:rFonts w:ascii="Times New Roman;Times;serif" w:hAnsi="Times New Roman;Times;serif"/>
          <w:sz w:val="20"/>
        </w:rPr>
        <w:t>former</w:t>
      </w:r>
      <w:r>
        <w:rPr>
          <w:rFonts w:ascii="Times New Roman;Times;serif" w:hAnsi="Times New Roman;Times;serif"/>
          <w:spacing w:val="-11"/>
          <w:sz w:val="20"/>
        </w:rPr>
        <w:t xml:space="preserve"> </w:t>
      </w:r>
      <w:r>
        <w:rPr>
          <w:rFonts w:ascii="Times New Roman;Times;serif" w:hAnsi="Times New Roman;Times;serif"/>
          <w:sz w:val="20"/>
        </w:rPr>
        <w:t>U.S.</w:t>
      </w:r>
      <w:r>
        <w:rPr>
          <w:rFonts w:ascii="Times New Roman;Times;serif" w:hAnsi="Times New Roman;Times;serif"/>
          <w:spacing w:val="-9"/>
          <w:sz w:val="20"/>
        </w:rPr>
        <w:t xml:space="preserve"> </w:t>
      </w:r>
      <w:r>
        <w:rPr>
          <w:rFonts w:ascii="Times New Roman;Times;serif" w:hAnsi="Times New Roman;Times;serif"/>
          <w:sz w:val="20"/>
        </w:rPr>
        <w:t>Attorney</w:t>
      </w:r>
      <w:r>
        <w:rPr>
          <w:rFonts w:ascii="Times New Roman;Times;serif" w:hAnsi="Times New Roman;Times;serif"/>
          <w:spacing w:val="-10"/>
          <w:sz w:val="20"/>
        </w:rPr>
        <w:t xml:space="preserve"> </w:t>
      </w:r>
      <w:r>
        <w:rPr>
          <w:rFonts w:ascii="Times New Roman;Times;serif" w:hAnsi="Times New Roman;Times;serif"/>
          <w:sz w:val="20"/>
        </w:rPr>
        <w:t>General</w:t>
      </w:r>
      <w:r>
        <w:rPr>
          <w:rFonts w:ascii="Times New Roman;Times;serif" w:hAnsi="Times New Roman;Times;serif"/>
          <w:spacing w:val="-12"/>
          <w:sz w:val="20"/>
        </w:rPr>
        <w:t xml:space="preserve"> </w:t>
      </w:r>
      <w:r>
        <w:rPr>
          <w:rFonts w:ascii="Times New Roman;Times;serif" w:hAnsi="Times New Roman;Times;serif"/>
          <w:sz w:val="20"/>
        </w:rPr>
        <w:t>Jeff</w:t>
      </w:r>
      <w:r>
        <w:rPr>
          <w:rFonts w:ascii="Times New Roman;Times;serif" w:hAnsi="Times New Roman;Times;serif"/>
          <w:spacing w:val="-8"/>
          <w:sz w:val="20"/>
        </w:rPr>
        <w:t xml:space="preserve"> </w:t>
      </w:r>
      <w:r>
        <w:rPr>
          <w:rFonts w:ascii="Times New Roman;Times;serif" w:hAnsi="Times New Roman;Times;serif"/>
          <w:sz w:val="20"/>
        </w:rPr>
        <w:t>Sessions</w:t>
      </w:r>
      <w:r>
        <w:rPr>
          <w:rFonts w:ascii="Times New Roman;Times;serif" w:hAnsi="Times New Roman;Times;serif"/>
          <w:spacing w:val="-10"/>
          <w:sz w:val="20"/>
        </w:rPr>
        <w:t xml:space="preserve"> </w:t>
      </w:r>
      <w:r>
        <w:rPr>
          <w:rFonts w:ascii="Times New Roman;Times;serif" w:hAnsi="Times New Roman;Times;serif"/>
          <w:sz w:val="20"/>
        </w:rPr>
        <w:t>rescinded</w:t>
      </w:r>
      <w:r>
        <w:rPr>
          <w:rFonts w:ascii="Times New Roman;Times;serif" w:hAnsi="Times New Roman;Times;serif"/>
          <w:spacing w:val="-8"/>
          <w:sz w:val="20"/>
        </w:rPr>
        <w:t xml:space="preserve"> </w:t>
      </w:r>
      <w:r>
        <w:rPr>
          <w:rFonts w:ascii="Times New Roman;Times;serif" w:hAnsi="Times New Roman;Times;serif"/>
          <w:sz w:val="20"/>
        </w:rPr>
        <w:t>the</w:t>
      </w:r>
      <w:r>
        <w:rPr>
          <w:rFonts w:ascii="Times New Roman;Times;serif" w:hAnsi="Times New Roman;Times;serif"/>
          <w:spacing w:val="-9"/>
          <w:sz w:val="20"/>
        </w:rPr>
        <w:t xml:space="preserve"> </w:t>
      </w:r>
      <w:r>
        <w:rPr>
          <w:rFonts w:ascii="Times New Roman;Times;serif" w:hAnsi="Times New Roman;Times;serif"/>
          <w:sz w:val="20"/>
        </w:rPr>
        <w:t>Cole</w:t>
      </w:r>
      <w:r>
        <w:rPr>
          <w:rFonts w:ascii="Times New Roman;Times;serif" w:hAnsi="Times New Roman;Times;serif"/>
          <w:spacing w:val="-9"/>
          <w:sz w:val="20"/>
        </w:rPr>
        <w:t xml:space="preserve"> </w:t>
      </w:r>
      <w:r>
        <w:rPr>
          <w:rFonts w:ascii="Times New Roman;Times;serif" w:hAnsi="Times New Roman;Times;serif"/>
          <w:sz w:val="20"/>
        </w:rPr>
        <w:t>Memorandum.</w:t>
      </w:r>
      <w:r>
        <w:rPr>
          <w:rFonts w:ascii="Times New Roman;Times;serif" w:hAnsi="Times New Roman;Times;serif"/>
          <w:spacing w:val="-12"/>
          <w:sz w:val="20"/>
        </w:rPr>
        <w:t xml:space="preserve"> </w:t>
      </w:r>
      <w:r>
        <w:rPr>
          <w:rFonts w:ascii="Times New Roman;Times;serif" w:hAnsi="Times New Roman;Times;serif"/>
          <w:sz w:val="20"/>
        </w:rPr>
        <w:t>In</w:t>
      </w:r>
      <w:r>
        <w:rPr>
          <w:rFonts w:ascii="Times New Roman;Times;serif" w:hAnsi="Times New Roman;Times;serif"/>
          <w:spacing w:val="-8"/>
          <w:sz w:val="20"/>
        </w:rPr>
        <w:t xml:space="preserve"> </w:t>
      </w:r>
      <w:r>
        <w:rPr>
          <w:rFonts w:ascii="Times New Roman;Times;serif" w:hAnsi="Times New Roman;Times;serif"/>
          <w:sz w:val="20"/>
        </w:rPr>
        <w:t>the</w:t>
      </w:r>
      <w:r>
        <w:rPr>
          <w:rFonts w:ascii="Times New Roman;Times;serif" w:hAnsi="Times New Roman;Times;serif"/>
          <w:spacing w:val="-9"/>
          <w:sz w:val="20"/>
        </w:rPr>
        <w:t xml:space="preserve"> </w:t>
      </w:r>
      <w:r>
        <w:rPr>
          <w:rFonts w:ascii="Times New Roman;Times;serif" w:hAnsi="Times New Roman;Times;serif"/>
          <w:sz w:val="20"/>
        </w:rPr>
        <w:t>absence</w:t>
      </w:r>
      <w:r>
        <w:rPr>
          <w:rFonts w:ascii="Times New Roman;Times;serif" w:hAnsi="Times New Roman;Times;serif"/>
          <w:spacing w:val="-9"/>
          <w:sz w:val="20"/>
        </w:rPr>
        <w:t xml:space="preserve"> </w:t>
      </w:r>
      <w:r>
        <w:rPr>
          <w:rFonts w:ascii="Times New Roman;Times;serif" w:hAnsi="Times New Roman;Times;serif"/>
          <w:sz w:val="20"/>
        </w:rPr>
        <w:t>of</w:t>
      </w:r>
      <w:r>
        <w:rPr>
          <w:rFonts w:ascii="Times New Roman;Times;serif" w:hAnsi="Times New Roman;Times;serif"/>
          <w:spacing w:val="-8"/>
          <w:sz w:val="20"/>
        </w:rPr>
        <w:t xml:space="preserve"> </w:t>
      </w:r>
      <w:r>
        <w:rPr>
          <w:rFonts w:ascii="Times New Roman;Times;serif" w:hAnsi="Times New Roman;Times;serif"/>
          <w:sz w:val="20"/>
        </w:rPr>
        <w:t>a</w:t>
      </w:r>
      <w:r>
        <w:rPr>
          <w:rFonts w:ascii="Times New Roman;Times;serif" w:hAnsi="Times New Roman;Times;serif"/>
          <w:spacing w:val="-11"/>
          <w:sz w:val="20"/>
        </w:rPr>
        <w:t xml:space="preserve"> </w:t>
      </w:r>
      <w:r>
        <w:rPr>
          <w:rFonts w:ascii="Times New Roman;Times;serif" w:hAnsi="Times New Roman;Times;serif"/>
          <w:sz w:val="20"/>
        </w:rPr>
        <w:t>uniform</w:t>
      </w:r>
      <w:r>
        <w:rPr>
          <w:rFonts w:ascii="Times New Roman;Times;serif" w:hAnsi="Times New Roman;Times;serif"/>
          <w:spacing w:val="-3"/>
          <w:sz w:val="20"/>
        </w:rPr>
        <w:t xml:space="preserve"> </w:t>
      </w:r>
      <w:r>
        <w:rPr>
          <w:rFonts w:ascii="Times New Roman;Times;serif" w:hAnsi="Times New Roman;Times;serif"/>
          <w:sz w:val="20"/>
        </w:rPr>
        <w:t>federal</w:t>
      </w:r>
      <w:r>
        <w:rPr>
          <w:rFonts w:ascii="Times New Roman;Times;serif" w:hAnsi="Times New Roman;Times;serif"/>
          <w:spacing w:val="-5"/>
          <w:sz w:val="20"/>
        </w:rPr>
        <w:t xml:space="preserve"> </w:t>
      </w:r>
      <w:r>
        <w:rPr>
          <w:rFonts w:ascii="Times New Roman;Times;serif" w:hAnsi="Times New Roman;Times;serif"/>
          <w:sz w:val="20"/>
        </w:rPr>
        <w:t xml:space="preserve">policy, </w:t>
      </w:r>
      <w:r>
        <w:rPr>
          <w:rFonts w:ascii="Times New Roman;Times;serif" w:hAnsi="Times New Roman;Times;serif"/>
          <w:sz w:val="20"/>
          <w:highlight w:val="white"/>
        </w:rPr>
        <w:t>as had been established by the Cole memorandum, enforcement priorities are determined by respective United States Attorneys.</w:t>
      </w:r>
    </w:p>
    <w:p>
      <w:pPr>
        <w:pStyle w:val="TextBody"/>
        <w:spacing w:before="0" w:after="240"/>
        <w:ind w:left="0" w:right="115" w:hanging="0"/>
        <w:jc w:val="both"/>
        <w:rPr>
          <w:rFonts w:ascii="Times New Roman;Times;serif" w:hAnsi="Times New Roman;Times;serif"/>
          <w:sz w:val="20"/>
        </w:rPr>
      </w:pPr>
      <w:r>
        <w:rPr>
          <w:rFonts w:ascii="Times New Roman;Times;serif" w:hAnsi="Times New Roman;Times;serif"/>
          <w:sz w:val="20"/>
        </w:rPr>
        <w:t>Following</w:t>
      </w:r>
      <w:r>
        <w:rPr>
          <w:rFonts w:ascii="Times New Roman;Times;serif" w:hAnsi="Times New Roman;Times;serif"/>
          <w:spacing w:val="18"/>
          <w:sz w:val="20"/>
        </w:rPr>
        <w:t xml:space="preserve"> </w:t>
      </w:r>
      <w:r>
        <w:rPr>
          <w:rFonts w:ascii="Times New Roman;Times;serif" w:hAnsi="Times New Roman;Times;serif"/>
          <w:sz w:val="20"/>
        </w:rPr>
        <w:t>his</w:t>
      </w:r>
      <w:r>
        <w:rPr>
          <w:rFonts w:ascii="Times New Roman;Times;serif" w:hAnsi="Times New Roman;Times;serif"/>
          <w:spacing w:val="16"/>
          <w:sz w:val="20"/>
        </w:rPr>
        <w:t xml:space="preserve"> </w:t>
      </w:r>
      <w:r>
        <w:rPr>
          <w:rFonts w:ascii="Times New Roman;Times;serif" w:hAnsi="Times New Roman;Times;serif"/>
          <w:sz w:val="20"/>
        </w:rPr>
        <w:t>election,</w:t>
      </w:r>
      <w:r>
        <w:rPr>
          <w:rFonts w:ascii="Times New Roman;Times;serif" w:hAnsi="Times New Roman;Times;serif"/>
          <w:spacing w:val="18"/>
          <w:sz w:val="20"/>
        </w:rPr>
        <w:t xml:space="preserve"> </w:t>
      </w:r>
      <w:r>
        <w:rPr>
          <w:rFonts w:ascii="Times New Roman;Times;serif" w:hAnsi="Times New Roman;Times;serif"/>
          <w:sz w:val="20"/>
        </w:rPr>
        <w:t>President</w:t>
      </w:r>
      <w:r>
        <w:rPr>
          <w:rFonts w:ascii="Times New Roman;Times;serif" w:hAnsi="Times New Roman;Times;serif"/>
          <w:spacing w:val="17"/>
          <w:sz w:val="20"/>
        </w:rPr>
        <w:t xml:space="preserve"> </w:t>
      </w:r>
      <w:r>
        <w:rPr>
          <w:rFonts w:ascii="Times New Roman;Times;serif" w:hAnsi="Times New Roman;Times;serif"/>
          <w:sz w:val="20"/>
        </w:rPr>
        <w:t>Biden</w:t>
      </w:r>
      <w:r>
        <w:rPr>
          <w:rFonts w:ascii="Times New Roman;Times;serif" w:hAnsi="Times New Roman;Times;serif"/>
          <w:spacing w:val="18"/>
          <w:sz w:val="20"/>
        </w:rPr>
        <w:t xml:space="preserve"> </w:t>
      </w:r>
      <w:r>
        <w:rPr>
          <w:rFonts w:ascii="Times New Roman;Times;serif" w:hAnsi="Times New Roman;Times;serif"/>
          <w:sz w:val="20"/>
        </w:rPr>
        <w:t>appointed</w:t>
      </w:r>
      <w:r>
        <w:rPr>
          <w:rFonts w:ascii="Times New Roman;Times;serif" w:hAnsi="Times New Roman;Times;serif"/>
          <w:spacing w:val="18"/>
          <w:sz w:val="20"/>
        </w:rPr>
        <w:t xml:space="preserve"> </w:t>
      </w:r>
      <w:r>
        <w:rPr>
          <w:rFonts w:ascii="Times New Roman;Times;serif" w:hAnsi="Times New Roman;Times;serif"/>
          <w:sz w:val="20"/>
        </w:rPr>
        <w:t>Merrick</w:t>
      </w:r>
      <w:r>
        <w:rPr>
          <w:rFonts w:ascii="Times New Roman;Times;serif" w:hAnsi="Times New Roman;Times;serif"/>
          <w:spacing w:val="16"/>
          <w:sz w:val="20"/>
        </w:rPr>
        <w:t xml:space="preserve"> </w:t>
      </w:r>
      <w:r>
        <w:rPr>
          <w:rFonts w:ascii="Times New Roman;Times;serif" w:hAnsi="Times New Roman;Times;serif"/>
          <w:sz w:val="20"/>
        </w:rPr>
        <w:t>Garland</w:t>
      </w:r>
      <w:r>
        <w:rPr>
          <w:rFonts w:ascii="Times New Roman;Times;serif" w:hAnsi="Times New Roman;Times;serif"/>
          <w:spacing w:val="18"/>
          <w:sz w:val="20"/>
        </w:rPr>
        <w:t xml:space="preserve"> </w:t>
      </w:r>
      <w:r>
        <w:rPr>
          <w:rFonts w:ascii="Times New Roman;Times;serif" w:hAnsi="Times New Roman;Times;serif"/>
          <w:sz w:val="20"/>
        </w:rPr>
        <w:t>to</w:t>
      </w:r>
      <w:r>
        <w:rPr>
          <w:rFonts w:ascii="Times New Roman;Times;serif" w:hAnsi="Times New Roman;Times;serif"/>
          <w:spacing w:val="18"/>
          <w:sz w:val="20"/>
        </w:rPr>
        <w:t xml:space="preserve"> </w:t>
      </w:r>
      <w:r>
        <w:rPr>
          <w:rFonts w:ascii="Times New Roman;Times;serif" w:hAnsi="Times New Roman;Times;serif"/>
          <w:sz w:val="20"/>
        </w:rPr>
        <w:t>serve</w:t>
      </w:r>
      <w:r>
        <w:rPr>
          <w:rFonts w:ascii="Times New Roman;Times;serif" w:hAnsi="Times New Roman;Times;serif"/>
          <w:spacing w:val="15"/>
          <w:sz w:val="20"/>
        </w:rPr>
        <w:t xml:space="preserve"> </w:t>
      </w:r>
      <w:r>
        <w:rPr>
          <w:rFonts w:ascii="Times New Roman;Times;serif" w:hAnsi="Times New Roman;Times;serif"/>
          <w:sz w:val="20"/>
        </w:rPr>
        <w:t>as</w:t>
      </w:r>
      <w:r>
        <w:rPr>
          <w:rFonts w:ascii="Times New Roman;Times;serif" w:hAnsi="Times New Roman;Times;serif"/>
          <w:spacing w:val="16"/>
          <w:sz w:val="20"/>
        </w:rPr>
        <w:t xml:space="preserve"> </w:t>
      </w:r>
      <w:r>
        <w:rPr>
          <w:rFonts w:ascii="Times New Roman;Times;serif" w:hAnsi="Times New Roman;Times;serif"/>
          <w:sz w:val="20"/>
        </w:rPr>
        <w:t>the</w:t>
      </w:r>
      <w:r>
        <w:rPr>
          <w:rFonts w:ascii="Times New Roman;Times;serif" w:hAnsi="Times New Roman;Times;serif"/>
          <w:spacing w:val="17"/>
          <w:sz w:val="20"/>
        </w:rPr>
        <w:t xml:space="preserve"> </w:t>
      </w:r>
      <w:r>
        <w:rPr>
          <w:rFonts w:ascii="Times New Roman;Times;serif" w:hAnsi="Times New Roman;Times;serif"/>
          <w:sz w:val="20"/>
        </w:rPr>
        <w:t>U.S.</w:t>
      </w:r>
      <w:r>
        <w:rPr>
          <w:rFonts w:ascii="Times New Roman;Times;serif" w:hAnsi="Times New Roman;Times;serif"/>
          <w:spacing w:val="15"/>
          <w:sz w:val="20"/>
        </w:rPr>
        <w:t xml:space="preserve"> </w:t>
      </w:r>
      <w:r>
        <w:rPr>
          <w:rFonts w:ascii="Times New Roman;Times;serif" w:hAnsi="Times New Roman;Times;serif"/>
          <w:sz w:val="20"/>
        </w:rPr>
        <w:t>Attorney</w:t>
      </w:r>
      <w:r>
        <w:rPr>
          <w:rFonts w:ascii="Times New Roman;Times;serif" w:hAnsi="Times New Roman;Times;serif"/>
          <w:spacing w:val="18"/>
          <w:sz w:val="20"/>
        </w:rPr>
        <w:t xml:space="preserve"> </w:t>
      </w:r>
      <w:r>
        <w:rPr>
          <w:rFonts w:ascii="Times New Roman;Times;serif" w:hAnsi="Times New Roman;Times;serif"/>
          <w:sz w:val="20"/>
        </w:rPr>
        <w:t>General.</w:t>
      </w:r>
      <w:r>
        <w:rPr>
          <w:rFonts w:ascii="Times New Roman;Times;serif" w:hAnsi="Times New Roman;Times;serif"/>
          <w:spacing w:val="15"/>
          <w:sz w:val="20"/>
        </w:rPr>
        <w:t xml:space="preserve"> </w:t>
      </w:r>
      <w:r>
        <w:rPr>
          <w:rFonts w:ascii="Times New Roman;Times;serif" w:hAnsi="Times New Roman;Times;serif"/>
          <w:sz w:val="20"/>
        </w:rPr>
        <w:t>While</w:t>
      </w:r>
      <w:r>
        <w:rPr>
          <w:rFonts w:ascii="Times New Roman;Times;serif" w:hAnsi="Times New Roman;Times;serif"/>
          <w:spacing w:val="17"/>
          <w:sz w:val="20"/>
        </w:rPr>
        <w:t xml:space="preserve"> </w:t>
      </w:r>
      <w:r>
        <w:rPr>
          <w:rFonts w:ascii="Times New Roman;Times;serif" w:hAnsi="Times New Roman;Times;serif"/>
          <w:sz w:val="20"/>
        </w:rPr>
        <w:t>Attorney</w:t>
      </w:r>
      <w:r>
        <w:rPr>
          <w:rFonts w:ascii="Times New Roman;Times;serif" w:hAnsi="Times New Roman;Times;serif"/>
          <w:spacing w:val="-2"/>
          <w:sz w:val="20"/>
        </w:rPr>
        <w:t xml:space="preserve"> </w:t>
      </w:r>
      <w:r>
        <w:rPr>
          <w:rFonts w:ascii="Times New Roman;Times;serif" w:hAnsi="Times New Roman;Times;serif"/>
          <w:sz w:val="20"/>
        </w:rPr>
        <w:t>General</w:t>
      </w:r>
      <w:r>
        <w:rPr>
          <w:rFonts w:ascii="Times New Roman;Times;serif" w:hAnsi="Times New Roman;Times;serif"/>
          <w:spacing w:val="3"/>
          <w:sz w:val="20"/>
        </w:rPr>
        <w:t xml:space="preserve"> </w:t>
      </w:r>
      <w:r>
        <w:rPr>
          <w:rFonts w:ascii="Times New Roman;Times;serif" w:hAnsi="Times New Roman;Times;serif"/>
          <w:sz w:val="20"/>
        </w:rPr>
        <w:t>Garland</w:t>
      </w:r>
      <w:r>
        <w:rPr>
          <w:rFonts w:ascii="Times New Roman;Times;serif" w:hAnsi="Times New Roman;Times;serif"/>
          <w:spacing w:val="4"/>
          <w:sz w:val="20"/>
        </w:rPr>
        <w:t xml:space="preserve"> </w:t>
      </w:r>
      <w:r>
        <w:rPr>
          <w:rFonts w:ascii="Times New Roman;Times;serif" w:hAnsi="Times New Roman;Times;serif"/>
          <w:sz w:val="20"/>
        </w:rPr>
        <w:t>indicated</w:t>
      </w:r>
      <w:r>
        <w:rPr>
          <w:rFonts w:ascii="Times New Roman;Times;serif" w:hAnsi="Times New Roman;Times;serif"/>
          <w:spacing w:val="4"/>
          <w:sz w:val="20"/>
        </w:rPr>
        <w:t xml:space="preserve"> </w:t>
      </w:r>
      <w:r>
        <w:rPr>
          <w:rFonts w:ascii="Times New Roman;Times;serif" w:hAnsi="Times New Roman;Times;serif"/>
          <w:sz w:val="20"/>
        </w:rPr>
        <w:t>in</w:t>
      </w:r>
      <w:r>
        <w:rPr>
          <w:rFonts w:ascii="Times New Roman;Times;serif" w:hAnsi="Times New Roman;Times;serif"/>
          <w:spacing w:val="2"/>
          <w:sz w:val="20"/>
        </w:rPr>
        <w:t xml:space="preserve"> </w:t>
      </w:r>
      <w:r>
        <w:rPr>
          <w:rFonts w:ascii="Times New Roman;Times;serif" w:hAnsi="Times New Roman;Times;serif"/>
          <w:sz w:val="20"/>
        </w:rPr>
        <w:t>his</w:t>
      </w:r>
      <w:r>
        <w:rPr>
          <w:rFonts w:ascii="Times New Roman;Times;serif" w:hAnsi="Times New Roman;Times;serif"/>
          <w:spacing w:val="2"/>
          <w:sz w:val="20"/>
        </w:rPr>
        <w:t xml:space="preserve"> </w:t>
      </w:r>
      <w:r>
        <w:rPr>
          <w:rFonts w:ascii="Times New Roman;Times;serif" w:hAnsi="Times New Roman;Times;serif"/>
          <w:sz w:val="20"/>
        </w:rPr>
        <w:t>confirmation</w:t>
      </w:r>
      <w:r>
        <w:rPr>
          <w:rFonts w:ascii="Times New Roman;Times;serif" w:hAnsi="Times New Roman;Times;serif"/>
          <w:spacing w:val="2"/>
          <w:sz w:val="20"/>
        </w:rPr>
        <w:t xml:space="preserve"> </w:t>
      </w:r>
      <w:r>
        <w:rPr>
          <w:rFonts w:ascii="Times New Roman;Times;serif" w:hAnsi="Times New Roman;Times;serif"/>
          <w:sz w:val="20"/>
        </w:rPr>
        <w:t>hearing</w:t>
      </w:r>
      <w:r>
        <w:rPr>
          <w:rFonts w:ascii="Times New Roman;Times;serif" w:hAnsi="Times New Roman;Times;serif"/>
          <w:spacing w:val="4"/>
          <w:sz w:val="20"/>
        </w:rPr>
        <w:t xml:space="preserve"> </w:t>
      </w:r>
      <w:r>
        <w:rPr>
          <w:rFonts w:ascii="Times New Roman;Times;serif" w:hAnsi="Times New Roman;Times;serif"/>
          <w:sz w:val="20"/>
        </w:rPr>
        <w:t>that</w:t>
      </w:r>
      <w:r>
        <w:rPr>
          <w:rFonts w:ascii="Times New Roman;Times;serif" w:hAnsi="Times New Roman;Times;serif"/>
          <w:spacing w:val="3"/>
          <w:sz w:val="20"/>
        </w:rPr>
        <w:t xml:space="preserve"> </w:t>
      </w:r>
      <w:r>
        <w:rPr>
          <w:rFonts w:ascii="Times New Roman;Times;serif" w:hAnsi="Times New Roman;Times;serif"/>
          <w:sz w:val="20"/>
        </w:rPr>
        <w:t>he</w:t>
      </w:r>
      <w:r>
        <w:rPr>
          <w:rFonts w:ascii="Times New Roman;Times;serif" w:hAnsi="Times New Roman;Times;serif"/>
          <w:spacing w:val="3"/>
          <w:sz w:val="20"/>
        </w:rPr>
        <w:t xml:space="preserve"> </w:t>
      </w:r>
      <w:r>
        <w:rPr>
          <w:rFonts w:ascii="Times New Roman;Times;serif" w:hAnsi="Times New Roman;Times;serif"/>
          <w:sz w:val="20"/>
        </w:rPr>
        <w:t>did</w:t>
      </w:r>
      <w:r>
        <w:rPr>
          <w:rFonts w:ascii="Times New Roman;Times;serif" w:hAnsi="Times New Roman;Times;serif"/>
          <w:spacing w:val="4"/>
          <w:sz w:val="20"/>
        </w:rPr>
        <w:t xml:space="preserve"> </w:t>
      </w:r>
      <w:r>
        <w:rPr>
          <w:rFonts w:ascii="Times New Roman;Times;serif" w:hAnsi="Times New Roman;Times;serif"/>
          <w:sz w:val="20"/>
        </w:rPr>
        <w:t>not</w:t>
      </w:r>
      <w:r>
        <w:rPr>
          <w:rFonts w:ascii="Times New Roman;Times;serif" w:hAnsi="Times New Roman;Times;serif"/>
          <w:spacing w:val="3"/>
          <w:sz w:val="20"/>
        </w:rPr>
        <w:t xml:space="preserve"> </w:t>
      </w:r>
      <w:r>
        <w:rPr>
          <w:rFonts w:ascii="Times New Roman;Times;serif" w:hAnsi="Times New Roman;Times;serif"/>
          <w:sz w:val="20"/>
        </w:rPr>
        <w:t>feel</w:t>
      </w:r>
      <w:r>
        <w:rPr>
          <w:rFonts w:ascii="Times New Roman;Times;serif" w:hAnsi="Times New Roman;Times;serif"/>
          <w:spacing w:val="3"/>
          <w:sz w:val="20"/>
        </w:rPr>
        <w:t xml:space="preserve"> </w:t>
      </w:r>
      <w:r>
        <w:rPr>
          <w:rFonts w:ascii="Times New Roman;Times;serif" w:hAnsi="Times New Roman;Times;serif"/>
          <w:sz w:val="20"/>
        </w:rPr>
        <w:t>that</w:t>
      </w:r>
      <w:r>
        <w:rPr>
          <w:rFonts w:ascii="Times New Roman;Times;serif" w:hAnsi="Times New Roman;Times;serif"/>
          <w:spacing w:val="3"/>
          <w:sz w:val="20"/>
        </w:rPr>
        <w:t xml:space="preserve"> </w:t>
      </w:r>
      <w:r>
        <w:rPr>
          <w:rFonts w:ascii="Times New Roman;Times;serif" w:hAnsi="Times New Roman;Times;serif"/>
          <w:sz w:val="20"/>
        </w:rPr>
        <w:t>enforcement</w:t>
      </w:r>
      <w:r>
        <w:rPr>
          <w:rFonts w:ascii="Times New Roman;Times;serif" w:hAnsi="Times New Roman;Times;serif"/>
          <w:spacing w:val="3"/>
          <w:sz w:val="20"/>
        </w:rPr>
        <w:t xml:space="preserve"> </w:t>
      </w:r>
      <w:r>
        <w:rPr>
          <w:rFonts w:ascii="Times New Roman;Times;serif" w:hAnsi="Times New Roman;Times;serif"/>
          <w:sz w:val="20"/>
        </w:rPr>
        <w:t>of</w:t>
      </w:r>
      <w:r>
        <w:rPr>
          <w:rFonts w:ascii="Times New Roman;Times;serif" w:hAnsi="Times New Roman;Times;serif"/>
          <w:spacing w:val="4"/>
          <w:sz w:val="20"/>
        </w:rPr>
        <w:t xml:space="preserve"> </w:t>
      </w:r>
      <w:r>
        <w:rPr>
          <w:rFonts w:ascii="Times New Roman;Times;serif" w:hAnsi="Times New Roman;Times;serif"/>
          <w:sz w:val="20"/>
        </w:rPr>
        <w:t>the</w:t>
      </w:r>
      <w:r>
        <w:rPr>
          <w:rFonts w:ascii="Times New Roman;Times;serif" w:hAnsi="Times New Roman;Times;serif"/>
          <w:spacing w:val="3"/>
          <w:sz w:val="20"/>
        </w:rPr>
        <w:t xml:space="preserve"> </w:t>
      </w:r>
      <w:r>
        <w:rPr>
          <w:rFonts w:ascii="Times New Roman;Times;serif" w:hAnsi="Times New Roman;Times;serif"/>
          <w:sz w:val="20"/>
        </w:rPr>
        <w:t>federal</w:t>
      </w:r>
      <w:r>
        <w:rPr>
          <w:rFonts w:ascii="Times New Roman;Times;serif" w:hAnsi="Times New Roman;Times;serif"/>
          <w:spacing w:val="3"/>
          <w:sz w:val="20"/>
        </w:rPr>
        <w:t xml:space="preserve"> </w:t>
      </w:r>
      <w:r>
        <w:rPr>
          <w:rFonts w:ascii="Times New Roman;Times;serif" w:hAnsi="Times New Roman;Times;serif"/>
          <w:sz w:val="20"/>
        </w:rPr>
        <w:t>cannabis</w:t>
      </w:r>
      <w:r>
        <w:rPr>
          <w:rFonts w:ascii="Times New Roman;Times;serif" w:hAnsi="Times New Roman;Times;serif"/>
          <w:spacing w:val="2"/>
          <w:sz w:val="20"/>
        </w:rPr>
        <w:t xml:space="preserve"> </w:t>
      </w:r>
      <w:r>
        <w:rPr>
          <w:rFonts w:ascii="Times New Roman;Times;serif" w:hAnsi="Times New Roman;Times;serif"/>
          <w:sz w:val="20"/>
        </w:rPr>
        <w:t>prohibition</w:t>
      </w:r>
      <w:r>
        <w:rPr>
          <w:rFonts w:ascii="Times New Roman;Times;serif" w:hAnsi="Times New Roman;Times;serif"/>
          <w:spacing w:val="4"/>
          <w:sz w:val="20"/>
        </w:rPr>
        <w:t xml:space="preserve"> </w:t>
      </w:r>
      <w:r>
        <w:rPr>
          <w:rFonts w:ascii="Times New Roman;Times;serif" w:hAnsi="Times New Roman;Times;serif"/>
          <w:sz w:val="20"/>
        </w:rPr>
        <w:t>against</w:t>
      </w:r>
      <w:r>
        <w:rPr>
          <w:rFonts w:ascii="Times New Roman;Times;serif" w:hAnsi="Times New Roman;Times;serif"/>
          <w:spacing w:val="-2"/>
          <w:sz w:val="20"/>
        </w:rPr>
        <w:t xml:space="preserve"> </w:t>
      </w:r>
      <w:r>
        <w:rPr>
          <w:rFonts w:ascii="Times New Roman;Times;serif" w:hAnsi="Times New Roman;Times;serif"/>
          <w:sz w:val="20"/>
        </w:rPr>
        <w:t>state-licensed</w:t>
      </w:r>
      <w:r>
        <w:rPr>
          <w:rFonts w:ascii="Times New Roman;Times;serif" w:hAnsi="Times New Roman;Times;serif"/>
          <w:spacing w:val="-1"/>
          <w:sz w:val="20"/>
        </w:rPr>
        <w:t xml:space="preserve"> </w:t>
      </w:r>
      <w:r>
        <w:rPr>
          <w:rFonts w:ascii="Times New Roman;Times;serif" w:hAnsi="Times New Roman;Times;serif"/>
          <w:sz w:val="20"/>
        </w:rPr>
        <w:t>business</w:t>
      </w:r>
      <w:r>
        <w:rPr>
          <w:rFonts w:ascii="Times New Roman;Times;serif" w:hAnsi="Times New Roman;Times;serif"/>
          <w:spacing w:val="-3"/>
          <w:sz w:val="20"/>
        </w:rPr>
        <w:t xml:space="preserve"> </w:t>
      </w:r>
      <w:r>
        <w:rPr>
          <w:rFonts w:ascii="Times New Roman;Times;serif" w:hAnsi="Times New Roman;Times;serif"/>
          <w:sz w:val="20"/>
        </w:rPr>
        <w:t>would</w:t>
      </w:r>
      <w:r>
        <w:rPr>
          <w:rFonts w:ascii="Times New Roman;Times;serif" w:hAnsi="Times New Roman;Times;serif"/>
          <w:spacing w:val="-3"/>
          <w:sz w:val="20"/>
        </w:rPr>
        <w:t xml:space="preserve"> </w:t>
      </w:r>
      <w:r>
        <w:rPr>
          <w:rFonts w:ascii="Times New Roman;Times;serif" w:hAnsi="Times New Roman;Times;serif"/>
          <w:sz w:val="20"/>
        </w:rPr>
        <w:t>be</w:t>
      </w:r>
      <w:r>
        <w:rPr>
          <w:rFonts w:ascii="Times New Roman;Times;serif" w:hAnsi="Times New Roman;Times;serif"/>
          <w:spacing w:val="-4"/>
          <w:sz w:val="20"/>
        </w:rPr>
        <w:t xml:space="preserve"> </w:t>
      </w:r>
      <w:r>
        <w:rPr>
          <w:rFonts w:ascii="Times New Roman;Times;serif" w:hAnsi="Times New Roman;Times;serif"/>
          <w:sz w:val="20"/>
        </w:rPr>
        <w:t>a</w:t>
      </w:r>
      <w:r>
        <w:rPr>
          <w:rFonts w:ascii="Times New Roman;Times;serif" w:hAnsi="Times New Roman;Times;serif"/>
          <w:spacing w:val="-2"/>
          <w:sz w:val="20"/>
        </w:rPr>
        <w:t xml:space="preserve"> </w:t>
      </w:r>
      <w:r>
        <w:rPr>
          <w:rFonts w:ascii="Times New Roman;Times;serif" w:hAnsi="Times New Roman;Times;serif"/>
          <w:sz w:val="20"/>
        </w:rPr>
        <w:t>priority</w:t>
      </w:r>
      <w:r>
        <w:rPr>
          <w:rFonts w:ascii="Times New Roman;Times;serif" w:hAnsi="Times New Roman;Times;serif"/>
          <w:spacing w:val="-1"/>
          <w:sz w:val="20"/>
        </w:rPr>
        <w:t xml:space="preserve"> </w:t>
      </w:r>
      <w:r>
        <w:rPr>
          <w:rFonts w:ascii="Times New Roman;Times;serif" w:hAnsi="Times New Roman;Times;serif"/>
          <w:sz w:val="20"/>
        </w:rPr>
        <w:t>target</w:t>
      </w:r>
      <w:r>
        <w:rPr>
          <w:rFonts w:ascii="Times New Roman;Times;serif" w:hAnsi="Times New Roman;Times;serif"/>
          <w:spacing w:val="-2"/>
          <w:sz w:val="20"/>
        </w:rPr>
        <w:t xml:space="preserve"> </w:t>
      </w:r>
      <w:r>
        <w:rPr>
          <w:rFonts w:ascii="Times New Roman;Times;serif" w:hAnsi="Times New Roman;Times;serif"/>
          <w:sz w:val="20"/>
        </w:rPr>
        <w:t>of</w:t>
      </w:r>
      <w:r>
        <w:rPr>
          <w:rFonts w:ascii="Times New Roman;Times;serif" w:hAnsi="Times New Roman;Times;serif"/>
          <w:spacing w:val="-4"/>
          <w:sz w:val="20"/>
        </w:rPr>
        <w:t xml:space="preserve"> the </w:t>
      </w:r>
      <w:r>
        <w:rPr>
          <w:rFonts w:ascii="Times New Roman;Times;serif" w:hAnsi="Times New Roman;Times;serif"/>
          <w:sz w:val="20"/>
        </w:rPr>
        <w:t>DOJ resources,</w:t>
      </w:r>
      <w:r>
        <w:rPr>
          <w:rFonts w:ascii="Times New Roman;Times;serif" w:hAnsi="Times New Roman;Times;serif"/>
          <w:spacing w:val="-1"/>
          <w:sz w:val="20"/>
        </w:rPr>
        <w:t xml:space="preserve"> </w:t>
      </w:r>
      <w:r>
        <w:rPr>
          <w:rFonts w:ascii="Times New Roman;Times;serif" w:hAnsi="Times New Roman;Times;serif"/>
          <w:sz w:val="20"/>
        </w:rPr>
        <w:t>no</w:t>
      </w:r>
      <w:r>
        <w:rPr>
          <w:rFonts w:ascii="Times New Roman;Times;serif" w:hAnsi="Times New Roman;Times;serif"/>
          <w:spacing w:val="-1"/>
          <w:sz w:val="20"/>
        </w:rPr>
        <w:t xml:space="preserve"> </w:t>
      </w:r>
      <w:r>
        <w:rPr>
          <w:rFonts w:ascii="Times New Roman;Times;serif" w:hAnsi="Times New Roman;Times;serif"/>
          <w:sz w:val="20"/>
        </w:rPr>
        <w:t>formal</w:t>
      </w:r>
      <w:r>
        <w:rPr>
          <w:rFonts w:ascii="Times New Roman;Times;serif" w:hAnsi="Times New Roman;Times;serif"/>
          <w:spacing w:val="-2"/>
          <w:sz w:val="20"/>
        </w:rPr>
        <w:t xml:space="preserve"> </w:t>
      </w:r>
      <w:r>
        <w:rPr>
          <w:rFonts w:ascii="Times New Roman;Times;serif" w:hAnsi="Times New Roman;Times;serif"/>
          <w:sz w:val="20"/>
        </w:rPr>
        <w:t>enforcement</w:t>
      </w:r>
      <w:r>
        <w:rPr>
          <w:rFonts w:ascii="Times New Roman;Times;serif" w:hAnsi="Times New Roman;Times;serif"/>
          <w:spacing w:val="-2"/>
          <w:sz w:val="20"/>
        </w:rPr>
        <w:t xml:space="preserve"> </w:t>
      </w:r>
      <w:r>
        <w:rPr>
          <w:rFonts w:ascii="Times New Roman;Times;serif" w:hAnsi="Times New Roman;Times;serif"/>
          <w:sz w:val="20"/>
        </w:rPr>
        <w:t>policy</w:t>
      </w:r>
      <w:r>
        <w:rPr>
          <w:rFonts w:ascii="Times New Roman;Times;serif" w:hAnsi="Times New Roman;Times;serif"/>
          <w:spacing w:val="-3"/>
          <w:sz w:val="20"/>
        </w:rPr>
        <w:t xml:space="preserve"> </w:t>
      </w:r>
      <w:r>
        <w:rPr>
          <w:rFonts w:ascii="Times New Roman;Times;serif" w:hAnsi="Times New Roman;Times;serif"/>
          <w:sz w:val="20"/>
        </w:rPr>
        <w:t>has</w:t>
      </w:r>
      <w:r>
        <w:rPr>
          <w:rFonts w:ascii="Times New Roman;Times;serif" w:hAnsi="Times New Roman;Times;serif"/>
          <w:spacing w:val="-3"/>
          <w:sz w:val="20"/>
        </w:rPr>
        <w:t xml:space="preserve"> </w:t>
      </w:r>
      <w:r>
        <w:rPr>
          <w:rFonts w:ascii="Times New Roman;Times;serif" w:hAnsi="Times New Roman;Times;serif"/>
          <w:sz w:val="20"/>
        </w:rPr>
        <w:t>been</w:t>
      </w:r>
      <w:r>
        <w:rPr>
          <w:rFonts w:ascii="Times New Roman;Times;serif" w:hAnsi="Times New Roman;Times;serif"/>
          <w:spacing w:val="-1"/>
          <w:sz w:val="20"/>
        </w:rPr>
        <w:t xml:space="preserve"> </w:t>
      </w:r>
      <w:r>
        <w:rPr>
          <w:rFonts w:ascii="Times New Roman;Times;serif" w:hAnsi="Times New Roman;Times;serif"/>
          <w:sz w:val="20"/>
        </w:rPr>
        <w:t>issued</w:t>
      </w:r>
      <w:r>
        <w:rPr>
          <w:rFonts w:ascii="Times New Roman;Times;serif" w:hAnsi="Times New Roman;Times;serif"/>
          <w:spacing w:val="-2"/>
          <w:sz w:val="20"/>
        </w:rPr>
        <w:t xml:space="preserve"> </w:t>
      </w:r>
      <w:r>
        <w:rPr>
          <w:rFonts w:ascii="Times New Roman;Times;serif" w:hAnsi="Times New Roman;Times;serif"/>
          <w:sz w:val="20"/>
        </w:rPr>
        <w:t>to</w:t>
      </w:r>
      <w:r>
        <w:rPr>
          <w:rFonts w:ascii="Times New Roman;Times;serif" w:hAnsi="Times New Roman;Times;serif"/>
          <w:spacing w:val="4"/>
          <w:sz w:val="20"/>
        </w:rPr>
        <w:t xml:space="preserve"> </w:t>
      </w:r>
      <w:r>
        <w:rPr>
          <w:rFonts w:ascii="Times New Roman;Times;serif" w:hAnsi="Times New Roman;Times;serif"/>
          <w:sz w:val="20"/>
        </w:rPr>
        <w:t>date.</w:t>
      </w:r>
      <w:r>
        <w:rPr>
          <w:rFonts w:ascii="Times New Roman;Times;serif" w:hAnsi="Times New Roman;Times;serif"/>
          <w:spacing w:val="3"/>
          <w:sz w:val="20"/>
        </w:rPr>
        <w:t xml:space="preserve"> </w:t>
      </w:r>
      <w:r>
        <w:rPr>
          <w:rFonts w:ascii="Times New Roman;Times;serif" w:hAnsi="Times New Roman;Times;serif"/>
          <w:sz w:val="20"/>
        </w:rPr>
        <w:t>There</w:t>
      </w:r>
      <w:r>
        <w:rPr>
          <w:rFonts w:ascii="Times New Roman;Times;serif" w:hAnsi="Times New Roman;Times;serif"/>
          <w:spacing w:val="3"/>
          <w:sz w:val="20"/>
        </w:rPr>
        <w:t xml:space="preserve"> </w:t>
      </w:r>
      <w:r>
        <w:rPr>
          <w:rFonts w:ascii="Times New Roman;Times;serif" w:hAnsi="Times New Roman;Times;serif"/>
          <w:sz w:val="20"/>
        </w:rPr>
        <w:t>is</w:t>
      </w:r>
      <w:r>
        <w:rPr>
          <w:rFonts w:ascii="Times New Roman;Times;serif" w:hAnsi="Times New Roman;Times;serif"/>
          <w:spacing w:val="2"/>
          <w:sz w:val="20"/>
        </w:rPr>
        <w:t xml:space="preserve"> </w:t>
      </w:r>
      <w:r>
        <w:rPr>
          <w:rFonts w:ascii="Times New Roman;Times;serif" w:hAnsi="Times New Roman;Times;serif"/>
          <w:sz w:val="20"/>
        </w:rPr>
        <w:t>no</w:t>
      </w:r>
      <w:r>
        <w:rPr>
          <w:rFonts w:ascii="Times New Roman;Times;serif" w:hAnsi="Times New Roman;Times;serif"/>
          <w:spacing w:val="2"/>
          <w:sz w:val="20"/>
        </w:rPr>
        <w:t xml:space="preserve"> </w:t>
      </w:r>
      <w:r>
        <w:rPr>
          <w:rFonts w:ascii="Times New Roman;Times;serif" w:hAnsi="Times New Roman;Times;serif"/>
          <w:sz w:val="20"/>
        </w:rPr>
        <w:t>guarantee that</w:t>
      </w:r>
      <w:r>
        <w:rPr>
          <w:rFonts w:ascii="Times New Roman;Times;serif" w:hAnsi="Times New Roman;Times;serif"/>
          <w:spacing w:val="3"/>
          <w:sz w:val="20"/>
        </w:rPr>
        <w:t xml:space="preserve"> </w:t>
      </w:r>
      <w:r>
        <w:rPr>
          <w:rFonts w:ascii="Times New Roman;Times;serif" w:hAnsi="Times New Roman;Times;serif"/>
          <w:sz w:val="20"/>
        </w:rPr>
        <w:t>state</w:t>
      </w:r>
      <w:r>
        <w:rPr>
          <w:rFonts w:ascii="Times New Roman;Times;serif" w:hAnsi="Times New Roman;Times;serif"/>
          <w:spacing w:val="3"/>
          <w:sz w:val="20"/>
        </w:rPr>
        <w:t xml:space="preserve"> </w:t>
      </w:r>
      <w:r>
        <w:rPr>
          <w:rFonts w:ascii="Times New Roman;Times;serif" w:hAnsi="Times New Roman;Times;serif"/>
          <w:sz w:val="20"/>
        </w:rPr>
        <w:t>laws</w:t>
      </w:r>
      <w:r>
        <w:rPr>
          <w:rFonts w:ascii="Times New Roman;Times;serif" w:hAnsi="Times New Roman;Times;serif"/>
          <w:spacing w:val="4"/>
          <w:sz w:val="20"/>
        </w:rPr>
        <w:t xml:space="preserve"> </w:t>
      </w:r>
      <w:r>
        <w:rPr>
          <w:rFonts w:ascii="Times New Roman;Times;serif" w:hAnsi="Times New Roman;Times;serif"/>
          <w:sz w:val="20"/>
        </w:rPr>
        <w:t>legalizing</w:t>
      </w:r>
      <w:r>
        <w:rPr>
          <w:rFonts w:ascii="Times New Roman;Times;serif" w:hAnsi="Times New Roman;Times;serif"/>
          <w:spacing w:val="4"/>
          <w:sz w:val="20"/>
        </w:rPr>
        <w:t xml:space="preserve"> </w:t>
      </w:r>
      <w:r>
        <w:rPr>
          <w:rFonts w:ascii="Times New Roman;Times;serif" w:hAnsi="Times New Roman;Times;serif"/>
          <w:sz w:val="20"/>
        </w:rPr>
        <w:t>and</w:t>
      </w:r>
      <w:r>
        <w:rPr>
          <w:rFonts w:ascii="Times New Roman;Times;serif" w:hAnsi="Times New Roman;Times;serif"/>
          <w:spacing w:val="4"/>
          <w:sz w:val="20"/>
        </w:rPr>
        <w:t xml:space="preserve"> </w:t>
      </w:r>
      <w:r>
        <w:rPr>
          <w:rFonts w:ascii="Times New Roman;Times;serif" w:hAnsi="Times New Roman;Times;serif"/>
          <w:sz w:val="20"/>
        </w:rPr>
        <w:t>regulating</w:t>
      </w:r>
      <w:r>
        <w:rPr>
          <w:rFonts w:ascii="Times New Roman;Times;serif" w:hAnsi="Times New Roman;Times;serif"/>
          <w:spacing w:val="4"/>
          <w:sz w:val="20"/>
        </w:rPr>
        <w:t xml:space="preserve"> </w:t>
      </w:r>
      <w:r>
        <w:rPr>
          <w:rFonts w:ascii="Times New Roman;Times;serif" w:hAnsi="Times New Roman;Times;serif"/>
          <w:sz w:val="20"/>
        </w:rPr>
        <w:t>the</w:t>
      </w:r>
      <w:r>
        <w:rPr>
          <w:rFonts w:ascii="Times New Roman;Times;serif" w:hAnsi="Times New Roman;Times;serif"/>
          <w:spacing w:val="3"/>
          <w:sz w:val="20"/>
        </w:rPr>
        <w:t xml:space="preserve"> </w:t>
      </w:r>
      <w:r>
        <w:rPr>
          <w:rFonts w:ascii="Times New Roman;Times;serif" w:hAnsi="Times New Roman;Times;serif"/>
          <w:sz w:val="20"/>
        </w:rPr>
        <w:t>sale</w:t>
      </w:r>
      <w:r>
        <w:rPr>
          <w:rFonts w:ascii="Times New Roman;Times;serif" w:hAnsi="Times New Roman;Times;serif"/>
          <w:spacing w:val="3"/>
          <w:sz w:val="20"/>
        </w:rPr>
        <w:t xml:space="preserve"> </w:t>
      </w:r>
      <w:r>
        <w:rPr>
          <w:rFonts w:ascii="Times New Roman;Times;serif" w:hAnsi="Times New Roman;Times;serif"/>
          <w:sz w:val="20"/>
        </w:rPr>
        <w:t>and</w:t>
      </w:r>
      <w:r>
        <w:rPr>
          <w:rFonts w:ascii="Times New Roman;Times;serif" w:hAnsi="Times New Roman;Times;serif"/>
          <w:spacing w:val="4"/>
          <w:sz w:val="20"/>
        </w:rPr>
        <w:t xml:space="preserve"> </w:t>
      </w:r>
      <w:r>
        <w:rPr>
          <w:rFonts w:ascii="Times New Roman;Times;serif" w:hAnsi="Times New Roman;Times;serif"/>
          <w:sz w:val="20"/>
        </w:rPr>
        <w:t>use</w:t>
      </w:r>
      <w:r>
        <w:rPr>
          <w:rFonts w:ascii="Times New Roman;Times;serif" w:hAnsi="Times New Roman;Times;serif"/>
          <w:spacing w:val="3"/>
          <w:sz w:val="20"/>
        </w:rPr>
        <w:t xml:space="preserve"> </w:t>
      </w:r>
      <w:r>
        <w:rPr>
          <w:rFonts w:ascii="Times New Roman;Times;serif" w:hAnsi="Times New Roman;Times;serif"/>
          <w:sz w:val="20"/>
        </w:rPr>
        <w:t>of</w:t>
      </w:r>
      <w:r>
        <w:rPr>
          <w:rFonts w:ascii="Times New Roman;Times;serif" w:hAnsi="Times New Roman;Times;serif"/>
          <w:spacing w:val="4"/>
          <w:sz w:val="20"/>
        </w:rPr>
        <w:t xml:space="preserve"> </w:t>
      </w:r>
      <w:r>
        <w:rPr>
          <w:rFonts w:ascii="Times New Roman;Times;serif" w:hAnsi="Times New Roman;Times;serif"/>
          <w:sz w:val="20"/>
        </w:rPr>
        <w:t>cannabis</w:t>
      </w:r>
      <w:r>
        <w:rPr>
          <w:rFonts w:ascii="Times New Roman;Times;serif" w:hAnsi="Times New Roman;Times;serif"/>
          <w:spacing w:val="2"/>
          <w:sz w:val="20"/>
        </w:rPr>
        <w:t xml:space="preserve"> </w:t>
      </w:r>
      <w:r>
        <w:rPr>
          <w:rFonts w:ascii="Times New Roman;Times;serif" w:hAnsi="Times New Roman;Times;serif"/>
          <w:sz w:val="20"/>
        </w:rPr>
        <w:t>will</w:t>
      </w:r>
      <w:r>
        <w:rPr>
          <w:rFonts w:ascii="Times New Roman;Times;serif" w:hAnsi="Times New Roman;Times;serif"/>
          <w:spacing w:val="3"/>
          <w:sz w:val="20"/>
        </w:rPr>
        <w:t xml:space="preserve"> </w:t>
      </w:r>
      <w:r>
        <w:rPr>
          <w:rFonts w:ascii="Times New Roman;Times;serif" w:hAnsi="Times New Roman;Times;serif"/>
          <w:sz w:val="20"/>
        </w:rPr>
        <w:t>not</w:t>
      </w:r>
      <w:r>
        <w:rPr>
          <w:rFonts w:ascii="Times New Roman;Times;serif" w:hAnsi="Times New Roman;Times;serif"/>
          <w:spacing w:val="3"/>
          <w:sz w:val="20"/>
        </w:rPr>
        <w:t xml:space="preserve"> </w:t>
      </w:r>
      <w:r>
        <w:rPr>
          <w:rFonts w:ascii="Times New Roman;Times;serif" w:hAnsi="Times New Roman;Times;serif"/>
          <w:sz w:val="20"/>
        </w:rPr>
        <w:t>be</w:t>
      </w:r>
      <w:r>
        <w:rPr>
          <w:rFonts w:ascii="Times New Roman;Times;serif" w:hAnsi="Times New Roman;Times;serif"/>
          <w:spacing w:val="3"/>
          <w:sz w:val="20"/>
        </w:rPr>
        <w:t xml:space="preserve"> </w:t>
      </w:r>
      <w:r>
        <w:rPr>
          <w:rFonts w:ascii="Times New Roman;Times;serif" w:hAnsi="Times New Roman;Times;serif"/>
          <w:sz w:val="20"/>
        </w:rPr>
        <w:t>repealed</w:t>
      </w:r>
      <w:r>
        <w:rPr>
          <w:rFonts w:ascii="Times New Roman;Times;serif" w:hAnsi="Times New Roman;Times;serif"/>
          <w:spacing w:val="2"/>
          <w:sz w:val="20"/>
        </w:rPr>
        <w:t xml:space="preserve"> </w:t>
      </w:r>
      <w:r>
        <w:rPr>
          <w:rFonts w:ascii="Times New Roman;Times;serif" w:hAnsi="Times New Roman;Times;serif"/>
          <w:sz w:val="20"/>
        </w:rPr>
        <w:t>or</w:t>
      </w:r>
      <w:r>
        <w:rPr>
          <w:rFonts w:ascii="Times New Roman;Times;serif" w:hAnsi="Times New Roman;Times;serif"/>
          <w:spacing w:val="2"/>
          <w:sz w:val="20"/>
        </w:rPr>
        <w:t xml:space="preserve"> </w:t>
      </w:r>
      <w:r>
        <w:rPr>
          <w:rFonts w:ascii="Times New Roman;Times;serif" w:hAnsi="Times New Roman;Times;serif"/>
          <w:sz w:val="20"/>
        </w:rPr>
        <w:t>overturned,</w:t>
      </w:r>
      <w:r>
        <w:rPr>
          <w:rFonts w:ascii="Times New Roman;Times;serif" w:hAnsi="Times New Roman;Times;serif"/>
          <w:spacing w:val="-1"/>
          <w:sz w:val="20"/>
        </w:rPr>
        <w:t xml:space="preserve"> </w:t>
      </w:r>
      <w:r>
        <w:rPr>
          <w:rFonts w:ascii="Times New Roman;Times;serif" w:hAnsi="Times New Roman;Times;serif"/>
          <w:sz w:val="20"/>
        </w:rPr>
        <w:t>or that local governmental authorities will not limit the</w:t>
      </w:r>
      <w:r>
        <w:rPr>
          <w:rFonts w:ascii="Times New Roman;Times;serif" w:hAnsi="Times New Roman;Times;serif"/>
          <w:spacing w:val="-2"/>
          <w:sz w:val="20"/>
        </w:rPr>
        <w:t xml:space="preserve"> </w:t>
      </w:r>
      <w:r>
        <w:rPr>
          <w:rFonts w:ascii="Times New Roman;Times;serif" w:hAnsi="Times New Roman;Times;serif"/>
          <w:sz w:val="20"/>
        </w:rPr>
        <w:t>applicability</w:t>
      </w:r>
      <w:r>
        <w:rPr>
          <w:rFonts w:ascii="Times New Roman;Times;serif" w:hAnsi="Times New Roman;Times;serif"/>
          <w:spacing w:val="2"/>
          <w:sz w:val="20"/>
        </w:rPr>
        <w:t xml:space="preserve"> </w:t>
      </w:r>
      <w:r>
        <w:rPr>
          <w:rFonts w:ascii="Times New Roman;Times;serif" w:hAnsi="Times New Roman;Times;serif"/>
          <w:sz w:val="20"/>
        </w:rPr>
        <w:t>of state laws within</w:t>
      </w:r>
      <w:r>
        <w:rPr>
          <w:rFonts w:ascii="Times New Roman;Times;serif" w:hAnsi="Times New Roman;Times;serif"/>
          <w:spacing w:val="2"/>
          <w:sz w:val="20"/>
        </w:rPr>
        <w:t xml:space="preserve"> </w:t>
      </w:r>
      <w:r>
        <w:rPr>
          <w:rFonts w:ascii="Times New Roman;Times;serif" w:hAnsi="Times New Roman;Times;serif"/>
          <w:sz w:val="20"/>
        </w:rPr>
        <w:t>their respective jurisdictions.</w:t>
      </w:r>
      <w:r>
        <w:rPr>
          <w:rFonts w:ascii="Times New Roman;Times;serif" w:hAnsi="Times New Roman;Times;serif"/>
          <w:spacing w:val="-1"/>
          <w:sz w:val="20"/>
        </w:rPr>
        <w:t xml:space="preserve"> </w:t>
      </w:r>
      <w:r>
        <w:rPr>
          <w:rFonts w:ascii="Times New Roman;Times;serif" w:hAnsi="Times New Roman;Times;serif"/>
          <w:sz w:val="20"/>
        </w:rPr>
        <w:t>Unless and until</w:t>
      </w:r>
      <w:r>
        <w:rPr>
          <w:rFonts w:ascii="Times New Roman;Times;serif" w:hAnsi="Times New Roman;Times;serif"/>
          <w:spacing w:val="-2"/>
          <w:sz w:val="20"/>
        </w:rPr>
        <w:t xml:space="preserve"> </w:t>
      </w:r>
      <w:r>
        <w:rPr>
          <w:rFonts w:ascii="Times New Roman;Times;serif" w:hAnsi="Times New Roman;Times;serif"/>
          <w:sz w:val="20"/>
        </w:rPr>
        <w:t>the</w:t>
      </w:r>
      <w:r>
        <w:rPr>
          <w:rFonts w:ascii="Times New Roman;Times;serif" w:hAnsi="Times New Roman;Times;serif"/>
          <w:spacing w:val="-2"/>
          <w:sz w:val="20"/>
        </w:rPr>
        <w:t xml:space="preserve"> </w:t>
      </w:r>
      <w:r>
        <w:rPr>
          <w:rFonts w:ascii="Times New Roman;Times;serif" w:hAnsi="Times New Roman;Times;serif"/>
          <w:sz w:val="20"/>
        </w:rPr>
        <w:t>U.S.</w:t>
      </w:r>
      <w:r>
        <w:rPr>
          <w:rFonts w:ascii="Times New Roman;Times;serif" w:hAnsi="Times New Roman;Times;serif"/>
          <w:spacing w:val="-1"/>
          <w:sz w:val="20"/>
        </w:rPr>
        <w:t xml:space="preserve"> </w:t>
      </w:r>
      <w:r>
        <w:rPr>
          <w:rFonts w:ascii="Times New Roman;Times;serif" w:hAnsi="Times New Roman;Times;serif"/>
          <w:sz w:val="20"/>
        </w:rPr>
        <w:t>Congress</w:t>
      </w:r>
      <w:r>
        <w:rPr>
          <w:rFonts w:ascii="Times New Roman;Times;serif" w:hAnsi="Times New Roman;Times;serif"/>
          <w:spacing w:val="-3"/>
          <w:sz w:val="20"/>
        </w:rPr>
        <w:t xml:space="preserve"> </w:t>
      </w:r>
      <w:r>
        <w:rPr>
          <w:rFonts w:ascii="Times New Roman;Times;serif" w:hAnsi="Times New Roman;Times;serif"/>
          <w:sz w:val="20"/>
        </w:rPr>
        <w:t>amends</w:t>
      </w:r>
      <w:r>
        <w:rPr>
          <w:rFonts w:ascii="Times New Roman;Times;serif" w:hAnsi="Times New Roman;Times;serif"/>
          <w:spacing w:val="-3"/>
          <w:sz w:val="20"/>
        </w:rPr>
        <w:t xml:space="preserve"> </w:t>
      </w:r>
      <w:r>
        <w:rPr>
          <w:rFonts w:ascii="Times New Roman;Times;serif" w:hAnsi="Times New Roman;Times;serif"/>
          <w:sz w:val="20"/>
        </w:rPr>
        <w:t>the</w:t>
      </w:r>
      <w:r>
        <w:rPr>
          <w:rFonts w:ascii="Times New Roman;Times;serif" w:hAnsi="Times New Roman;Times;serif"/>
          <w:spacing w:val="-2"/>
          <w:sz w:val="20"/>
        </w:rPr>
        <w:t xml:space="preserve"> </w:t>
      </w:r>
      <w:r>
        <w:rPr>
          <w:rFonts w:ascii="Times New Roman;Times;serif" w:hAnsi="Times New Roman;Times;serif"/>
          <w:sz w:val="20"/>
        </w:rPr>
        <w:t>CSA</w:t>
      </w:r>
      <w:r>
        <w:rPr>
          <w:rFonts w:ascii="Times New Roman;Times;serif" w:hAnsi="Times New Roman;Times;serif"/>
          <w:spacing w:val="-2"/>
          <w:sz w:val="20"/>
        </w:rPr>
        <w:t xml:space="preserve"> </w:t>
      </w:r>
      <w:r>
        <w:rPr>
          <w:rFonts w:ascii="Times New Roman;Times;serif" w:hAnsi="Times New Roman;Times;serif"/>
          <w:sz w:val="20"/>
        </w:rPr>
        <w:t>with</w:t>
      </w:r>
      <w:r>
        <w:rPr>
          <w:rFonts w:ascii="Times New Roman;Times;serif" w:hAnsi="Times New Roman;Times;serif"/>
          <w:spacing w:val="-1"/>
          <w:sz w:val="20"/>
        </w:rPr>
        <w:t xml:space="preserve"> </w:t>
      </w:r>
      <w:r>
        <w:rPr>
          <w:rFonts w:ascii="Times New Roman;Times;serif" w:hAnsi="Times New Roman;Times;serif"/>
          <w:sz w:val="20"/>
        </w:rPr>
        <w:t>respect</w:t>
      </w:r>
      <w:r>
        <w:rPr>
          <w:rFonts w:ascii="Times New Roman;Times;serif" w:hAnsi="Times New Roman;Times;serif"/>
          <w:spacing w:val="-2"/>
          <w:sz w:val="20"/>
        </w:rPr>
        <w:t xml:space="preserve"> </w:t>
      </w:r>
      <w:r>
        <w:rPr>
          <w:rFonts w:ascii="Times New Roman;Times;serif" w:hAnsi="Times New Roman;Times;serif"/>
          <w:sz w:val="20"/>
        </w:rPr>
        <w:t>to</w:t>
      </w:r>
      <w:r>
        <w:rPr>
          <w:rFonts w:ascii="Times New Roman;Times;serif" w:hAnsi="Times New Roman;Times;serif"/>
          <w:spacing w:val="-1"/>
          <w:sz w:val="20"/>
        </w:rPr>
        <w:t xml:space="preserve"> </w:t>
      </w:r>
      <w:r>
        <w:rPr>
          <w:rFonts w:ascii="Times New Roman;Times;serif" w:hAnsi="Times New Roman;Times;serif"/>
          <w:sz w:val="20"/>
        </w:rPr>
        <w:t>cannabis</w:t>
      </w:r>
      <w:r>
        <w:rPr>
          <w:rFonts w:ascii="Times New Roman;Times;serif" w:hAnsi="Times New Roman;Times;serif"/>
          <w:spacing w:val="-3"/>
          <w:sz w:val="20"/>
        </w:rPr>
        <w:t xml:space="preserve"> </w:t>
      </w:r>
      <w:r>
        <w:rPr>
          <w:rFonts w:ascii="Times New Roman;Times;serif" w:hAnsi="Times New Roman;Times;serif"/>
          <w:sz w:val="20"/>
        </w:rPr>
        <w:t>(and</w:t>
      </w:r>
      <w:r>
        <w:rPr>
          <w:rFonts w:ascii="Times New Roman;Times;serif" w:hAnsi="Times New Roman;Times;serif"/>
          <w:spacing w:val="-1"/>
          <w:sz w:val="20"/>
        </w:rPr>
        <w:t xml:space="preserve"> </w:t>
      </w:r>
      <w:r>
        <w:rPr>
          <w:rFonts w:ascii="Times New Roman;Times;serif" w:hAnsi="Times New Roman;Times;serif"/>
          <w:sz w:val="20"/>
        </w:rPr>
        <w:t>as</w:t>
      </w:r>
      <w:r>
        <w:rPr>
          <w:rFonts w:ascii="Times New Roman;Times;serif" w:hAnsi="Times New Roman;Times;serif"/>
          <w:spacing w:val="-3"/>
          <w:sz w:val="20"/>
        </w:rPr>
        <w:t xml:space="preserve"> </w:t>
      </w:r>
      <w:r>
        <w:rPr>
          <w:rFonts w:ascii="Times New Roman;Times;serif" w:hAnsi="Times New Roman;Times;serif"/>
          <w:sz w:val="20"/>
        </w:rPr>
        <w:t>to</w:t>
      </w:r>
      <w:r>
        <w:rPr>
          <w:rFonts w:ascii="Times New Roman;Times;serif" w:hAnsi="Times New Roman;Times;serif"/>
          <w:spacing w:val="-1"/>
          <w:sz w:val="20"/>
        </w:rPr>
        <w:t xml:space="preserve"> </w:t>
      </w:r>
      <w:r>
        <w:rPr>
          <w:rFonts w:ascii="Times New Roman;Times;serif" w:hAnsi="Times New Roman;Times;serif"/>
          <w:sz w:val="20"/>
        </w:rPr>
        <w:t>the</w:t>
      </w:r>
      <w:r>
        <w:rPr>
          <w:rFonts w:ascii="Times New Roman;Times;serif" w:hAnsi="Times New Roman;Times;serif"/>
          <w:spacing w:val="-2"/>
          <w:sz w:val="20"/>
        </w:rPr>
        <w:t xml:space="preserve"> </w:t>
      </w:r>
      <w:r>
        <w:rPr>
          <w:rFonts w:ascii="Times New Roman;Times;serif" w:hAnsi="Times New Roman;Times;serif"/>
          <w:sz w:val="20"/>
        </w:rPr>
        <w:t>timing</w:t>
      </w:r>
      <w:r>
        <w:rPr>
          <w:rFonts w:ascii="Times New Roman;Times;serif" w:hAnsi="Times New Roman;Times;serif"/>
          <w:spacing w:val="-3"/>
          <w:sz w:val="20"/>
        </w:rPr>
        <w:t xml:space="preserve"> </w:t>
      </w:r>
      <w:r>
        <w:rPr>
          <w:rFonts w:ascii="Times New Roman;Times;serif" w:hAnsi="Times New Roman;Times;serif"/>
          <w:sz w:val="20"/>
        </w:rPr>
        <w:t>or</w:t>
      </w:r>
      <w:r>
        <w:rPr>
          <w:rFonts w:ascii="Times New Roman;Times;serif" w:hAnsi="Times New Roman;Times;serif"/>
          <w:spacing w:val="-1"/>
          <w:sz w:val="20"/>
        </w:rPr>
        <w:t xml:space="preserve"> </w:t>
      </w:r>
      <w:r>
        <w:rPr>
          <w:rFonts w:ascii="Times New Roman;Times;serif" w:hAnsi="Times New Roman;Times;serif"/>
          <w:sz w:val="20"/>
        </w:rPr>
        <w:t>scope</w:t>
      </w:r>
      <w:r>
        <w:rPr>
          <w:rFonts w:ascii="Times New Roman;Times;serif" w:hAnsi="Times New Roman;Times;serif"/>
          <w:spacing w:val="-4"/>
          <w:sz w:val="20"/>
        </w:rPr>
        <w:t xml:space="preserve"> </w:t>
      </w:r>
      <w:r>
        <w:rPr>
          <w:rFonts w:ascii="Times New Roman;Times;serif" w:hAnsi="Times New Roman;Times;serif"/>
          <w:sz w:val="20"/>
        </w:rPr>
        <w:t>of</w:t>
      </w:r>
      <w:r>
        <w:rPr>
          <w:rFonts w:ascii="Times New Roman;Times;serif" w:hAnsi="Times New Roman;Times;serif"/>
          <w:spacing w:val="-1"/>
          <w:sz w:val="20"/>
        </w:rPr>
        <w:t xml:space="preserve"> </w:t>
      </w:r>
      <w:r>
        <w:rPr>
          <w:rFonts w:ascii="Times New Roman;Times;serif" w:hAnsi="Times New Roman;Times;serif"/>
          <w:sz w:val="20"/>
        </w:rPr>
        <w:t>any</w:t>
      </w:r>
      <w:r>
        <w:rPr>
          <w:rFonts w:ascii="Times New Roman;Times;serif" w:hAnsi="Times New Roman;Times;serif"/>
          <w:spacing w:val="-1"/>
          <w:sz w:val="20"/>
        </w:rPr>
        <w:t xml:space="preserve"> </w:t>
      </w:r>
      <w:r>
        <w:rPr>
          <w:rFonts w:ascii="Times New Roman;Times;serif" w:hAnsi="Times New Roman;Times;serif"/>
          <w:sz w:val="20"/>
        </w:rPr>
        <w:t>such</w:t>
      </w:r>
      <w:r>
        <w:rPr>
          <w:rFonts w:ascii="Times New Roman;Times;serif" w:hAnsi="Times New Roman;Times;serif"/>
          <w:spacing w:val="-1"/>
          <w:sz w:val="20"/>
        </w:rPr>
        <w:t xml:space="preserve"> </w:t>
      </w:r>
      <w:r>
        <w:rPr>
          <w:rFonts w:ascii="Times New Roman;Times;serif" w:hAnsi="Times New Roman;Times;serif"/>
          <w:sz w:val="20"/>
        </w:rPr>
        <w:t>potential</w:t>
      </w:r>
      <w:r>
        <w:rPr>
          <w:rFonts w:ascii="Times New Roman;Times;serif" w:hAnsi="Times New Roman;Times;serif"/>
          <w:spacing w:val="-2"/>
          <w:sz w:val="20"/>
        </w:rPr>
        <w:t xml:space="preserve"> </w:t>
      </w:r>
      <w:r>
        <w:rPr>
          <w:rFonts w:ascii="Times New Roman;Times;serif" w:hAnsi="Times New Roman;Times;serif"/>
          <w:sz w:val="20"/>
        </w:rPr>
        <w:t>amendments</w:t>
      </w:r>
      <w:r>
        <w:rPr>
          <w:rFonts w:ascii="Times New Roman;Times;serif" w:hAnsi="Times New Roman;Times;serif"/>
          <w:spacing w:val="-3"/>
          <w:sz w:val="20"/>
        </w:rPr>
        <w:t xml:space="preserve"> </w:t>
      </w:r>
      <w:r>
        <w:rPr>
          <w:rFonts w:ascii="Times New Roman;Times;serif" w:hAnsi="Times New Roman;Times;serif"/>
          <w:sz w:val="20"/>
        </w:rPr>
        <w:t>there</w:t>
      </w:r>
      <w:r>
        <w:rPr>
          <w:rFonts w:ascii="Times New Roman;Times;serif" w:hAnsi="Times New Roman;Times;serif"/>
          <w:spacing w:val="-2"/>
          <w:sz w:val="20"/>
        </w:rPr>
        <w:t xml:space="preserve"> </w:t>
      </w:r>
      <w:r>
        <w:rPr>
          <w:rFonts w:ascii="Times New Roman;Times;serif" w:hAnsi="Times New Roman;Times;serif"/>
          <w:sz w:val="20"/>
        </w:rPr>
        <w:t>can</w:t>
      </w:r>
      <w:r>
        <w:rPr>
          <w:rFonts w:ascii="Times New Roman;Times;serif" w:hAnsi="Times New Roman;Times;serif"/>
          <w:spacing w:val="-2"/>
          <w:sz w:val="20"/>
        </w:rPr>
        <w:t xml:space="preserve"> </w:t>
      </w:r>
      <w:r>
        <w:rPr>
          <w:rFonts w:ascii="Times New Roman;Times;serif" w:hAnsi="Times New Roman;Times;serif"/>
          <w:sz w:val="20"/>
        </w:rPr>
        <w:t>be</w:t>
      </w:r>
      <w:r>
        <w:rPr>
          <w:rFonts w:ascii="Times New Roman;Times;serif" w:hAnsi="Times New Roman;Times;serif"/>
          <w:spacing w:val="-2"/>
          <w:sz w:val="20"/>
        </w:rPr>
        <w:t xml:space="preserve"> </w:t>
      </w:r>
      <w:r>
        <w:rPr>
          <w:rFonts w:ascii="Times New Roman;Times;serif" w:hAnsi="Times New Roman;Times;serif"/>
          <w:sz w:val="20"/>
        </w:rPr>
        <w:t>no</w:t>
      </w:r>
      <w:r>
        <w:rPr>
          <w:rFonts w:ascii="Times New Roman;Times;serif" w:hAnsi="Times New Roman;Times;serif"/>
          <w:spacing w:val="-1"/>
          <w:sz w:val="20"/>
        </w:rPr>
        <w:t xml:space="preserve"> </w:t>
      </w:r>
      <w:r>
        <w:rPr>
          <w:rFonts w:ascii="Times New Roman;Times;serif" w:hAnsi="Times New Roman;Times;serif"/>
          <w:sz w:val="20"/>
        </w:rPr>
        <w:t>assurance),</w:t>
      </w:r>
      <w:r>
        <w:rPr>
          <w:rFonts w:ascii="Times New Roman;Times;serif" w:hAnsi="Times New Roman;Times;serif"/>
          <w:spacing w:val="-1"/>
          <w:sz w:val="20"/>
        </w:rPr>
        <w:t xml:space="preserve"> </w:t>
      </w:r>
      <w:r>
        <w:rPr>
          <w:rFonts w:ascii="Times New Roman;Times;serif" w:hAnsi="Times New Roman;Times;serif"/>
          <w:sz w:val="20"/>
        </w:rPr>
        <w:t>there</w:t>
      </w:r>
      <w:r>
        <w:rPr>
          <w:rFonts w:ascii="Times New Roman;Times;serif" w:hAnsi="Times New Roman;Times;serif"/>
          <w:spacing w:val="-4"/>
          <w:sz w:val="20"/>
        </w:rPr>
        <w:t xml:space="preserve"> </w:t>
      </w:r>
      <w:r>
        <w:rPr>
          <w:rFonts w:ascii="Times New Roman;Times;serif" w:hAnsi="Times New Roman;Times;serif"/>
          <w:sz w:val="20"/>
        </w:rPr>
        <w:t>is</w:t>
      </w:r>
      <w:r>
        <w:rPr>
          <w:rFonts w:ascii="Times New Roman;Times;serif" w:hAnsi="Times New Roman;Times;serif"/>
          <w:spacing w:val="-3"/>
          <w:sz w:val="20"/>
        </w:rPr>
        <w:t xml:space="preserve"> </w:t>
      </w:r>
      <w:r>
        <w:rPr>
          <w:rFonts w:ascii="Times New Roman;Times;serif" w:hAnsi="Times New Roman;Times;serif"/>
          <w:sz w:val="20"/>
        </w:rPr>
        <w:t>a</w:t>
      </w:r>
      <w:r>
        <w:rPr>
          <w:rFonts w:ascii="Times New Roman;Times;serif" w:hAnsi="Times New Roman;Times;serif"/>
          <w:spacing w:val="-2"/>
          <w:sz w:val="20"/>
        </w:rPr>
        <w:t xml:space="preserve"> </w:t>
      </w:r>
      <w:r>
        <w:rPr>
          <w:rFonts w:ascii="Times New Roman;Times;serif" w:hAnsi="Times New Roman;Times;serif"/>
          <w:sz w:val="20"/>
        </w:rPr>
        <w:t>risk</w:t>
      </w:r>
      <w:r>
        <w:rPr>
          <w:rFonts w:ascii="Times New Roman;Times;serif" w:hAnsi="Times New Roman;Times;serif"/>
          <w:spacing w:val="-1"/>
          <w:sz w:val="20"/>
        </w:rPr>
        <w:t xml:space="preserve"> </w:t>
      </w:r>
      <w:r>
        <w:rPr>
          <w:rFonts w:ascii="Times New Roman;Times;serif" w:hAnsi="Times New Roman;Times;serif"/>
          <w:sz w:val="20"/>
        </w:rPr>
        <w:t>that</w:t>
      </w:r>
      <w:r>
        <w:rPr>
          <w:rFonts w:ascii="Times New Roman;Times;serif" w:hAnsi="Times New Roman;Times;serif"/>
          <w:spacing w:val="-2"/>
          <w:sz w:val="20"/>
        </w:rPr>
        <w:t xml:space="preserve"> </w:t>
      </w:r>
      <w:r>
        <w:rPr>
          <w:rFonts w:ascii="Times New Roman;Times;serif" w:hAnsi="Times New Roman;Times;serif"/>
          <w:sz w:val="20"/>
        </w:rPr>
        <w:t>federal</w:t>
      </w:r>
      <w:r>
        <w:rPr>
          <w:rFonts w:ascii="Times New Roman;Times;serif" w:hAnsi="Times New Roman;Times;serif"/>
          <w:spacing w:val="-2"/>
          <w:sz w:val="20"/>
        </w:rPr>
        <w:t xml:space="preserve"> </w:t>
      </w:r>
      <w:r>
        <w:rPr>
          <w:rFonts w:ascii="Times New Roman;Times;serif" w:hAnsi="Times New Roman;Times;serif"/>
          <w:sz w:val="20"/>
        </w:rPr>
        <w:t>authorities</w:t>
      </w:r>
      <w:r>
        <w:rPr>
          <w:rFonts w:ascii="Times New Roman;Times;serif" w:hAnsi="Times New Roman;Times;serif"/>
          <w:spacing w:val="-3"/>
          <w:sz w:val="20"/>
        </w:rPr>
        <w:t xml:space="preserve"> </w:t>
      </w:r>
      <w:r>
        <w:rPr>
          <w:rFonts w:ascii="Times New Roman;Times;serif" w:hAnsi="Times New Roman;Times;serif"/>
          <w:sz w:val="20"/>
        </w:rPr>
        <w:t>may</w:t>
      </w:r>
      <w:r>
        <w:rPr>
          <w:rFonts w:ascii="Times New Roman;Times;serif" w:hAnsi="Times New Roman;Times;serif"/>
          <w:spacing w:val="-3"/>
          <w:sz w:val="20"/>
        </w:rPr>
        <w:t xml:space="preserve"> </w:t>
      </w:r>
      <w:r>
        <w:rPr>
          <w:rFonts w:ascii="Times New Roman;Times;serif" w:hAnsi="Times New Roman;Times;serif"/>
          <w:sz w:val="20"/>
        </w:rPr>
        <w:t>enforce</w:t>
      </w:r>
      <w:r>
        <w:rPr>
          <w:rFonts w:ascii="Times New Roman;Times;serif" w:hAnsi="Times New Roman;Times;serif"/>
          <w:spacing w:val="-2"/>
          <w:sz w:val="20"/>
        </w:rPr>
        <w:t xml:space="preserve"> </w:t>
      </w:r>
      <w:r>
        <w:rPr>
          <w:rFonts w:ascii="Times New Roman;Times;serif" w:hAnsi="Times New Roman;Times;serif"/>
          <w:sz w:val="20"/>
        </w:rPr>
        <w:t>current</w:t>
      </w:r>
      <w:r>
        <w:rPr>
          <w:rFonts w:ascii="Times New Roman;Times;serif" w:hAnsi="Times New Roman;Times;serif"/>
          <w:spacing w:val="-2"/>
          <w:sz w:val="20"/>
        </w:rPr>
        <w:t xml:space="preserve"> </w:t>
      </w:r>
      <w:r>
        <w:rPr>
          <w:rFonts w:ascii="Times New Roman;Times;serif" w:hAnsi="Times New Roman;Times;serif"/>
          <w:sz w:val="20"/>
        </w:rPr>
        <w:t>U.S.</w:t>
      </w:r>
      <w:r>
        <w:rPr>
          <w:rFonts w:ascii="Times New Roman;Times;serif" w:hAnsi="Times New Roman;Times;serif"/>
          <w:spacing w:val="-1"/>
          <w:sz w:val="20"/>
        </w:rPr>
        <w:t xml:space="preserve"> </w:t>
      </w:r>
      <w:r>
        <w:rPr>
          <w:rFonts w:ascii="Times New Roman;Times;serif" w:hAnsi="Times New Roman;Times;serif"/>
          <w:sz w:val="20"/>
        </w:rPr>
        <w:t>federal</w:t>
      </w:r>
      <w:r>
        <w:rPr>
          <w:rFonts w:ascii="Times New Roman;Times;serif" w:hAnsi="Times New Roman;Times;serif"/>
          <w:spacing w:val="-2"/>
          <w:sz w:val="20"/>
        </w:rPr>
        <w:t xml:space="preserve"> </w:t>
      </w:r>
      <w:r>
        <w:rPr>
          <w:rFonts w:ascii="Times New Roman;Times;serif" w:hAnsi="Times New Roman;Times;serif"/>
          <w:sz w:val="20"/>
        </w:rPr>
        <w:t>law.</w:t>
      </w:r>
    </w:p>
    <w:p>
      <w:pPr>
        <w:pStyle w:val="TextBody"/>
        <w:spacing w:before="0" w:after="240"/>
        <w:ind w:left="0" w:right="115" w:hanging="0"/>
        <w:jc w:val="both"/>
        <w:rPr>
          <w:rFonts w:ascii="Times New Roman;Times;serif" w:hAnsi="Times New Roman;Times;serif"/>
          <w:sz w:val="20"/>
        </w:rPr>
      </w:pPr>
      <w:r>
        <w:rPr>
          <w:rFonts w:ascii="Times New Roman;Times;serif" w:hAnsi="Times New Roman;Times;serif"/>
          <w:sz w:val="20"/>
        </w:rPr>
        <w:t>As</w:t>
      </w:r>
      <w:r>
        <w:rPr>
          <w:rFonts w:ascii="Times New Roman;Times;serif" w:hAnsi="Times New Roman;Times;serif"/>
          <w:spacing w:val="30"/>
          <w:sz w:val="20"/>
        </w:rPr>
        <w:t xml:space="preserve"> </w:t>
      </w:r>
      <w:r>
        <w:rPr>
          <w:rFonts w:ascii="Times New Roman;Times;serif" w:hAnsi="Times New Roman;Times;serif"/>
          <w:sz w:val="20"/>
        </w:rPr>
        <w:t>an</w:t>
      </w:r>
      <w:r>
        <w:rPr>
          <w:rFonts w:ascii="Times New Roman;Times;serif" w:hAnsi="Times New Roman;Times;serif"/>
          <w:spacing w:val="31"/>
          <w:sz w:val="20"/>
        </w:rPr>
        <w:t xml:space="preserve"> </w:t>
      </w:r>
      <w:r>
        <w:rPr>
          <w:rFonts w:ascii="Times New Roman;Times;serif" w:hAnsi="Times New Roman;Times;serif"/>
          <w:sz w:val="20"/>
        </w:rPr>
        <w:t>industry</w:t>
      </w:r>
      <w:r>
        <w:rPr>
          <w:rFonts w:ascii="Times New Roman;Times;serif" w:hAnsi="Times New Roman;Times;serif"/>
          <w:spacing w:val="29"/>
          <w:sz w:val="20"/>
        </w:rPr>
        <w:t xml:space="preserve"> </w:t>
      </w:r>
      <w:r>
        <w:rPr>
          <w:rFonts w:ascii="Times New Roman;Times;serif" w:hAnsi="Times New Roman;Times;serif"/>
          <w:sz w:val="20"/>
        </w:rPr>
        <w:t>best</w:t>
      </w:r>
      <w:r>
        <w:rPr>
          <w:rFonts w:ascii="Times New Roman;Times;serif" w:hAnsi="Times New Roman;Times;serif"/>
          <w:spacing w:val="30"/>
          <w:sz w:val="20"/>
        </w:rPr>
        <w:t xml:space="preserve"> </w:t>
      </w:r>
      <w:r>
        <w:rPr>
          <w:rFonts w:ascii="Times New Roman;Times;serif" w:hAnsi="Times New Roman;Times;serif"/>
          <w:sz w:val="20"/>
        </w:rPr>
        <w:t>practice,</w:t>
      </w:r>
      <w:r>
        <w:rPr>
          <w:rFonts w:ascii="Times New Roman;Times;serif" w:hAnsi="Times New Roman;Times;serif"/>
          <w:spacing w:val="29"/>
          <w:sz w:val="20"/>
        </w:rPr>
        <w:t xml:space="preserve"> </w:t>
      </w:r>
      <w:r>
        <w:rPr>
          <w:rFonts w:ascii="Times New Roman;Times;serif" w:hAnsi="Times New Roman;Times;serif"/>
          <w:sz w:val="20"/>
        </w:rPr>
        <w:t>despite</w:t>
      </w:r>
      <w:r>
        <w:rPr>
          <w:rFonts w:ascii="Times New Roman;Times;serif" w:hAnsi="Times New Roman;Times;serif"/>
          <w:spacing w:val="31"/>
          <w:sz w:val="20"/>
        </w:rPr>
        <w:t xml:space="preserve"> </w:t>
      </w:r>
      <w:r>
        <w:rPr>
          <w:rFonts w:ascii="Times New Roman;Times;serif" w:hAnsi="Times New Roman;Times;serif"/>
          <w:sz w:val="20"/>
        </w:rPr>
        <w:t>the</w:t>
      </w:r>
      <w:r>
        <w:rPr>
          <w:rFonts w:ascii="Times New Roman;Times;serif" w:hAnsi="Times New Roman;Times;serif"/>
          <w:spacing w:val="31"/>
          <w:sz w:val="20"/>
        </w:rPr>
        <w:t xml:space="preserve"> </w:t>
      </w:r>
      <w:r>
        <w:rPr>
          <w:rFonts w:ascii="Times New Roman;Times;serif" w:hAnsi="Times New Roman;Times;serif"/>
          <w:sz w:val="20"/>
        </w:rPr>
        <w:t>rescission</w:t>
      </w:r>
      <w:r>
        <w:rPr>
          <w:rFonts w:ascii="Times New Roman;Times;serif" w:hAnsi="Times New Roman;Times;serif"/>
          <w:spacing w:val="33"/>
          <w:sz w:val="20"/>
        </w:rPr>
        <w:t xml:space="preserve"> </w:t>
      </w:r>
      <w:r>
        <w:rPr>
          <w:rFonts w:ascii="Times New Roman;Times;serif" w:hAnsi="Times New Roman;Times;serif"/>
          <w:sz w:val="20"/>
        </w:rPr>
        <w:t>of</w:t>
      </w:r>
      <w:r>
        <w:rPr>
          <w:rFonts w:ascii="Times New Roman;Times;serif" w:hAnsi="Times New Roman;Times;serif"/>
          <w:spacing w:val="29"/>
          <w:sz w:val="20"/>
        </w:rPr>
        <w:t xml:space="preserve"> </w:t>
      </w:r>
      <w:r>
        <w:rPr>
          <w:rFonts w:ascii="Times New Roman;Times;serif" w:hAnsi="Times New Roman;Times;serif"/>
          <w:sz w:val="20"/>
        </w:rPr>
        <w:t>the</w:t>
      </w:r>
      <w:r>
        <w:rPr>
          <w:rFonts w:ascii="Times New Roman;Times;serif" w:hAnsi="Times New Roman;Times;serif"/>
          <w:spacing w:val="28"/>
          <w:sz w:val="20"/>
        </w:rPr>
        <w:t xml:space="preserve"> </w:t>
      </w:r>
      <w:r>
        <w:rPr>
          <w:rFonts w:ascii="Times New Roman;Times;serif" w:hAnsi="Times New Roman;Times;serif"/>
          <w:sz w:val="20"/>
        </w:rPr>
        <w:t>Cole</w:t>
      </w:r>
      <w:r>
        <w:rPr>
          <w:rFonts w:ascii="Times New Roman;Times;serif" w:hAnsi="Times New Roman;Times;serif"/>
          <w:spacing w:val="31"/>
          <w:sz w:val="20"/>
        </w:rPr>
        <w:t xml:space="preserve"> </w:t>
      </w:r>
      <w:r>
        <w:rPr>
          <w:rFonts w:ascii="Times New Roman;Times;serif" w:hAnsi="Times New Roman;Times;serif"/>
          <w:sz w:val="20"/>
        </w:rPr>
        <w:t>Memorandum,</w:t>
      </w:r>
      <w:r>
        <w:rPr>
          <w:rFonts w:ascii="Times New Roman;Times;serif" w:hAnsi="Times New Roman;Times;serif"/>
          <w:spacing w:val="31"/>
          <w:sz w:val="20"/>
        </w:rPr>
        <w:t xml:space="preserve"> </w:t>
      </w:r>
      <w:r>
        <w:rPr>
          <w:rFonts w:ascii="Times New Roman;Times;serif" w:hAnsi="Times New Roman;Times;serif"/>
          <w:sz w:val="20"/>
        </w:rPr>
        <w:t>the</w:t>
      </w:r>
      <w:r>
        <w:rPr>
          <w:rFonts w:ascii="Times New Roman;Times;serif" w:hAnsi="Times New Roman;Times;serif"/>
          <w:spacing w:val="31"/>
          <w:sz w:val="20"/>
        </w:rPr>
        <w:t xml:space="preserve"> </w:t>
      </w:r>
      <w:r>
        <w:rPr>
          <w:rFonts w:ascii="Times New Roman;Times;serif" w:hAnsi="Times New Roman;Times;serif"/>
          <w:sz w:val="20"/>
        </w:rPr>
        <w:t>Company</w:t>
      </w:r>
      <w:r>
        <w:rPr>
          <w:rFonts w:ascii="Times New Roman;Times;serif" w:hAnsi="Times New Roman;Times;serif"/>
          <w:spacing w:val="31"/>
          <w:sz w:val="20"/>
        </w:rPr>
        <w:t xml:space="preserve"> </w:t>
      </w:r>
      <w:r>
        <w:rPr>
          <w:rFonts w:ascii="Times New Roman;Times;serif" w:hAnsi="Times New Roman;Times;serif"/>
          <w:sz w:val="20"/>
        </w:rPr>
        <w:t>abides</w:t>
      </w:r>
      <w:r>
        <w:rPr>
          <w:rFonts w:ascii="Times New Roman;Times;serif" w:hAnsi="Times New Roman;Times;serif"/>
          <w:spacing w:val="30"/>
          <w:sz w:val="20"/>
        </w:rPr>
        <w:t xml:space="preserve"> </w:t>
      </w:r>
      <w:r>
        <w:rPr>
          <w:rFonts w:ascii="Times New Roman;Times;serif" w:hAnsi="Times New Roman;Times;serif"/>
          <w:sz w:val="20"/>
        </w:rPr>
        <w:t>by</w:t>
      </w:r>
      <w:r>
        <w:rPr>
          <w:rFonts w:ascii="Times New Roman;Times;serif" w:hAnsi="Times New Roman;Times;serif"/>
          <w:spacing w:val="33"/>
          <w:sz w:val="20"/>
        </w:rPr>
        <w:t xml:space="preserve"> </w:t>
      </w:r>
      <w:r>
        <w:rPr>
          <w:rFonts w:ascii="Times New Roman;Times;serif" w:hAnsi="Times New Roman;Times;serif"/>
          <w:sz w:val="20"/>
        </w:rPr>
        <w:t>the</w:t>
      </w:r>
      <w:r>
        <w:rPr>
          <w:rFonts w:ascii="Times New Roman;Times;serif" w:hAnsi="Times New Roman;Times;serif"/>
          <w:spacing w:val="28"/>
          <w:sz w:val="20"/>
        </w:rPr>
        <w:t xml:space="preserve"> </w:t>
      </w:r>
      <w:r>
        <w:rPr>
          <w:rFonts w:ascii="Times New Roman;Times;serif" w:hAnsi="Times New Roman;Times;serif"/>
          <w:sz w:val="20"/>
        </w:rPr>
        <w:t>following</w:t>
      </w:r>
      <w:r>
        <w:rPr>
          <w:rFonts w:ascii="Times New Roman;Times;serif" w:hAnsi="Times New Roman;Times;serif"/>
          <w:spacing w:val="29"/>
          <w:sz w:val="20"/>
        </w:rPr>
        <w:t xml:space="preserve"> </w:t>
      </w:r>
      <w:r>
        <w:rPr>
          <w:rFonts w:ascii="Times New Roman;Times;serif" w:hAnsi="Times New Roman;Times;serif"/>
          <w:sz w:val="20"/>
        </w:rPr>
        <w:t>standard operating policies and procedures:</w:t>
      </w:r>
    </w:p>
    <w:tbl>
      <w:tblPr>
        <w:tblW w:w="10205" w:type="dxa"/>
        <w:jc w:val="left"/>
        <w:tblInd w:w="0" w:type="dxa"/>
        <w:tblCellMar>
          <w:top w:w="28" w:type="dxa"/>
          <w:left w:w="28" w:type="dxa"/>
          <w:bottom w:w="28" w:type="dxa"/>
          <w:right w:w="28" w:type="dxa"/>
        </w:tblCellMar>
      </w:tblPr>
      <w:tblGrid>
        <w:gridCol w:w="124"/>
        <w:gridCol w:w="235"/>
        <w:gridCol w:w="9691"/>
        <w:gridCol w:w="155"/>
      </w:tblGrid>
      <w:tr>
        <w:trPr/>
        <w:tc>
          <w:tcPr>
            <w:tcW w:w="124"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691"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Ensure</w:t>
            </w:r>
            <w:r>
              <w:rPr>
                <w:caps w:val="false"/>
                <w:smallCaps w:val="false"/>
                <w:spacing w:val="40"/>
              </w:rPr>
              <w:t xml:space="preserve"> </w:t>
            </w:r>
            <w:r>
              <w:rPr>
                <w:rFonts w:ascii="Times New Roman;Times;serif" w:hAnsi="Times New Roman;Times;serif"/>
                <w:b w:val="false"/>
                <w:i w:val="false"/>
                <w:caps w:val="false"/>
                <w:smallCaps w:val="false"/>
                <w:sz w:val="20"/>
              </w:rPr>
              <w:t>that</w:t>
            </w:r>
            <w:r>
              <w:rPr>
                <w:caps w:val="false"/>
                <w:smallCaps w:val="false"/>
                <w:spacing w:val="40"/>
              </w:rPr>
              <w:t xml:space="preserve"> </w:t>
            </w:r>
            <w:r>
              <w:rPr>
                <w:rFonts w:ascii="Times New Roman;Times;serif" w:hAnsi="Times New Roman;Times;serif"/>
                <w:b w:val="false"/>
                <w:i w:val="false"/>
                <w:caps w:val="false"/>
                <w:smallCaps w:val="false"/>
                <w:sz w:val="20"/>
              </w:rPr>
              <w:t>its</w:t>
            </w:r>
            <w:r>
              <w:rPr>
                <w:caps w:val="false"/>
                <w:smallCaps w:val="false"/>
                <w:spacing w:val="40"/>
              </w:rPr>
              <w:t xml:space="preserve"> </w:t>
            </w:r>
            <w:r>
              <w:rPr>
                <w:rFonts w:ascii="Times New Roman;Times;serif" w:hAnsi="Times New Roman;Times;serif"/>
                <w:b w:val="false"/>
                <w:i w:val="false"/>
                <w:caps w:val="false"/>
                <w:smallCaps w:val="false"/>
                <w:sz w:val="20"/>
              </w:rPr>
              <w:t>operations</w:t>
            </w:r>
            <w:r>
              <w:rPr>
                <w:caps w:val="false"/>
                <w:smallCaps w:val="false"/>
                <w:spacing w:val="40"/>
              </w:rPr>
              <w:t xml:space="preserve"> </w:t>
            </w:r>
            <w:r>
              <w:rPr>
                <w:rFonts w:ascii="Times New Roman;Times;serif" w:hAnsi="Times New Roman;Times;serif"/>
                <w:b w:val="false"/>
                <w:i w:val="false"/>
                <w:caps w:val="false"/>
                <w:smallCaps w:val="false"/>
                <w:sz w:val="20"/>
              </w:rPr>
              <w:t>are</w:t>
            </w:r>
            <w:r>
              <w:rPr>
                <w:caps w:val="false"/>
                <w:smallCaps w:val="false"/>
                <w:spacing w:val="40"/>
              </w:rPr>
              <w:t xml:space="preserve"> </w:t>
            </w:r>
            <w:r>
              <w:rPr>
                <w:rFonts w:ascii="Times New Roman;Times;serif" w:hAnsi="Times New Roman;Times;serif"/>
                <w:b w:val="false"/>
                <w:i w:val="false"/>
                <w:caps w:val="false"/>
                <w:smallCaps w:val="false"/>
                <w:sz w:val="20"/>
              </w:rPr>
              <w:t>compliant</w:t>
            </w:r>
            <w:r>
              <w:rPr>
                <w:caps w:val="false"/>
                <w:smallCaps w:val="false"/>
                <w:spacing w:val="40"/>
              </w:rPr>
              <w:t xml:space="preserve"> </w:t>
            </w:r>
            <w:r>
              <w:rPr>
                <w:rFonts w:ascii="Times New Roman;Times;serif" w:hAnsi="Times New Roman;Times;serif"/>
                <w:b w:val="false"/>
                <w:i w:val="false"/>
                <w:caps w:val="false"/>
                <w:smallCaps w:val="false"/>
                <w:sz w:val="20"/>
              </w:rPr>
              <w:t>with</w:t>
            </w:r>
            <w:r>
              <w:rPr>
                <w:caps w:val="false"/>
                <w:smallCaps w:val="false"/>
                <w:spacing w:val="40"/>
              </w:rPr>
              <w:t xml:space="preserve"> </w:t>
            </w:r>
            <w:r>
              <w:rPr>
                <w:rFonts w:ascii="Times New Roman;Times;serif" w:hAnsi="Times New Roman;Times;serif"/>
                <w:b w:val="false"/>
                <w:i w:val="false"/>
                <w:caps w:val="false"/>
                <w:smallCaps w:val="false"/>
                <w:sz w:val="20"/>
              </w:rPr>
              <w:t>all</w:t>
            </w:r>
            <w:r>
              <w:rPr>
                <w:caps w:val="false"/>
                <w:smallCaps w:val="false"/>
                <w:spacing w:val="40"/>
              </w:rPr>
              <w:t xml:space="preserve"> </w:t>
            </w:r>
            <w:r>
              <w:rPr>
                <w:rFonts w:ascii="Times New Roman;Times;serif" w:hAnsi="Times New Roman;Times;serif"/>
                <w:b w:val="false"/>
                <w:i w:val="false"/>
                <w:caps w:val="false"/>
                <w:smallCaps w:val="false"/>
                <w:sz w:val="20"/>
              </w:rPr>
              <w:t>licensing</w:t>
            </w:r>
            <w:r>
              <w:rPr>
                <w:caps w:val="false"/>
                <w:smallCaps w:val="false"/>
                <w:spacing w:val="40"/>
              </w:rPr>
              <w:t xml:space="preserve"> </w:t>
            </w:r>
            <w:r>
              <w:rPr>
                <w:rFonts w:ascii="Times New Roman;Times;serif" w:hAnsi="Times New Roman;Times;serif"/>
                <w:b w:val="false"/>
                <w:i w:val="false"/>
                <w:caps w:val="false"/>
                <w:smallCaps w:val="false"/>
                <w:sz w:val="20"/>
              </w:rPr>
              <w:t>requirements</w:t>
            </w:r>
            <w:r>
              <w:rPr>
                <w:caps w:val="false"/>
                <w:smallCaps w:val="false"/>
                <w:spacing w:val="40"/>
              </w:rPr>
              <w:t xml:space="preserve"> </w:t>
            </w:r>
            <w:r>
              <w:rPr>
                <w:rFonts w:ascii="Times New Roman;Times;serif" w:hAnsi="Times New Roman;Times;serif"/>
                <w:b w:val="false"/>
                <w:i w:val="false"/>
                <w:caps w:val="false"/>
                <w:smallCaps w:val="false"/>
                <w:sz w:val="20"/>
              </w:rPr>
              <w:t>as</w:t>
            </w:r>
            <w:r>
              <w:rPr>
                <w:caps w:val="false"/>
                <w:smallCaps w:val="false"/>
                <w:spacing w:val="40"/>
              </w:rPr>
              <w:t xml:space="preserve"> </w:t>
            </w:r>
            <w:r>
              <w:rPr>
                <w:rFonts w:ascii="Times New Roman;Times;serif" w:hAnsi="Times New Roman;Times;serif"/>
                <w:b w:val="false"/>
                <w:i w:val="false"/>
                <w:caps w:val="false"/>
                <w:smallCaps w:val="false"/>
                <w:sz w:val="20"/>
              </w:rPr>
              <w:t>established</w:t>
            </w:r>
            <w:r>
              <w:rPr>
                <w:caps w:val="false"/>
                <w:smallCaps w:val="false"/>
                <w:spacing w:val="40"/>
              </w:rPr>
              <w:t xml:space="preserve"> </w:t>
            </w:r>
            <w:r>
              <w:rPr>
                <w:rFonts w:ascii="Times New Roman;Times;serif" w:hAnsi="Times New Roman;Times;serif"/>
                <w:b w:val="false"/>
                <w:i w:val="false"/>
                <w:caps w:val="false"/>
                <w:smallCaps w:val="false"/>
                <w:sz w:val="20"/>
              </w:rPr>
              <w:t>by</w:t>
            </w:r>
            <w:r>
              <w:rPr>
                <w:caps w:val="false"/>
                <w:smallCaps w:val="false"/>
                <w:spacing w:val="40"/>
              </w:rPr>
              <w:t xml:space="preserve"> </w:t>
            </w:r>
            <w:r>
              <w:rPr>
                <w:rFonts w:ascii="Times New Roman;Times;serif" w:hAnsi="Times New Roman;Times;serif"/>
                <w:b w:val="false"/>
                <w:i w:val="false"/>
                <w:caps w:val="false"/>
                <w:smallCaps w:val="false"/>
                <w:sz w:val="20"/>
              </w:rPr>
              <w:t>the</w:t>
            </w:r>
            <w:r>
              <w:rPr>
                <w:caps w:val="false"/>
                <w:smallCaps w:val="false"/>
                <w:spacing w:val="40"/>
              </w:rPr>
              <w:t xml:space="preserve"> </w:t>
            </w:r>
            <w:r>
              <w:rPr>
                <w:rFonts w:ascii="Times New Roman;Times;serif" w:hAnsi="Times New Roman;Times;serif"/>
                <w:b w:val="false"/>
                <w:i w:val="false"/>
                <w:caps w:val="false"/>
                <w:smallCaps w:val="false"/>
                <w:sz w:val="20"/>
              </w:rPr>
              <w:t>applicable</w:t>
            </w:r>
            <w:r>
              <w:rPr>
                <w:caps w:val="false"/>
                <w:smallCaps w:val="false"/>
                <w:spacing w:val="40"/>
              </w:rPr>
              <w:t xml:space="preserve"> </w:t>
            </w:r>
            <w:r>
              <w:rPr>
                <w:rFonts w:ascii="Times New Roman;Times;serif" w:hAnsi="Times New Roman;Times;serif"/>
                <w:b w:val="false"/>
                <w:i w:val="false"/>
                <w:caps w:val="false"/>
                <w:smallCaps w:val="false"/>
                <w:sz w:val="20"/>
              </w:rPr>
              <w:t>state,</w:t>
            </w:r>
            <w:r>
              <w:rPr>
                <w:caps w:val="false"/>
                <w:smallCaps w:val="false"/>
                <w:spacing w:val="40"/>
              </w:rPr>
              <w:t xml:space="preserve"> </w:t>
            </w:r>
            <w:r>
              <w:rPr>
                <w:rFonts w:ascii="Times New Roman;Times;serif" w:hAnsi="Times New Roman;Times;serif"/>
                <w:b w:val="false"/>
                <w:i w:val="false"/>
                <w:caps w:val="false"/>
                <w:smallCaps w:val="false"/>
                <w:sz w:val="20"/>
              </w:rPr>
              <w:t>county, municipality, town, township, borough, and other political/administrative divisions;</w:t>
            </w:r>
          </w:p>
        </w:tc>
        <w:tc>
          <w:tcPr>
            <w:tcW w:w="155" w:type="dxa"/>
            <w:tcBorders/>
            <w:shd w:fill="auto" w:val="cle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24"/>
        <w:gridCol w:w="231"/>
        <w:gridCol w:w="9695"/>
        <w:gridCol w:w="155"/>
      </w:tblGrid>
      <w:tr>
        <w:trPr/>
        <w:tc>
          <w:tcPr>
            <w:tcW w:w="124"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69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Ensure</w:t>
            </w:r>
            <w:r>
              <w:rPr>
                <w:caps w:val="false"/>
                <w:smallCaps w:val="false"/>
                <w:spacing w:val="-8"/>
              </w:rPr>
              <w:t xml:space="preserve"> </w:t>
            </w:r>
            <w:r>
              <w:rPr>
                <w:rFonts w:ascii="Times New Roman;Times;serif" w:hAnsi="Times New Roman;Times;serif"/>
                <w:b w:val="false"/>
                <w:i w:val="false"/>
                <w:caps w:val="false"/>
                <w:smallCaps w:val="false"/>
                <w:sz w:val="20"/>
              </w:rPr>
              <w:t>that</w:t>
            </w:r>
            <w:r>
              <w:rPr>
                <w:caps w:val="false"/>
                <w:smallCaps w:val="false"/>
                <w:spacing w:val="-9"/>
              </w:rPr>
              <w:t xml:space="preserve"> </w:t>
            </w:r>
            <w:r>
              <w:rPr>
                <w:rFonts w:ascii="Times New Roman;Times;serif" w:hAnsi="Times New Roman;Times;serif"/>
                <w:b w:val="false"/>
                <w:i w:val="false"/>
                <w:caps w:val="false"/>
                <w:smallCaps w:val="false"/>
                <w:sz w:val="20"/>
              </w:rPr>
              <w:t>its</w:t>
            </w:r>
            <w:r>
              <w:rPr>
                <w:caps w:val="false"/>
                <w:smallCaps w:val="false"/>
                <w:spacing w:val="-9"/>
              </w:rPr>
              <w:t xml:space="preserve"> </w:t>
            </w:r>
            <w:r>
              <w:rPr>
                <w:rFonts w:ascii="Times New Roman;Times;serif" w:hAnsi="Times New Roman;Times;serif"/>
                <w:b w:val="false"/>
                <w:i w:val="false"/>
                <w:caps w:val="false"/>
                <w:smallCaps w:val="false"/>
                <w:sz w:val="20"/>
              </w:rPr>
              <w:t>cannabis</w:t>
            </w:r>
            <w:r>
              <w:rPr>
                <w:caps w:val="false"/>
                <w:smallCaps w:val="false"/>
                <w:spacing w:val="-9"/>
              </w:rPr>
              <w:t xml:space="preserve"> </w:t>
            </w:r>
            <w:r>
              <w:rPr>
                <w:rFonts w:ascii="Times New Roman;Times;serif" w:hAnsi="Times New Roman;Times;serif"/>
                <w:b w:val="false"/>
                <w:i w:val="false"/>
                <w:caps w:val="false"/>
                <w:smallCaps w:val="false"/>
                <w:sz w:val="20"/>
              </w:rPr>
              <w:t>related</w:t>
            </w:r>
            <w:r>
              <w:rPr>
                <w:caps w:val="false"/>
                <w:smallCaps w:val="false"/>
                <w:spacing w:val="-10"/>
              </w:rPr>
              <w:t xml:space="preserve"> </w:t>
            </w:r>
            <w:r>
              <w:rPr>
                <w:rFonts w:ascii="Times New Roman;Times;serif" w:hAnsi="Times New Roman;Times;serif"/>
                <w:b w:val="false"/>
                <w:i w:val="false"/>
                <w:caps w:val="false"/>
                <w:smallCaps w:val="false"/>
                <w:sz w:val="20"/>
              </w:rPr>
              <w:t>activities</w:t>
            </w:r>
            <w:r>
              <w:rPr>
                <w:caps w:val="false"/>
                <w:smallCaps w:val="false"/>
                <w:spacing w:val="-9"/>
              </w:rPr>
              <w:t xml:space="preserve"> </w:t>
            </w:r>
            <w:r>
              <w:rPr>
                <w:rFonts w:ascii="Times New Roman;Times;serif" w:hAnsi="Times New Roman;Times;serif"/>
                <w:b w:val="false"/>
                <w:i w:val="false"/>
                <w:caps w:val="false"/>
                <w:smallCaps w:val="false"/>
                <w:sz w:val="20"/>
              </w:rPr>
              <w:t>adhere</w:t>
            </w:r>
            <w:r>
              <w:rPr>
                <w:caps w:val="false"/>
                <w:smallCaps w:val="false"/>
                <w:spacing w:val="-8"/>
              </w:rPr>
              <w:t xml:space="preserve"> </w:t>
            </w:r>
            <w:r>
              <w:rPr>
                <w:rFonts w:ascii="Times New Roman;Times;serif" w:hAnsi="Times New Roman;Times;serif"/>
                <w:b w:val="false"/>
                <w:i w:val="false"/>
                <w:caps w:val="false"/>
                <w:smallCaps w:val="false"/>
                <w:sz w:val="20"/>
              </w:rPr>
              <w:t>to</w:t>
            </w:r>
            <w:r>
              <w:rPr>
                <w:caps w:val="false"/>
                <w:smallCaps w:val="false"/>
                <w:spacing w:val="-7"/>
              </w:rPr>
              <w:t xml:space="preserve"> </w:t>
            </w:r>
            <w:r>
              <w:rPr>
                <w:rFonts w:ascii="Times New Roman;Times;serif" w:hAnsi="Times New Roman;Times;serif"/>
                <w:b w:val="false"/>
                <w:i w:val="false"/>
                <w:caps w:val="false"/>
                <w:smallCaps w:val="false"/>
                <w:sz w:val="20"/>
              </w:rPr>
              <w:t>the</w:t>
            </w:r>
            <w:r>
              <w:rPr>
                <w:caps w:val="false"/>
                <w:smallCaps w:val="false"/>
                <w:spacing w:val="-11"/>
              </w:rPr>
              <w:t xml:space="preserve"> </w:t>
            </w:r>
            <w:r>
              <w:rPr>
                <w:rFonts w:ascii="Times New Roman;Times;serif" w:hAnsi="Times New Roman;Times;serif"/>
                <w:b w:val="false"/>
                <w:i w:val="false"/>
                <w:caps w:val="false"/>
                <w:smallCaps w:val="false"/>
                <w:sz w:val="20"/>
              </w:rPr>
              <w:t>scope</w:t>
            </w:r>
            <w:r>
              <w:rPr>
                <w:caps w:val="false"/>
                <w:smallCaps w:val="false"/>
                <w:spacing w:val="-11"/>
              </w:rPr>
              <w:t xml:space="preserve"> </w:t>
            </w:r>
            <w:r>
              <w:rPr>
                <w:rFonts w:ascii="Times New Roman;Times;serif" w:hAnsi="Times New Roman;Times;serif"/>
                <w:b w:val="false"/>
                <w:i w:val="false"/>
                <w:caps w:val="false"/>
                <w:smallCaps w:val="false"/>
                <w:sz w:val="20"/>
              </w:rPr>
              <w:t>of</w:t>
            </w:r>
            <w:r>
              <w:rPr>
                <w:caps w:val="false"/>
                <w:smallCaps w:val="false"/>
                <w:spacing w:val="-8"/>
              </w:rPr>
              <w:t xml:space="preserve"> </w:t>
            </w:r>
            <w:r>
              <w:rPr>
                <w:rFonts w:ascii="Times New Roman;Times;serif" w:hAnsi="Times New Roman;Times;serif"/>
                <w:b w:val="false"/>
                <w:i w:val="false"/>
                <w:caps w:val="false"/>
                <w:smallCaps w:val="false"/>
                <w:sz w:val="20"/>
              </w:rPr>
              <w:t>the</w:t>
            </w:r>
            <w:r>
              <w:rPr>
                <w:caps w:val="false"/>
                <w:smallCaps w:val="false"/>
                <w:spacing w:val="-8"/>
              </w:rPr>
              <w:t xml:space="preserve"> </w:t>
            </w:r>
            <w:r>
              <w:rPr>
                <w:rFonts w:ascii="Times New Roman;Times;serif" w:hAnsi="Times New Roman;Times;serif"/>
                <w:b w:val="false"/>
                <w:i w:val="false"/>
                <w:caps w:val="false"/>
                <w:smallCaps w:val="false"/>
                <w:sz w:val="20"/>
              </w:rPr>
              <w:t>licensing</w:t>
            </w:r>
            <w:r>
              <w:rPr>
                <w:caps w:val="false"/>
                <w:smallCaps w:val="false"/>
                <w:spacing w:val="-10"/>
              </w:rPr>
              <w:t xml:space="preserve"> </w:t>
            </w:r>
            <w:r>
              <w:rPr>
                <w:rFonts w:ascii="Times New Roman;Times;serif" w:hAnsi="Times New Roman;Times;serif"/>
                <w:b w:val="false"/>
                <w:i w:val="false"/>
                <w:caps w:val="false"/>
                <w:smallCaps w:val="false"/>
                <w:sz w:val="20"/>
              </w:rPr>
              <w:t>obtained</w:t>
            </w:r>
            <w:r>
              <w:rPr>
                <w:caps w:val="false"/>
                <w:smallCaps w:val="false"/>
                <w:spacing w:val="-10"/>
              </w:rPr>
              <w:t xml:space="preserve"> </w:t>
            </w:r>
            <w:r>
              <w:rPr>
                <w:rFonts w:ascii="Times New Roman;Times;serif" w:hAnsi="Times New Roman;Times;serif"/>
                <w:b w:val="false"/>
                <w:i w:val="false"/>
                <w:caps w:val="false"/>
                <w:smallCaps w:val="false"/>
                <w:sz w:val="20"/>
              </w:rPr>
              <w:t>(for</w:t>
            </w:r>
            <w:r>
              <w:rPr>
                <w:caps w:val="false"/>
                <w:smallCaps w:val="false"/>
                <w:spacing w:val="-10"/>
              </w:rPr>
              <w:t xml:space="preserve"> </w:t>
            </w:r>
            <w:r>
              <w:rPr>
                <w:rFonts w:ascii="Times New Roman;Times;serif" w:hAnsi="Times New Roman;Times;serif"/>
                <w:b w:val="false"/>
                <w:i w:val="false"/>
                <w:caps w:val="false"/>
                <w:smallCaps w:val="false"/>
                <w:sz w:val="20"/>
              </w:rPr>
              <w:t>example:</w:t>
            </w:r>
            <w:r>
              <w:rPr>
                <w:caps w:val="false"/>
                <w:smallCaps w:val="false"/>
                <w:spacing w:val="-9"/>
              </w:rPr>
              <w:t xml:space="preserve"> </w:t>
            </w:r>
            <w:r>
              <w:rPr>
                <w:rFonts w:ascii="Times New Roman;Times;serif" w:hAnsi="Times New Roman;Times;serif"/>
                <w:b w:val="false"/>
                <w:i w:val="false"/>
                <w:caps w:val="false"/>
                <w:smallCaps w:val="false"/>
                <w:sz w:val="20"/>
              </w:rPr>
              <w:t>in</w:t>
            </w:r>
            <w:r>
              <w:rPr>
                <w:caps w:val="false"/>
                <w:smallCaps w:val="false"/>
                <w:spacing w:val="-7"/>
              </w:rPr>
              <w:t xml:space="preserve"> </w:t>
            </w:r>
            <w:r>
              <w:rPr>
                <w:rFonts w:ascii="Times New Roman;Times;serif" w:hAnsi="Times New Roman;Times;serif"/>
                <w:b w:val="false"/>
                <w:i w:val="false"/>
                <w:caps w:val="false"/>
                <w:smallCaps w:val="false"/>
                <w:sz w:val="20"/>
              </w:rPr>
              <w:t>the</w:t>
            </w:r>
            <w:r>
              <w:rPr>
                <w:caps w:val="false"/>
                <w:smallCaps w:val="false"/>
                <w:spacing w:val="-11"/>
              </w:rPr>
              <w:t xml:space="preserve"> </w:t>
            </w:r>
            <w:r>
              <w:rPr>
                <w:rFonts w:ascii="Times New Roman;Times;serif" w:hAnsi="Times New Roman;Times;serif"/>
                <w:b w:val="false"/>
                <w:i w:val="false"/>
                <w:caps w:val="false"/>
                <w:smallCaps w:val="false"/>
                <w:sz w:val="20"/>
              </w:rPr>
              <w:t>states</w:t>
            </w:r>
            <w:r>
              <w:rPr>
                <w:caps w:val="false"/>
                <w:smallCaps w:val="false"/>
                <w:spacing w:val="-9"/>
              </w:rPr>
              <w:t xml:space="preserve"> </w:t>
            </w:r>
            <w:r>
              <w:rPr>
                <w:rFonts w:ascii="Times New Roman;Times;serif" w:hAnsi="Times New Roman;Times;serif"/>
                <w:b w:val="false"/>
                <w:i w:val="false"/>
                <w:caps w:val="false"/>
                <w:smallCaps w:val="false"/>
                <w:sz w:val="20"/>
              </w:rPr>
              <w:t>where</w:t>
            </w:r>
            <w:r>
              <w:rPr>
                <w:caps w:val="false"/>
                <w:smallCaps w:val="false"/>
                <w:spacing w:val="-8"/>
              </w:rPr>
              <w:t xml:space="preserve"> </w:t>
            </w:r>
            <w:r>
              <w:rPr>
                <w:rFonts w:ascii="Times New Roman;Times;serif" w:hAnsi="Times New Roman;Times;serif"/>
                <w:b w:val="false"/>
                <w:i w:val="false"/>
                <w:caps w:val="false"/>
                <w:smallCaps w:val="false"/>
                <w:sz w:val="20"/>
              </w:rPr>
              <w:t>cannabis is permitted only for adult-use, the products are</w:t>
            </w:r>
            <w:r>
              <w:rPr>
                <w:caps w:val="false"/>
                <w:smallCaps w:val="false"/>
                <w:spacing w:val="-1"/>
              </w:rPr>
              <w:t xml:space="preserve"> </w:t>
            </w:r>
            <w:r>
              <w:rPr>
                <w:rFonts w:ascii="Times New Roman;Times;serif" w:hAnsi="Times New Roman;Times;serif"/>
                <w:b w:val="false"/>
                <w:i w:val="false"/>
                <w:caps w:val="false"/>
                <w:smallCaps w:val="false"/>
                <w:sz w:val="20"/>
              </w:rPr>
              <w:t>only sold to individuals who meet the requisite age requirements);</w:t>
            </w:r>
          </w:p>
        </w:tc>
        <w:tc>
          <w:tcPr>
            <w:tcW w:w="155" w:type="dxa"/>
            <w:tcBorders/>
            <w:shd w:fill="auto" w:val="clear"/>
            <w:vAlign w:val="center"/>
          </w:tcPr>
          <w:p>
            <w:pPr>
              <w:pStyle w:val="TableContents"/>
              <w:spacing w:before="0" w:after="283"/>
              <w:rPr>
                <w:sz w:val="4"/>
                <w:szCs w:val="4"/>
              </w:rPr>
            </w:pPr>
            <w:r>
              <w:rPr>
                <w:sz w:val="4"/>
                <w:szCs w:val="4"/>
              </w:rPr>
            </w:r>
          </w:p>
        </w:tc>
      </w:tr>
    </w:tbl>
    <w:tbl>
      <w:tblPr>
        <w:tblW w:w="8530" w:type="dxa"/>
        <w:jc w:val="left"/>
        <w:tblInd w:w="0" w:type="dxa"/>
        <w:tblCellMar>
          <w:top w:w="28" w:type="dxa"/>
          <w:left w:w="28" w:type="dxa"/>
          <w:bottom w:w="28" w:type="dxa"/>
          <w:right w:w="28" w:type="dxa"/>
        </w:tblCellMar>
      </w:tblPr>
      <w:tblGrid>
        <w:gridCol w:w="124"/>
        <w:gridCol w:w="256"/>
        <w:gridCol w:w="7996"/>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79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 policies and procedures to ensure that cannabis products are not distributed to minors;</w:t>
            </w:r>
          </w:p>
        </w:tc>
        <w:tc>
          <w:tcPr>
            <w:tcW w:w="154" w:type="dxa"/>
            <w:tcBorders/>
            <w:shd w:fill="auto" w:val="clear"/>
            <w:vAlign w:val="center"/>
          </w:tcPr>
          <w:p>
            <w:pPr>
              <w:pStyle w:val="TableContents"/>
              <w:spacing w:before="0" w:after="283"/>
              <w:rPr>
                <w:sz w:val="4"/>
                <w:szCs w:val="4"/>
              </w:rPr>
            </w:pPr>
            <w:r>
              <w:rPr>
                <w:sz w:val="4"/>
                <w:szCs w:val="4"/>
              </w:rPr>
            </w:r>
          </w:p>
        </w:tc>
      </w:tr>
    </w:tbl>
    <w:tbl>
      <w:tblPr>
        <w:tblW w:w="9940" w:type="dxa"/>
        <w:jc w:val="left"/>
        <w:tblInd w:w="0" w:type="dxa"/>
        <w:tblCellMar>
          <w:top w:w="28" w:type="dxa"/>
          <w:left w:w="28" w:type="dxa"/>
          <w:bottom w:w="28" w:type="dxa"/>
          <w:right w:w="28" w:type="dxa"/>
        </w:tblCellMar>
      </w:tblPr>
      <w:tblGrid>
        <w:gridCol w:w="124"/>
        <w:gridCol w:w="256"/>
        <w:gridCol w:w="9406"/>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w:t>
            </w:r>
          </w:p>
        </w:tc>
        <w:tc>
          <w:tcPr>
            <w:tcW w:w="94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 policies and procedures to ensure that funds are not distributed to criminal enterprises, gangs, or cartels;</w:t>
            </w:r>
          </w:p>
        </w:tc>
        <w:tc>
          <w:tcPr>
            <w:tcW w:w="154" w:type="dxa"/>
            <w:tcBorders/>
            <w:shd w:fill="auto" w:val="cle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24"/>
        <w:gridCol w:w="227"/>
        <w:gridCol w:w="9699"/>
        <w:gridCol w:w="155"/>
      </w:tblGrid>
      <w:tr>
        <w:trPr/>
        <w:tc>
          <w:tcPr>
            <w:tcW w:w="124"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w:t>
            </w:r>
          </w:p>
        </w:tc>
        <w:tc>
          <w:tcPr>
            <w:tcW w:w="9699"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Implement</w:t>
            </w:r>
            <w:r>
              <w:rPr>
                <w:caps w:val="false"/>
                <w:smallCaps w:val="false"/>
                <w:spacing w:val="-12"/>
              </w:rPr>
              <w:t xml:space="preserve"> </w:t>
            </w:r>
            <w:r>
              <w:rPr>
                <w:rFonts w:ascii="Times New Roman;Times;serif" w:hAnsi="Times New Roman;Times;serif"/>
                <w:b w:val="false"/>
                <w:i w:val="false"/>
                <w:caps w:val="false"/>
                <w:smallCaps w:val="false"/>
                <w:sz w:val="20"/>
              </w:rPr>
              <w:t>an</w:t>
            </w:r>
            <w:r>
              <w:rPr>
                <w:caps w:val="false"/>
                <w:smallCaps w:val="false"/>
                <w:spacing w:val="-11"/>
              </w:rPr>
              <w:t xml:space="preserve"> </w:t>
            </w:r>
            <w:r>
              <w:rPr>
                <w:rFonts w:ascii="Times New Roman;Times;serif" w:hAnsi="Times New Roman;Times;serif"/>
                <w:b w:val="false"/>
                <w:i w:val="false"/>
                <w:caps w:val="false"/>
                <w:smallCaps w:val="false"/>
                <w:sz w:val="20"/>
              </w:rPr>
              <w:t>inventory</w:t>
            </w:r>
            <w:r>
              <w:rPr>
                <w:caps w:val="false"/>
                <w:smallCaps w:val="false"/>
                <w:spacing w:val="-11"/>
              </w:rPr>
              <w:t xml:space="preserve"> </w:t>
            </w:r>
            <w:r>
              <w:rPr>
                <w:rFonts w:ascii="Times New Roman;Times;serif" w:hAnsi="Times New Roman;Times;serif"/>
                <w:b w:val="false"/>
                <w:i w:val="false"/>
                <w:caps w:val="false"/>
                <w:smallCaps w:val="false"/>
                <w:sz w:val="20"/>
              </w:rPr>
              <w:t>tracking</w:t>
            </w:r>
            <w:r>
              <w:rPr>
                <w:caps w:val="false"/>
                <w:smallCaps w:val="false"/>
                <w:spacing w:val="-11"/>
              </w:rPr>
              <w:t xml:space="preserve"> </w:t>
            </w:r>
            <w:r>
              <w:rPr>
                <w:rFonts w:ascii="Times New Roman;Times;serif" w:hAnsi="Times New Roman;Times;serif"/>
                <w:b w:val="false"/>
                <w:i w:val="false"/>
                <w:caps w:val="false"/>
                <w:smallCaps w:val="false"/>
                <w:sz w:val="20"/>
              </w:rPr>
              <w:t>system</w:t>
            </w:r>
            <w:r>
              <w:rPr>
                <w:caps w:val="false"/>
                <w:smallCaps w:val="false"/>
                <w:spacing w:val="-11"/>
              </w:rPr>
              <w:t xml:space="preserve"> </w:t>
            </w:r>
            <w:r>
              <w:rPr>
                <w:rFonts w:ascii="Times New Roman;Times;serif" w:hAnsi="Times New Roman;Times;serif"/>
                <w:b w:val="false"/>
                <w:i w:val="false"/>
                <w:caps w:val="false"/>
                <w:smallCaps w:val="false"/>
                <w:sz w:val="20"/>
              </w:rPr>
              <w:t>and</w:t>
            </w:r>
            <w:r>
              <w:rPr>
                <w:caps w:val="false"/>
                <w:smallCaps w:val="false"/>
                <w:spacing w:val="-11"/>
              </w:rPr>
              <w:t xml:space="preserve"> </w:t>
            </w:r>
            <w:r>
              <w:rPr>
                <w:rFonts w:ascii="Times New Roman;Times;serif" w:hAnsi="Times New Roman;Times;serif"/>
                <w:b w:val="false"/>
                <w:i w:val="false"/>
                <w:caps w:val="false"/>
                <w:smallCaps w:val="false"/>
                <w:sz w:val="20"/>
              </w:rPr>
              <w:t>necessary</w:t>
            </w:r>
            <w:r>
              <w:rPr>
                <w:caps w:val="false"/>
                <w:smallCaps w:val="false"/>
                <w:spacing w:val="-13"/>
              </w:rPr>
              <w:t xml:space="preserve"> </w:t>
            </w:r>
            <w:r>
              <w:rPr>
                <w:rFonts w:ascii="Times New Roman;Times;serif" w:hAnsi="Times New Roman;Times;serif"/>
                <w:b w:val="false"/>
                <w:i w:val="false"/>
                <w:caps w:val="false"/>
                <w:smallCaps w:val="false"/>
                <w:sz w:val="20"/>
              </w:rPr>
              <w:t>procedures</w:t>
            </w:r>
            <w:r>
              <w:rPr>
                <w:caps w:val="false"/>
                <w:smallCaps w:val="false"/>
                <w:spacing w:val="-13"/>
              </w:rPr>
              <w:t xml:space="preserve"> </w:t>
            </w:r>
            <w:r>
              <w:rPr>
                <w:rFonts w:ascii="Times New Roman;Times;serif" w:hAnsi="Times New Roman;Times;serif"/>
                <w:b w:val="false"/>
                <w:i w:val="false"/>
                <w:caps w:val="false"/>
                <w:smallCaps w:val="false"/>
                <w:sz w:val="20"/>
              </w:rPr>
              <w:t>to</w:t>
            </w:r>
            <w:r>
              <w:rPr>
                <w:caps w:val="false"/>
                <w:smallCaps w:val="false"/>
                <w:spacing w:val="-11"/>
              </w:rPr>
              <w:t xml:space="preserve"> </w:t>
            </w:r>
            <w:r>
              <w:rPr>
                <w:rFonts w:ascii="Times New Roman;Times;serif" w:hAnsi="Times New Roman;Times;serif"/>
                <w:b w:val="false"/>
                <w:i w:val="false"/>
                <w:caps w:val="false"/>
                <w:smallCaps w:val="false"/>
                <w:sz w:val="20"/>
              </w:rPr>
              <w:t>ensure</w:t>
            </w:r>
            <w:r>
              <w:rPr>
                <w:caps w:val="false"/>
                <w:smallCaps w:val="false"/>
                <w:spacing w:val="-12"/>
              </w:rPr>
              <w:t xml:space="preserve"> </w:t>
            </w:r>
            <w:r>
              <w:rPr>
                <w:rFonts w:ascii="Times New Roman;Times;serif" w:hAnsi="Times New Roman;Times;serif"/>
                <w:b w:val="false"/>
                <w:i w:val="false"/>
                <w:caps w:val="false"/>
                <w:smallCaps w:val="false"/>
                <w:sz w:val="20"/>
              </w:rPr>
              <w:t>that</w:t>
            </w:r>
            <w:r>
              <w:rPr>
                <w:caps w:val="false"/>
                <w:smallCaps w:val="false"/>
                <w:spacing w:val="-15"/>
              </w:rPr>
              <w:t xml:space="preserve"> </w:t>
            </w:r>
            <w:r>
              <w:rPr>
                <w:rFonts w:ascii="Times New Roman;Times;serif" w:hAnsi="Times New Roman;Times;serif"/>
                <w:b w:val="false"/>
                <w:i w:val="false"/>
                <w:caps w:val="false"/>
                <w:smallCaps w:val="false"/>
                <w:sz w:val="20"/>
              </w:rPr>
              <w:t>such</w:t>
            </w:r>
            <w:r>
              <w:rPr>
                <w:caps w:val="false"/>
                <w:smallCaps w:val="false"/>
                <w:spacing w:val="-11"/>
              </w:rPr>
              <w:t xml:space="preserve"> </w:t>
            </w:r>
            <w:r>
              <w:rPr>
                <w:rFonts w:ascii="Times New Roman;Times;serif" w:hAnsi="Times New Roman;Times;serif"/>
                <w:b w:val="false"/>
                <w:i w:val="false"/>
                <w:caps w:val="false"/>
                <w:smallCaps w:val="false"/>
                <w:sz w:val="20"/>
              </w:rPr>
              <w:t>compliance</w:t>
            </w:r>
            <w:r>
              <w:rPr>
                <w:caps w:val="false"/>
                <w:smallCaps w:val="false"/>
                <w:spacing w:val="-12"/>
              </w:rPr>
              <w:t xml:space="preserve"> </w:t>
            </w:r>
            <w:r>
              <w:rPr>
                <w:rFonts w:ascii="Times New Roman;Times;serif" w:hAnsi="Times New Roman;Times;serif"/>
                <w:b w:val="false"/>
                <w:i w:val="false"/>
                <w:caps w:val="false"/>
                <w:smallCaps w:val="false"/>
                <w:sz w:val="20"/>
              </w:rPr>
              <w:t>system</w:t>
            </w:r>
            <w:r>
              <w:rPr>
                <w:caps w:val="false"/>
                <w:smallCaps w:val="false"/>
                <w:spacing w:val="-11"/>
              </w:rPr>
              <w:t xml:space="preserve"> </w:t>
            </w:r>
            <w:r>
              <w:rPr>
                <w:rFonts w:ascii="Times New Roman;Times;serif" w:hAnsi="Times New Roman;Times;serif"/>
                <w:b w:val="false"/>
                <w:i w:val="false"/>
                <w:caps w:val="false"/>
                <w:smallCaps w:val="false"/>
                <w:sz w:val="20"/>
              </w:rPr>
              <w:t>is</w:t>
            </w:r>
            <w:r>
              <w:rPr>
                <w:caps w:val="false"/>
                <w:smallCaps w:val="false"/>
                <w:spacing w:val="-13"/>
              </w:rPr>
              <w:t xml:space="preserve"> </w:t>
            </w:r>
            <w:r>
              <w:rPr>
                <w:rFonts w:ascii="Times New Roman;Times;serif" w:hAnsi="Times New Roman;Times;serif"/>
                <w:b w:val="false"/>
                <w:i w:val="false"/>
                <w:caps w:val="false"/>
                <w:smallCaps w:val="false"/>
                <w:sz w:val="20"/>
              </w:rPr>
              <w:t>effective</w:t>
            </w:r>
            <w:r>
              <w:rPr>
                <w:caps w:val="false"/>
                <w:smallCaps w:val="false"/>
                <w:spacing w:val="-12"/>
              </w:rPr>
              <w:t xml:space="preserve"> </w:t>
            </w:r>
            <w:r>
              <w:rPr>
                <w:rFonts w:ascii="Times New Roman;Times;serif" w:hAnsi="Times New Roman;Times;serif"/>
                <w:b w:val="false"/>
                <w:i w:val="false"/>
                <w:caps w:val="false"/>
                <w:smallCaps w:val="false"/>
                <w:sz w:val="20"/>
              </w:rPr>
              <w:t>in</w:t>
            </w:r>
            <w:r>
              <w:rPr>
                <w:caps w:val="false"/>
                <w:smallCaps w:val="false"/>
                <w:spacing w:val="-11"/>
              </w:rPr>
              <w:t xml:space="preserve"> </w:t>
            </w:r>
            <w:r>
              <w:rPr>
                <w:rFonts w:ascii="Times New Roman;Times;serif" w:hAnsi="Times New Roman;Times;serif"/>
                <w:b w:val="false"/>
                <w:i w:val="false"/>
                <w:caps w:val="false"/>
                <w:smallCaps w:val="false"/>
                <w:sz w:val="20"/>
              </w:rPr>
              <w:t>tracking inventory and preventing</w:t>
            </w:r>
            <w:r>
              <w:rPr>
                <w:caps w:val="false"/>
                <w:smallCaps w:val="false"/>
                <w:spacing w:val="-1"/>
              </w:rPr>
              <w:t xml:space="preserve"> </w:t>
            </w:r>
            <w:r>
              <w:rPr>
                <w:rFonts w:ascii="Times New Roman;Times;serif" w:hAnsi="Times New Roman;Times;serif"/>
                <w:b w:val="false"/>
                <w:i w:val="false"/>
                <w:caps w:val="false"/>
                <w:smallCaps w:val="false"/>
                <w:sz w:val="20"/>
              </w:rPr>
              <w:t>diversion of cannabis</w:t>
            </w:r>
            <w:r>
              <w:rPr>
                <w:caps w:val="false"/>
                <w:smallCaps w:val="false"/>
                <w:spacing w:val="-1"/>
              </w:rPr>
              <w:t xml:space="preserve"> </w:t>
            </w:r>
            <w:r>
              <w:rPr>
                <w:rFonts w:ascii="Times New Roman;Times;serif" w:hAnsi="Times New Roman;Times;serif"/>
                <w:b w:val="false"/>
                <w:i w:val="false"/>
                <w:caps w:val="false"/>
                <w:smallCaps w:val="false"/>
                <w:sz w:val="20"/>
              </w:rPr>
              <w:t>or cannabis</w:t>
            </w:r>
            <w:r>
              <w:rPr>
                <w:caps w:val="false"/>
                <w:smallCaps w:val="false"/>
                <w:spacing w:val="-1"/>
              </w:rPr>
              <w:t xml:space="preserve"> </w:t>
            </w:r>
            <w:r>
              <w:rPr>
                <w:rFonts w:ascii="Times New Roman;Times;serif" w:hAnsi="Times New Roman;Times;serif"/>
                <w:b w:val="false"/>
                <w:i w:val="false"/>
                <w:caps w:val="false"/>
                <w:smallCaps w:val="false"/>
                <w:sz w:val="20"/>
              </w:rPr>
              <w:t>products</w:t>
            </w:r>
            <w:r>
              <w:rPr>
                <w:caps w:val="false"/>
                <w:smallCaps w:val="false"/>
                <w:spacing w:val="-1"/>
              </w:rPr>
              <w:t xml:space="preserve"> </w:t>
            </w:r>
            <w:r>
              <w:rPr>
                <w:rFonts w:ascii="Times New Roman;Times;serif" w:hAnsi="Times New Roman;Times;serif"/>
                <w:b w:val="false"/>
                <w:i w:val="false"/>
                <w:caps w:val="false"/>
                <w:smallCaps w:val="false"/>
                <w:sz w:val="20"/>
              </w:rPr>
              <w:t>into those states where cannabis</w:t>
            </w:r>
            <w:r>
              <w:rPr>
                <w:caps w:val="false"/>
                <w:smallCaps w:val="false"/>
                <w:spacing w:val="-1"/>
              </w:rPr>
              <w:t xml:space="preserve"> </w:t>
            </w:r>
            <w:r>
              <w:rPr>
                <w:rFonts w:ascii="Times New Roman;Times;serif" w:hAnsi="Times New Roman;Times;serif"/>
                <w:b w:val="false"/>
                <w:i w:val="false"/>
                <w:caps w:val="false"/>
                <w:smallCaps w:val="false"/>
                <w:sz w:val="20"/>
              </w:rPr>
              <w:t>is</w:t>
            </w:r>
            <w:r>
              <w:rPr>
                <w:caps w:val="false"/>
                <w:smallCaps w:val="false"/>
                <w:spacing w:val="-1"/>
              </w:rPr>
              <w:t xml:space="preserve"> </w:t>
            </w:r>
            <w:r>
              <w:rPr>
                <w:rFonts w:ascii="Times New Roman;Times;serif" w:hAnsi="Times New Roman;Times;serif"/>
                <w:b w:val="false"/>
                <w:i w:val="false"/>
                <w:caps w:val="false"/>
                <w:smallCaps w:val="false"/>
                <w:sz w:val="20"/>
              </w:rPr>
              <w:t>not permitted by state law, or across</w:t>
            </w:r>
            <w:r>
              <w:rPr>
                <w:caps w:val="false"/>
                <w:smallCaps w:val="false"/>
                <w:spacing w:val="-1"/>
              </w:rPr>
              <w:t xml:space="preserve"> </w:t>
            </w:r>
            <w:r>
              <w:rPr>
                <w:rFonts w:ascii="Times New Roman;Times;serif" w:hAnsi="Times New Roman;Times;serif"/>
                <w:b w:val="false"/>
                <w:i w:val="false"/>
                <w:caps w:val="false"/>
                <w:smallCaps w:val="false"/>
                <w:sz w:val="20"/>
              </w:rPr>
              <w:t>any state lines</w:t>
            </w:r>
            <w:r>
              <w:rPr>
                <w:caps w:val="false"/>
                <w:smallCaps w:val="false"/>
                <w:spacing w:val="-1"/>
              </w:rPr>
              <w:t xml:space="preserve"> </w:t>
            </w:r>
            <w:r>
              <w:rPr>
                <w:rFonts w:ascii="Times New Roman;Times;serif" w:hAnsi="Times New Roman;Times;serif"/>
                <w:b w:val="false"/>
                <w:i w:val="false"/>
                <w:caps w:val="false"/>
                <w:smallCaps w:val="false"/>
                <w:sz w:val="20"/>
              </w:rPr>
              <w:t>in general;</w:t>
            </w:r>
          </w:p>
        </w:tc>
        <w:tc>
          <w:tcPr>
            <w:tcW w:w="155" w:type="dxa"/>
            <w:tcBorders/>
            <w:shd w:fill="auto" w:val="cle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24"/>
        <w:gridCol w:w="229"/>
        <w:gridCol w:w="9697"/>
        <w:gridCol w:w="155"/>
      </w:tblGrid>
      <w:tr>
        <w:trPr/>
        <w:tc>
          <w:tcPr>
            <w:tcW w:w="124"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6.</w:t>
            </w:r>
          </w:p>
        </w:tc>
        <w:tc>
          <w:tcPr>
            <w:tcW w:w="9697"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Ensure</w:t>
            </w:r>
            <w:r>
              <w:rPr>
                <w:caps w:val="false"/>
                <w:smallCaps w:val="false"/>
                <w:spacing w:val="-6"/>
              </w:rPr>
              <w:t xml:space="preserve"> </w:t>
            </w:r>
            <w:r>
              <w:rPr>
                <w:rFonts w:ascii="Times New Roman;Times;serif" w:hAnsi="Times New Roman;Times;serif"/>
                <w:b w:val="false"/>
                <w:i w:val="false"/>
                <w:caps w:val="false"/>
                <w:smallCaps w:val="false"/>
                <w:sz w:val="20"/>
              </w:rPr>
              <w:t>that</w:t>
            </w:r>
            <w:r>
              <w:rPr>
                <w:caps w:val="false"/>
                <w:smallCaps w:val="false"/>
                <w:spacing w:val="-6"/>
              </w:rPr>
              <w:t xml:space="preserve"> </w:t>
            </w:r>
            <w:r>
              <w:rPr>
                <w:rFonts w:ascii="Times New Roman;Times;serif" w:hAnsi="Times New Roman;Times;serif"/>
                <w:b w:val="false"/>
                <w:i w:val="false"/>
                <w:caps w:val="false"/>
                <w:smallCaps w:val="false"/>
                <w:sz w:val="20"/>
              </w:rPr>
              <w:t>its</w:t>
            </w:r>
            <w:r>
              <w:rPr>
                <w:caps w:val="false"/>
                <w:smallCaps w:val="false"/>
                <w:spacing w:val="-7"/>
              </w:rPr>
              <w:t xml:space="preserve"> </w:t>
            </w:r>
            <w:r>
              <w:rPr>
                <w:rFonts w:ascii="Times New Roman;Times;serif" w:hAnsi="Times New Roman;Times;serif"/>
                <w:b w:val="false"/>
                <w:i w:val="false"/>
                <w:caps w:val="false"/>
                <w:smallCaps w:val="false"/>
                <w:sz w:val="20"/>
              </w:rPr>
              <w:t>state-authorized</w:t>
            </w:r>
            <w:r>
              <w:rPr>
                <w:caps w:val="false"/>
                <w:smallCaps w:val="false"/>
                <w:spacing w:val="-7"/>
              </w:rPr>
              <w:t xml:space="preserve"> </w:t>
            </w:r>
            <w:r>
              <w:rPr>
                <w:rFonts w:ascii="Times New Roman;Times;serif" w:hAnsi="Times New Roman;Times;serif"/>
                <w:b w:val="false"/>
                <w:i w:val="false"/>
                <w:caps w:val="false"/>
                <w:smallCaps w:val="false"/>
                <w:sz w:val="20"/>
              </w:rPr>
              <w:t>cannabis</w:t>
            </w:r>
            <w:r>
              <w:rPr>
                <w:caps w:val="false"/>
                <w:smallCaps w:val="false"/>
                <w:spacing w:val="-9"/>
              </w:rPr>
              <w:t xml:space="preserve"> </w:t>
            </w:r>
            <w:r>
              <w:rPr>
                <w:rFonts w:ascii="Times New Roman;Times;serif" w:hAnsi="Times New Roman;Times;serif"/>
                <w:b w:val="false"/>
                <w:i w:val="false"/>
                <w:caps w:val="false"/>
                <w:smallCaps w:val="false"/>
                <w:sz w:val="20"/>
              </w:rPr>
              <w:t>business</w:t>
            </w:r>
            <w:r>
              <w:rPr>
                <w:caps w:val="false"/>
                <w:smallCaps w:val="false"/>
                <w:spacing w:val="-7"/>
              </w:rPr>
              <w:t xml:space="preserve"> </w:t>
            </w:r>
            <w:r>
              <w:rPr>
                <w:rFonts w:ascii="Times New Roman;Times;serif" w:hAnsi="Times New Roman;Times;serif"/>
                <w:b w:val="false"/>
                <w:i w:val="false"/>
                <w:caps w:val="false"/>
                <w:smallCaps w:val="false"/>
                <w:sz w:val="20"/>
              </w:rPr>
              <w:t>activity</w:t>
            </w:r>
            <w:r>
              <w:rPr>
                <w:caps w:val="false"/>
                <w:smallCaps w:val="false"/>
                <w:spacing w:val="-5"/>
              </w:rPr>
              <w:t xml:space="preserve"> </w:t>
            </w:r>
            <w:r>
              <w:rPr>
                <w:rFonts w:ascii="Times New Roman;Times;serif" w:hAnsi="Times New Roman;Times;serif"/>
                <w:b w:val="false"/>
                <w:i w:val="false"/>
                <w:caps w:val="false"/>
                <w:smallCaps w:val="false"/>
                <w:sz w:val="20"/>
              </w:rPr>
              <w:t>is</w:t>
            </w:r>
            <w:r>
              <w:rPr>
                <w:caps w:val="false"/>
                <w:smallCaps w:val="false"/>
                <w:spacing w:val="-7"/>
              </w:rPr>
              <w:t xml:space="preserve"> </w:t>
            </w:r>
            <w:r>
              <w:rPr>
                <w:rFonts w:ascii="Times New Roman;Times;serif" w:hAnsi="Times New Roman;Times;serif"/>
                <w:b w:val="false"/>
                <w:i w:val="false"/>
                <w:caps w:val="false"/>
                <w:smallCaps w:val="false"/>
                <w:sz w:val="20"/>
              </w:rPr>
              <w:t>not</w:t>
            </w:r>
            <w:r>
              <w:rPr>
                <w:caps w:val="false"/>
                <w:smallCaps w:val="false"/>
                <w:spacing w:val="-6"/>
              </w:rPr>
              <w:t xml:space="preserve"> </w:t>
            </w:r>
            <w:r>
              <w:rPr>
                <w:rFonts w:ascii="Times New Roman;Times;serif" w:hAnsi="Times New Roman;Times;serif"/>
                <w:b w:val="false"/>
                <w:i w:val="false"/>
                <w:caps w:val="false"/>
                <w:smallCaps w:val="false"/>
                <w:sz w:val="20"/>
              </w:rPr>
              <w:t>used</w:t>
            </w:r>
            <w:r>
              <w:rPr>
                <w:caps w:val="false"/>
                <w:smallCaps w:val="false"/>
                <w:spacing w:val="-5"/>
              </w:rPr>
              <w:t xml:space="preserve"> </w:t>
            </w:r>
            <w:r>
              <w:rPr>
                <w:rFonts w:ascii="Times New Roman;Times;serif" w:hAnsi="Times New Roman;Times;serif"/>
                <w:b w:val="false"/>
                <w:i w:val="false"/>
                <w:caps w:val="false"/>
                <w:smallCaps w:val="false"/>
                <w:sz w:val="20"/>
              </w:rPr>
              <w:t>as</w:t>
            </w:r>
            <w:r>
              <w:rPr>
                <w:caps w:val="false"/>
                <w:smallCaps w:val="false"/>
                <w:spacing w:val="-7"/>
              </w:rPr>
              <w:t xml:space="preserve"> </w:t>
            </w:r>
            <w:r>
              <w:rPr>
                <w:rFonts w:ascii="Times New Roman;Times;serif" w:hAnsi="Times New Roman;Times;serif"/>
                <w:b w:val="false"/>
                <w:i w:val="false"/>
                <w:caps w:val="false"/>
                <w:smallCaps w:val="false"/>
                <w:sz w:val="20"/>
              </w:rPr>
              <w:t>a</w:t>
            </w:r>
            <w:r>
              <w:rPr>
                <w:caps w:val="false"/>
                <w:smallCaps w:val="false"/>
                <w:spacing w:val="-8"/>
              </w:rPr>
              <w:t xml:space="preserve"> </w:t>
            </w:r>
            <w:r>
              <w:rPr>
                <w:rFonts w:ascii="Times New Roman;Times;serif" w:hAnsi="Times New Roman;Times;serif"/>
                <w:b w:val="false"/>
                <w:i w:val="false"/>
                <w:caps w:val="false"/>
                <w:smallCaps w:val="false"/>
                <w:sz w:val="20"/>
              </w:rPr>
              <w:t>cover</w:t>
            </w:r>
            <w:r>
              <w:rPr>
                <w:caps w:val="false"/>
                <w:smallCaps w:val="false"/>
                <w:spacing w:val="-5"/>
              </w:rPr>
              <w:t xml:space="preserve"> </w:t>
            </w:r>
            <w:r>
              <w:rPr>
                <w:rFonts w:ascii="Times New Roman;Times;serif" w:hAnsi="Times New Roman;Times;serif"/>
                <w:b w:val="false"/>
                <w:i w:val="false"/>
                <w:caps w:val="false"/>
                <w:smallCaps w:val="false"/>
                <w:sz w:val="20"/>
              </w:rPr>
              <w:t>or</w:t>
            </w:r>
            <w:r>
              <w:rPr>
                <w:caps w:val="false"/>
                <w:smallCaps w:val="false"/>
                <w:spacing w:val="-5"/>
              </w:rPr>
              <w:t xml:space="preserve"> </w:t>
            </w:r>
            <w:r>
              <w:rPr>
                <w:rFonts w:ascii="Times New Roman;Times;serif" w:hAnsi="Times New Roman;Times;serif"/>
                <w:b w:val="false"/>
                <w:i w:val="false"/>
                <w:caps w:val="false"/>
                <w:smallCaps w:val="false"/>
                <w:sz w:val="20"/>
              </w:rPr>
              <w:t>pretense</w:t>
            </w:r>
            <w:r>
              <w:rPr>
                <w:caps w:val="false"/>
                <w:smallCaps w:val="false"/>
                <w:spacing w:val="-6"/>
              </w:rPr>
              <w:t xml:space="preserve"> </w:t>
            </w:r>
            <w:r>
              <w:rPr>
                <w:rFonts w:ascii="Times New Roman;Times;serif" w:hAnsi="Times New Roman;Times;serif"/>
                <w:b w:val="false"/>
                <w:i w:val="false"/>
                <w:caps w:val="false"/>
                <w:smallCaps w:val="false"/>
                <w:sz w:val="20"/>
              </w:rPr>
              <w:t>for</w:t>
            </w:r>
            <w:r>
              <w:rPr>
                <w:caps w:val="false"/>
                <w:smallCaps w:val="false"/>
                <w:spacing w:val="-5"/>
              </w:rPr>
              <w:t xml:space="preserve"> </w:t>
            </w:r>
            <w:r>
              <w:rPr>
                <w:rFonts w:ascii="Times New Roman;Times;serif" w:hAnsi="Times New Roman;Times;serif"/>
                <w:b w:val="false"/>
                <w:i w:val="false"/>
                <w:caps w:val="false"/>
                <w:smallCaps w:val="false"/>
                <w:sz w:val="20"/>
              </w:rPr>
              <w:t>trafficking</w:t>
            </w:r>
            <w:r>
              <w:rPr>
                <w:caps w:val="false"/>
                <w:smallCaps w:val="false"/>
                <w:spacing w:val="-7"/>
              </w:rPr>
              <w:t xml:space="preserve"> </w:t>
            </w:r>
            <w:r>
              <w:rPr>
                <w:rFonts w:ascii="Times New Roman;Times;serif" w:hAnsi="Times New Roman;Times;serif"/>
                <w:b w:val="false"/>
                <w:i w:val="false"/>
                <w:caps w:val="false"/>
                <w:smallCaps w:val="false"/>
                <w:sz w:val="20"/>
              </w:rPr>
              <w:t>of</w:t>
            </w:r>
            <w:r>
              <w:rPr>
                <w:caps w:val="false"/>
                <w:smallCaps w:val="false"/>
                <w:spacing w:val="-8"/>
              </w:rPr>
              <w:t xml:space="preserve"> </w:t>
            </w:r>
            <w:r>
              <w:rPr>
                <w:rFonts w:ascii="Times New Roman;Times;serif" w:hAnsi="Times New Roman;Times;serif"/>
                <w:b w:val="false"/>
                <w:i w:val="false"/>
                <w:caps w:val="false"/>
                <w:smallCaps w:val="false"/>
                <w:sz w:val="20"/>
              </w:rPr>
              <w:t>other</w:t>
            </w:r>
            <w:r>
              <w:rPr>
                <w:caps w:val="false"/>
                <w:smallCaps w:val="false"/>
                <w:spacing w:val="-8"/>
              </w:rPr>
              <w:t xml:space="preserve"> </w:t>
            </w:r>
            <w:r>
              <w:rPr>
                <w:rFonts w:ascii="Times New Roman;Times;serif" w:hAnsi="Times New Roman;Times;serif"/>
                <w:b w:val="false"/>
                <w:i w:val="false"/>
                <w:caps w:val="false"/>
                <w:smallCaps w:val="false"/>
                <w:sz w:val="20"/>
              </w:rPr>
              <w:t>illegal</w:t>
            </w:r>
            <w:r>
              <w:rPr>
                <w:caps w:val="false"/>
                <w:smallCaps w:val="false"/>
                <w:spacing w:val="-6"/>
              </w:rPr>
              <w:t xml:space="preserve"> </w:t>
            </w:r>
            <w:r>
              <w:rPr>
                <w:rFonts w:ascii="Times New Roman;Times;serif" w:hAnsi="Times New Roman;Times;serif"/>
                <w:b w:val="false"/>
                <w:i w:val="false"/>
                <w:caps w:val="false"/>
                <w:smallCaps w:val="false"/>
                <w:sz w:val="20"/>
              </w:rPr>
              <w:t>drugs, is engaged in any other illegal</w:t>
            </w:r>
            <w:r>
              <w:rPr>
                <w:caps w:val="false"/>
                <w:smallCaps w:val="false"/>
                <w:spacing w:val="-2"/>
              </w:rPr>
              <w:t xml:space="preserve"> </w:t>
            </w:r>
            <w:r>
              <w:rPr>
                <w:rFonts w:ascii="Times New Roman;Times;serif" w:hAnsi="Times New Roman;Times;serif"/>
                <w:b w:val="false"/>
                <w:i w:val="false"/>
                <w:caps w:val="false"/>
                <w:smallCaps w:val="false"/>
                <w:sz w:val="20"/>
              </w:rPr>
              <w:t>activity or any activities that are contrary to any applicable anti-money laundering statutes; and</w:t>
            </w:r>
          </w:p>
        </w:tc>
        <w:tc>
          <w:tcPr>
            <w:tcW w:w="155" w:type="dxa"/>
            <w:tcBorders/>
            <w:shd w:fill="auto" w:val="cle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24"/>
        <w:gridCol w:w="232"/>
        <w:gridCol w:w="9694"/>
        <w:gridCol w:w="155"/>
      </w:tblGrid>
      <w:tr>
        <w:trPr/>
        <w:tc>
          <w:tcPr>
            <w:tcW w:w="124"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7.</w:t>
            </w:r>
          </w:p>
        </w:tc>
        <w:tc>
          <w:tcPr>
            <w:tcW w:w="9694"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Ensure</w:t>
            </w:r>
            <w:r>
              <w:rPr>
                <w:caps w:val="false"/>
                <w:smallCaps w:val="false"/>
                <w:spacing w:val="-10"/>
              </w:rPr>
              <w:t xml:space="preserve"> </w:t>
            </w:r>
            <w:r>
              <w:rPr>
                <w:rFonts w:ascii="Times New Roman;Times;serif" w:hAnsi="Times New Roman;Times;serif"/>
                <w:b w:val="false"/>
                <w:i w:val="false"/>
                <w:caps w:val="false"/>
                <w:smallCaps w:val="false"/>
                <w:sz w:val="20"/>
              </w:rPr>
              <w:t>that</w:t>
            </w:r>
            <w:r>
              <w:rPr>
                <w:caps w:val="false"/>
                <w:smallCaps w:val="false"/>
                <w:spacing w:val="-10"/>
              </w:rPr>
              <w:t xml:space="preserve"> </w:t>
            </w:r>
            <w:r>
              <w:rPr>
                <w:rFonts w:ascii="Times New Roman;Times;serif" w:hAnsi="Times New Roman;Times;serif"/>
                <w:b w:val="false"/>
                <w:i w:val="false"/>
                <w:caps w:val="false"/>
                <w:smallCaps w:val="false"/>
                <w:sz w:val="20"/>
              </w:rPr>
              <w:t>its</w:t>
            </w:r>
            <w:r>
              <w:rPr>
                <w:caps w:val="false"/>
                <w:smallCaps w:val="false"/>
                <w:spacing w:val="-11"/>
              </w:rPr>
              <w:t xml:space="preserve"> </w:t>
            </w:r>
            <w:r>
              <w:rPr>
                <w:rFonts w:ascii="Times New Roman;Times;serif" w:hAnsi="Times New Roman;Times;serif"/>
                <w:b w:val="false"/>
                <w:i w:val="false"/>
                <w:caps w:val="false"/>
                <w:smallCaps w:val="false"/>
                <w:sz w:val="20"/>
              </w:rPr>
              <w:t>products</w:t>
            </w:r>
            <w:r>
              <w:rPr>
                <w:caps w:val="false"/>
                <w:smallCaps w:val="false"/>
                <w:spacing w:val="-11"/>
              </w:rPr>
              <w:t xml:space="preserve"> </w:t>
            </w:r>
            <w:r>
              <w:rPr>
                <w:rFonts w:ascii="Times New Roman;Times;serif" w:hAnsi="Times New Roman;Times;serif"/>
                <w:b w:val="false"/>
                <w:i w:val="false"/>
                <w:caps w:val="false"/>
                <w:smallCaps w:val="false"/>
                <w:sz w:val="20"/>
              </w:rPr>
              <w:t>comply</w:t>
            </w:r>
            <w:r>
              <w:rPr>
                <w:caps w:val="false"/>
                <w:smallCaps w:val="false"/>
                <w:spacing w:val="-9"/>
              </w:rPr>
              <w:t xml:space="preserve"> </w:t>
            </w:r>
            <w:r>
              <w:rPr>
                <w:rFonts w:ascii="Times New Roman;Times;serif" w:hAnsi="Times New Roman;Times;serif"/>
                <w:b w:val="false"/>
                <w:i w:val="false"/>
                <w:caps w:val="false"/>
                <w:smallCaps w:val="false"/>
                <w:sz w:val="20"/>
              </w:rPr>
              <w:t>with</w:t>
            </w:r>
            <w:r>
              <w:rPr>
                <w:caps w:val="false"/>
                <w:smallCaps w:val="false"/>
                <w:spacing w:val="-9"/>
              </w:rPr>
              <w:t xml:space="preserve"> </w:t>
            </w:r>
            <w:r>
              <w:rPr>
                <w:rFonts w:ascii="Times New Roman;Times;serif" w:hAnsi="Times New Roman;Times;serif"/>
                <w:b w:val="false"/>
                <w:i w:val="false"/>
                <w:caps w:val="false"/>
                <w:smallCaps w:val="false"/>
                <w:sz w:val="20"/>
              </w:rPr>
              <w:t>applicable</w:t>
            </w:r>
            <w:r>
              <w:rPr>
                <w:caps w:val="false"/>
                <w:smallCaps w:val="false"/>
                <w:spacing w:val="-10"/>
              </w:rPr>
              <w:t xml:space="preserve"> </w:t>
            </w:r>
            <w:r>
              <w:rPr>
                <w:rFonts w:ascii="Times New Roman;Times;serif" w:hAnsi="Times New Roman;Times;serif"/>
                <w:b w:val="false"/>
                <w:i w:val="false"/>
                <w:caps w:val="false"/>
                <w:smallCaps w:val="false"/>
                <w:sz w:val="20"/>
              </w:rPr>
              <w:t>regulations</w:t>
            </w:r>
            <w:r>
              <w:rPr>
                <w:caps w:val="false"/>
                <w:smallCaps w:val="false"/>
                <w:spacing w:val="-11"/>
              </w:rPr>
              <w:t xml:space="preserve"> </w:t>
            </w:r>
            <w:r>
              <w:rPr>
                <w:rFonts w:ascii="Times New Roman;Times;serif" w:hAnsi="Times New Roman;Times;serif"/>
                <w:b w:val="false"/>
                <w:i w:val="false"/>
                <w:caps w:val="false"/>
                <w:smallCaps w:val="false"/>
                <w:sz w:val="20"/>
              </w:rPr>
              <w:t>and</w:t>
            </w:r>
            <w:r>
              <w:rPr>
                <w:caps w:val="false"/>
                <w:smallCaps w:val="false"/>
                <w:spacing w:val="-9"/>
              </w:rPr>
              <w:t xml:space="preserve"> </w:t>
            </w:r>
            <w:r>
              <w:rPr>
                <w:rFonts w:ascii="Times New Roman;Times;serif" w:hAnsi="Times New Roman;Times;serif"/>
                <w:b w:val="false"/>
                <w:i w:val="false"/>
                <w:caps w:val="false"/>
                <w:smallCaps w:val="false"/>
                <w:sz w:val="20"/>
              </w:rPr>
              <w:t>contain</w:t>
            </w:r>
            <w:r>
              <w:rPr>
                <w:caps w:val="false"/>
                <w:smallCaps w:val="false"/>
                <w:spacing w:val="-9"/>
              </w:rPr>
              <w:t xml:space="preserve"> </w:t>
            </w:r>
            <w:r>
              <w:rPr>
                <w:rFonts w:ascii="Times New Roman;Times;serif" w:hAnsi="Times New Roman;Times;serif"/>
                <w:b w:val="false"/>
                <w:i w:val="false"/>
                <w:caps w:val="false"/>
                <w:smallCaps w:val="false"/>
                <w:sz w:val="20"/>
              </w:rPr>
              <w:t>necessary</w:t>
            </w:r>
            <w:r>
              <w:rPr>
                <w:caps w:val="false"/>
                <w:smallCaps w:val="false"/>
                <w:spacing w:val="-9"/>
              </w:rPr>
              <w:t xml:space="preserve"> </w:t>
            </w:r>
            <w:r>
              <w:rPr>
                <w:rFonts w:ascii="Times New Roman;Times;serif" w:hAnsi="Times New Roman;Times;serif"/>
                <w:b w:val="false"/>
                <w:i w:val="false"/>
                <w:caps w:val="false"/>
                <w:smallCaps w:val="false"/>
                <w:sz w:val="20"/>
              </w:rPr>
              <w:t>disclaimers</w:t>
            </w:r>
            <w:r>
              <w:rPr>
                <w:caps w:val="false"/>
                <w:smallCaps w:val="false"/>
                <w:spacing w:val="-11"/>
              </w:rPr>
              <w:t xml:space="preserve"> </w:t>
            </w:r>
            <w:r>
              <w:rPr>
                <w:rFonts w:ascii="Times New Roman;Times;serif" w:hAnsi="Times New Roman;Times;serif"/>
                <w:b w:val="false"/>
                <w:i w:val="false"/>
                <w:caps w:val="false"/>
                <w:smallCaps w:val="false"/>
                <w:sz w:val="20"/>
              </w:rPr>
              <w:t>about</w:t>
            </w:r>
            <w:r>
              <w:rPr>
                <w:caps w:val="false"/>
                <w:smallCaps w:val="false"/>
                <w:spacing w:val="-10"/>
              </w:rPr>
              <w:t xml:space="preserve"> </w:t>
            </w:r>
            <w:r>
              <w:rPr>
                <w:rFonts w:ascii="Times New Roman;Times;serif" w:hAnsi="Times New Roman;Times;serif"/>
                <w:b w:val="false"/>
                <w:i w:val="false"/>
                <w:caps w:val="false"/>
                <w:smallCaps w:val="false"/>
                <w:sz w:val="20"/>
              </w:rPr>
              <w:t>the</w:t>
            </w:r>
            <w:r>
              <w:rPr>
                <w:caps w:val="false"/>
                <w:smallCaps w:val="false"/>
                <w:spacing w:val="-10"/>
              </w:rPr>
              <w:t xml:space="preserve"> </w:t>
            </w:r>
            <w:r>
              <w:rPr>
                <w:rFonts w:ascii="Times New Roman;Times;serif" w:hAnsi="Times New Roman;Times;serif"/>
                <w:b w:val="false"/>
                <w:i w:val="false"/>
                <w:caps w:val="false"/>
                <w:smallCaps w:val="false"/>
                <w:sz w:val="20"/>
              </w:rPr>
              <w:t>contents</w:t>
            </w:r>
            <w:r>
              <w:rPr>
                <w:caps w:val="false"/>
                <w:smallCaps w:val="false"/>
                <w:spacing w:val="-11"/>
              </w:rPr>
              <w:t xml:space="preserve"> </w:t>
            </w:r>
            <w:r>
              <w:rPr>
                <w:rFonts w:ascii="Times New Roman;Times;serif" w:hAnsi="Times New Roman;Times;serif"/>
                <w:b w:val="false"/>
                <w:i w:val="false"/>
                <w:caps w:val="false"/>
                <w:smallCaps w:val="false"/>
                <w:sz w:val="20"/>
              </w:rPr>
              <w:t>of</w:t>
            </w:r>
            <w:r>
              <w:rPr>
                <w:caps w:val="false"/>
                <w:smallCaps w:val="false"/>
                <w:spacing w:val="-9"/>
              </w:rPr>
              <w:t xml:space="preserve"> </w:t>
            </w:r>
            <w:r>
              <w:rPr>
                <w:rFonts w:ascii="Times New Roman;Times;serif" w:hAnsi="Times New Roman;Times;serif"/>
                <w:b w:val="false"/>
                <w:i w:val="false"/>
                <w:caps w:val="false"/>
                <w:smallCaps w:val="false"/>
                <w:sz w:val="20"/>
              </w:rPr>
              <w:t>the</w:t>
            </w:r>
            <w:r>
              <w:rPr>
                <w:caps w:val="false"/>
                <w:smallCaps w:val="false"/>
                <w:spacing w:val="-10"/>
              </w:rPr>
              <w:t xml:space="preserve"> </w:t>
            </w:r>
            <w:r>
              <w:rPr>
                <w:rFonts w:ascii="Times New Roman;Times;serif" w:hAnsi="Times New Roman;Times;serif"/>
                <w:b w:val="false"/>
                <w:i w:val="false"/>
                <w:caps w:val="false"/>
                <w:smallCaps w:val="false"/>
                <w:sz w:val="20"/>
              </w:rPr>
              <w:t>products to prevent adverse public health consequences from cannabis use and prevent impaired driving.</w:t>
            </w:r>
          </w:p>
        </w:tc>
        <w:tc>
          <w:tcPr>
            <w:tcW w:w="155" w:type="dxa"/>
            <w:tcBorders/>
            <w:shd w:fill="auto" w:val="clear"/>
            <w:vAlign w:val="center"/>
          </w:tcPr>
          <w:p>
            <w:pPr>
              <w:pStyle w:val="TableContents"/>
              <w:spacing w:before="0" w:after="283"/>
              <w:rPr>
                <w:sz w:val="4"/>
                <w:szCs w:val="4"/>
              </w:rPr>
            </w:pPr>
            <w:r>
              <w:rPr>
                <w:sz w:val="4"/>
                <w:szCs w:val="4"/>
              </w:rPr>
            </w:r>
          </w:p>
        </w:tc>
      </w:tr>
    </w:tbl>
    <w:p>
      <w:pPr>
        <w:pStyle w:val="TextBody"/>
        <w:spacing w:lineRule="atLeast" w:line="221" w:before="0" w:after="240"/>
        <w:ind w:left="0" w:right="0" w:hanging="0"/>
        <w:jc w:val="both"/>
        <w:rPr/>
      </w:pPr>
      <w:r>
        <w:rPr/>
        <w:t>​</w:t>
      </w:r>
    </w:p>
    <w:p>
      <w:pPr>
        <w:pStyle w:val="TextBody"/>
        <w:spacing w:lineRule="atLeast" w:line="221"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addition, the Company conducts background checks to ensure that the principals and management of its operating subsidiaries are of good character, have not been involved with other illegal drugs, engaged in illegal activity or activities involving violence, or use of firearms in cultivation, manufacturing, or distribution of cannabis. The Company will also conduct ongoing reviews of the activities of its cannabis businesses, the premises on which they operate, and the policies and procedures that are related to possession of cannabis or cannabis products outside of the licensed premises, including the cases where such possession is permitted by regulation. </w:t>
      </w:r>
    </w:p>
    <w:p>
      <w:pPr>
        <w:pStyle w:val="TextBody"/>
        <w:spacing w:before="1" w:after="240"/>
        <w:ind w:left="0" w:right="114" w:hanging="0"/>
        <w:jc w:val="both"/>
        <w:rPr>
          <w:rFonts w:ascii="Times New Roman;Times;serif" w:hAnsi="Times New Roman;Times;serif"/>
          <w:sz w:val="20"/>
        </w:rPr>
      </w:pPr>
      <w:r>
        <w:rPr>
          <w:rFonts w:ascii="Times New Roman;Times;serif" w:hAnsi="Times New Roman;Times;serif"/>
          <w:sz w:val="20"/>
        </w:rPr>
        <w:t>One</w:t>
      </w:r>
      <w:r>
        <w:rPr>
          <w:rFonts w:ascii="Times New Roman;Times;serif" w:hAnsi="Times New Roman;Times;serif"/>
          <w:spacing w:val="-7"/>
          <w:sz w:val="20"/>
        </w:rPr>
        <w:t xml:space="preserve"> </w:t>
      </w:r>
      <w:r>
        <w:rPr>
          <w:rFonts w:ascii="Times New Roman;Times;serif" w:hAnsi="Times New Roman;Times;serif"/>
          <w:sz w:val="20"/>
        </w:rPr>
        <w:t>legislative</w:t>
      </w:r>
      <w:r>
        <w:rPr>
          <w:rFonts w:ascii="Times New Roman;Times;serif" w:hAnsi="Times New Roman;Times;serif"/>
          <w:spacing w:val="-7"/>
          <w:sz w:val="20"/>
        </w:rPr>
        <w:t xml:space="preserve"> </w:t>
      </w:r>
      <w:r>
        <w:rPr>
          <w:rFonts w:ascii="Times New Roman;Times;serif" w:hAnsi="Times New Roman;Times;serif"/>
          <w:sz w:val="20"/>
        </w:rPr>
        <w:t>safeguard</w:t>
      </w:r>
      <w:r>
        <w:rPr>
          <w:rFonts w:ascii="Times New Roman;Times;serif" w:hAnsi="Times New Roman;Times;serif"/>
          <w:spacing w:val="-8"/>
          <w:sz w:val="20"/>
        </w:rPr>
        <w:t xml:space="preserve"> </w:t>
      </w:r>
      <w:r>
        <w:rPr>
          <w:rFonts w:ascii="Times New Roman;Times;serif" w:hAnsi="Times New Roman;Times;serif"/>
          <w:sz w:val="20"/>
        </w:rPr>
        <w:t>for</w:t>
      </w:r>
      <w:r>
        <w:rPr>
          <w:rFonts w:ascii="Times New Roman;Times;serif" w:hAnsi="Times New Roman;Times;serif"/>
          <w:spacing w:val="-8"/>
          <w:sz w:val="20"/>
        </w:rPr>
        <w:t xml:space="preserve"> </w:t>
      </w:r>
      <w:r>
        <w:rPr>
          <w:rFonts w:ascii="Times New Roman;Times;serif" w:hAnsi="Times New Roman;Times;serif"/>
          <w:sz w:val="20"/>
        </w:rPr>
        <w:t>the</w:t>
      </w:r>
      <w:r>
        <w:rPr>
          <w:rFonts w:ascii="Times New Roman;Times;serif" w:hAnsi="Times New Roman;Times;serif"/>
          <w:spacing w:val="-7"/>
          <w:sz w:val="20"/>
        </w:rPr>
        <w:t xml:space="preserve"> </w:t>
      </w:r>
      <w:r>
        <w:rPr>
          <w:rFonts w:ascii="Times New Roman;Times;serif" w:hAnsi="Times New Roman;Times;serif"/>
          <w:sz w:val="20"/>
        </w:rPr>
        <w:t>medical</w:t>
      </w:r>
      <w:r>
        <w:rPr>
          <w:rFonts w:ascii="Times New Roman;Times;serif" w:hAnsi="Times New Roman;Times;serif"/>
          <w:spacing w:val="-9"/>
          <w:sz w:val="20"/>
        </w:rPr>
        <w:t xml:space="preserve"> </w:t>
      </w:r>
      <w:r>
        <w:rPr>
          <w:rFonts w:ascii="Times New Roman;Times;serif" w:hAnsi="Times New Roman;Times;serif"/>
          <w:sz w:val="20"/>
        </w:rPr>
        <w:t>cannabis</w:t>
      </w:r>
      <w:r>
        <w:rPr>
          <w:rFonts w:ascii="Times New Roman;Times;serif" w:hAnsi="Times New Roman;Times;serif"/>
          <w:spacing w:val="-8"/>
          <w:sz w:val="20"/>
        </w:rPr>
        <w:t xml:space="preserve"> </w:t>
      </w:r>
      <w:r>
        <w:rPr>
          <w:rFonts w:ascii="Times New Roman;Times;serif" w:hAnsi="Times New Roman;Times;serif"/>
          <w:sz w:val="20"/>
        </w:rPr>
        <w:t>industry</w:t>
      </w:r>
      <w:r>
        <w:rPr>
          <w:rFonts w:ascii="Times New Roman;Times;serif" w:hAnsi="Times New Roman;Times;serif"/>
          <w:spacing w:val="-8"/>
          <w:sz w:val="20"/>
        </w:rPr>
        <w:t xml:space="preserve"> </w:t>
      </w:r>
      <w:r>
        <w:rPr>
          <w:rFonts w:ascii="Times New Roman;Times;serif" w:hAnsi="Times New Roman;Times;serif"/>
          <w:sz w:val="20"/>
        </w:rPr>
        <w:t>remains</w:t>
      </w:r>
      <w:r>
        <w:rPr>
          <w:rFonts w:ascii="Times New Roman;Times;serif" w:hAnsi="Times New Roman;Times;serif"/>
          <w:spacing w:val="-7"/>
          <w:sz w:val="20"/>
        </w:rPr>
        <w:t xml:space="preserve"> </w:t>
      </w:r>
      <w:r>
        <w:rPr>
          <w:rFonts w:ascii="Times New Roman;Times;serif" w:hAnsi="Times New Roman;Times;serif"/>
          <w:sz w:val="20"/>
        </w:rPr>
        <w:t>in</w:t>
      </w:r>
      <w:r>
        <w:rPr>
          <w:rFonts w:ascii="Times New Roman;Times;serif" w:hAnsi="Times New Roman;Times;serif"/>
          <w:spacing w:val="-8"/>
          <w:sz w:val="20"/>
        </w:rPr>
        <w:t xml:space="preserve"> </w:t>
      </w:r>
      <w:r>
        <w:rPr>
          <w:rFonts w:ascii="Times New Roman;Times;serif" w:hAnsi="Times New Roman;Times;serif"/>
          <w:sz w:val="20"/>
        </w:rPr>
        <w:t>place:</w:t>
      </w:r>
      <w:r>
        <w:rPr>
          <w:rFonts w:ascii="Times New Roman;Times;serif" w:hAnsi="Times New Roman;Times;serif"/>
          <w:spacing w:val="-7"/>
          <w:sz w:val="20"/>
        </w:rPr>
        <w:t xml:space="preserve"> </w:t>
      </w:r>
      <w:r>
        <w:rPr>
          <w:rFonts w:ascii="Times New Roman;Times;serif" w:hAnsi="Times New Roman;Times;serif"/>
          <w:sz w:val="20"/>
        </w:rPr>
        <w:t>Congress</w:t>
      </w:r>
      <w:r>
        <w:rPr>
          <w:rFonts w:ascii="Times New Roman;Times;serif" w:hAnsi="Times New Roman;Times;serif"/>
          <w:spacing w:val="-8"/>
          <w:sz w:val="20"/>
        </w:rPr>
        <w:t xml:space="preserve"> </w:t>
      </w:r>
      <w:r>
        <w:rPr>
          <w:rFonts w:ascii="Times New Roman;Times;serif" w:hAnsi="Times New Roman;Times;serif"/>
          <w:sz w:val="20"/>
        </w:rPr>
        <w:t>has</w:t>
      </w:r>
      <w:r>
        <w:rPr>
          <w:rFonts w:ascii="Times New Roman;Times;serif" w:hAnsi="Times New Roman;Times;serif"/>
          <w:spacing w:val="-10"/>
          <w:sz w:val="20"/>
        </w:rPr>
        <w:t xml:space="preserve"> </w:t>
      </w:r>
      <w:r>
        <w:rPr>
          <w:rFonts w:ascii="Times New Roman;Times;serif" w:hAnsi="Times New Roman;Times;serif"/>
          <w:sz w:val="20"/>
        </w:rPr>
        <w:t>passed</w:t>
      </w:r>
      <w:r>
        <w:rPr>
          <w:rFonts w:ascii="Times New Roman;Times;serif" w:hAnsi="Times New Roman;Times;serif"/>
          <w:spacing w:val="-6"/>
          <w:sz w:val="20"/>
        </w:rPr>
        <w:t xml:space="preserve"> </w:t>
      </w:r>
      <w:r>
        <w:rPr>
          <w:rFonts w:ascii="Times New Roman;Times;serif" w:hAnsi="Times New Roman;Times;serif"/>
          <w:sz w:val="20"/>
        </w:rPr>
        <w:t>a</w:t>
      </w:r>
      <w:r>
        <w:rPr>
          <w:rFonts w:ascii="Times New Roman;Times;serif" w:hAnsi="Times New Roman;Times;serif"/>
          <w:spacing w:val="-6"/>
          <w:sz w:val="20"/>
        </w:rPr>
        <w:t xml:space="preserve"> </w:t>
      </w:r>
      <w:r>
        <w:rPr>
          <w:rFonts w:ascii="Times New Roman;Times;serif" w:hAnsi="Times New Roman;Times;serif"/>
          <w:sz w:val="20"/>
        </w:rPr>
        <w:t>so-called</w:t>
      </w:r>
      <w:r>
        <w:rPr>
          <w:rFonts w:ascii="Times New Roman;Times;serif" w:hAnsi="Times New Roman;Times;serif"/>
          <w:spacing w:val="-8"/>
          <w:sz w:val="20"/>
        </w:rPr>
        <w:t xml:space="preserve"> </w:t>
      </w:r>
      <w:r>
        <w:rPr>
          <w:rFonts w:ascii="Times New Roman;Times;serif" w:hAnsi="Times New Roman;Times;serif"/>
          <w:sz w:val="20"/>
        </w:rPr>
        <w:t>“rider”</w:t>
      </w:r>
      <w:r>
        <w:rPr>
          <w:rFonts w:ascii="Times New Roman;Times;serif" w:hAnsi="Times New Roman;Times;serif"/>
          <w:spacing w:val="-9"/>
          <w:sz w:val="20"/>
        </w:rPr>
        <w:t xml:space="preserve"> </w:t>
      </w:r>
      <w:r>
        <w:rPr>
          <w:rFonts w:ascii="Times New Roman;Times;serif" w:hAnsi="Times New Roman;Times;serif"/>
          <w:sz w:val="20"/>
        </w:rPr>
        <w:t>provision</w:t>
      </w:r>
      <w:r>
        <w:rPr>
          <w:rFonts w:ascii="Times New Roman;Times;serif" w:hAnsi="Times New Roman;Times;serif"/>
          <w:spacing w:val="-2"/>
          <w:sz w:val="20"/>
        </w:rPr>
        <w:t xml:space="preserve"> </w:t>
      </w:r>
      <w:r>
        <w:rPr>
          <w:rFonts w:ascii="Times New Roman;Times;serif" w:hAnsi="Times New Roman;Times;serif"/>
          <w:sz w:val="20"/>
        </w:rPr>
        <w:t>in</w:t>
      </w:r>
      <w:r>
        <w:rPr>
          <w:rFonts w:ascii="Times New Roman;Times;serif" w:hAnsi="Times New Roman;Times;serif"/>
          <w:spacing w:val="-8"/>
          <w:sz w:val="20"/>
        </w:rPr>
        <w:t xml:space="preserve"> </w:t>
      </w:r>
      <w:r>
        <w:rPr>
          <w:rFonts w:ascii="Times New Roman;Times;serif" w:hAnsi="Times New Roman;Times;serif"/>
          <w:sz w:val="20"/>
        </w:rPr>
        <w:t>the</w:t>
      </w:r>
      <w:r>
        <w:rPr>
          <w:rFonts w:ascii="Times New Roman;Times;serif" w:hAnsi="Times New Roman;Times;serif"/>
          <w:spacing w:val="-9"/>
          <w:sz w:val="20"/>
        </w:rPr>
        <w:t xml:space="preserve"> </w:t>
      </w:r>
      <w:r>
        <w:rPr>
          <w:rFonts w:ascii="Times New Roman;Times;serif" w:hAnsi="Times New Roman;Times;serif"/>
          <w:sz w:val="20"/>
        </w:rPr>
        <w:t>fiscal year</w:t>
      </w:r>
      <w:r>
        <w:rPr>
          <w:rFonts w:ascii="Times New Roman;Times;serif" w:hAnsi="Times New Roman;Times;serif"/>
          <w:spacing w:val="-12"/>
          <w:sz w:val="20"/>
        </w:rPr>
        <w:t xml:space="preserve"> </w:t>
      </w:r>
      <w:r>
        <w:rPr>
          <w:rFonts w:ascii="Times New Roman;Times;serif" w:hAnsi="Times New Roman;Times;serif"/>
          <w:sz w:val="20"/>
        </w:rPr>
        <w:t>2015,</w:t>
      </w:r>
      <w:r>
        <w:rPr>
          <w:rFonts w:ascii="Times New Roman;Times;serif" w:hAnsi="Times New Roman;Times;serif"/>
          <w:spacing w:val="-11"/>
          <w:sz w:val="20"/>
        </w:rPr>
        <w:t xml:space="preserve"> </w:t>
      </w:r>
      <w:r>
        <w:rPr>
          <w:rFonts w:ascii="Times New Roman;Times;serif" w:hAnsi="Times New Roman;Times;serif"/>
          <w:sz w:val="20"/>
        </w:rPr>
        <w:t>2016,</w:t>
      </w:r>
      <w:r>
        <w:rPr>
          <w:rFonts w:ascii="Times New Roman;Times;serif" w:hAnsi="Times New Roman;Times;serif"/>
          <w:spacing w:val="-11"/>
          <w:sz w:val="20"/>
        </w:rPr>
        <w:t xml:space="preserve"> </w:t>
      </w:r>
      <w:r>
        <w:rPr>
          <w:rFonts w:ascii="Times New Roman;Times;serif" w:hAnsi="Times New Roman;Times;serif"/>
          <w:sz w:val="20"/>
        </w:rPr>
        <w:t>2017,</w:t>
      </w:r>
      <w:r>
        <w:rPr>
          <w:rFonts w:ascii="Times New Roman;Times;serif" w:hAnsi="Times New Roman;Times;serif"/>
          <w:spacing w:val="-11"/>
          <w:sz w:val="20"/>
        </w:rPr>
        <w:t xml:space="preserve"> </w:t>
      </w:r>
      <w:r>
        <w:rPr>
          <w:rFonts w:ascii="Times New Roman;Times;serif" w:hAnsi="Times New Roman;Times;serif"/>
          <w:sz w:val="20"/>
        </w:rPr>
        <w:t>2018,</w:t>
      </w:r>
      <w:r>
        <w:rPr>
          <w:rFonts w:ascii="Times New Roman;Times;serif" w:hAnsi="Times New Roman;Times;serif"/>
          <w:spacing w:val="-11"/>
          <w:sz w:val="20"/>
        </w:rPr>
        <w:t xml:space="preserve"> </w:t>
      </w:r>
      <w:r>
        <w:rPr>
          <w:rFonts w:ascii="Times New Roman;Times;serif" w:hAnsi="Times New Roman;Times;serif"/>
          <w:sz w:val="20"/>
        </w:rPr>
        <w:t>2019,</w:t>
      </w:r>
      <w:r>
        <w:rPr>
          <w:rFonts w:ascii="Times New Roman;Times;serif" w:hAnsi="Times New Roman;Times;serif"/>
          <w:spacing w:val="-11"/>
          <w:sz w:val="20"/>
        </w:rPr>
        <w:t xml:space="preserve"> </w:t>
      </w:r>
      <w:r>
        <w:rPr>
          <w:rFonts w:ascii="Times New Roman;Times;serif" w:hAnsi="Times New Roman;Times;serif"/>
          <w:sz w:val="20"/>
        </w:rPr>
        <w:t>2020</w:t>
      </w:r>
      <w:r>
        <w:rPr>
          <w:rFonts w:ascii="Times New Roman;Times;serif" w:hAnsi="Times New Roman;Times;serif"/>
          <w:spacing w:val="-8"/>
          <w:sz w:val="20"/>
        </w:rPr>
        <w:t xml:space="preserve"> </w:t>
      </w:r>
      <w:r>
        <w:rPr>
          <w:rFonts w:ascii="Times New Roman;Times;serif" w:hAnsi="Times New Roman;Times;serif"/>
          <w:sz w:val="20"/>
        </w:rPr>
        <w:t>and</w:t>
      </w:r>
      <w:r>
        <w:rPr>
          <w:rFonts w:ascii="Times New Roman;Times;serif" w:hAnsi="Times New Roman;Times;serif"/>
          <w:spacing w:val="-10"/>
          <w:sz w:val="20"/>
        </w:rPr>
        <w:t xml:space="preserve"> </w:t>
      </w:r>
      <w:r>
        <w:rPr>
          <w:rFonts w:ascii="Times New Roman;Times;serif" w:hAnsi="Times New Roman;Times;serif"/>
          <w:sz w:val="20"/>
        </w:rPr>
        <w:t>2021</w:t>
      </w:r>
      <w:r>
        <w:rPr>
          <w:rFonts w:ascii="Times New Roman;Times;serif" w:hAnsi="Times New Roman;Times;serif"/>
          <w:spacing w:val="-8"/>
          <w:sz w:val="20"/>
        </w:rPr>
        <w:t xml:space="preserve"> </w:t>
      </w:r>
      <w:r>
        <w:rPr>
          <w:rFonts w:ascii="Times New Roman;Times;serif" w:hAnsi="Times New Roman;Times;serif"/>
          <w:sz w:val="20"/>
        </w:rPr>
        <w:t>Consolidated</w:t>
      </w:r>
      <w:r>
        <w:rPr>
          <w:rFonts w:ascii="Times New Roman;Times;serif" w:hAnsi="Times New Roman;Times;serif"/>
          <w:spacing w:val="-8"/>
          <w:sz w:val="20"/>
        </w:rPr>
        <w:t xml:space="preserve"> </w:t>
      </w:r>
      <w:r>
        <w:rPr>
          <w:rFonts w:ascii="Times New Roman;Times;serif" w:hAnsi="Times New Roman;Times;serif"/>
          <w:sz w:val="20"/>
        </w:rPr>
        <w:t>Appropriations</w:t>
      </w:r>
      <w:r>
        <w:rPr>
          <w:rFonts w:ascii="Times New Roman;Times;serif" w:hAnsi="Times New Roman;Times;serif"/>
          <w:spacing w:val="-10"/>
          <w:sz w:val="20"/>
        </w:rPr>
        <w:t xml:space="preserve"> </w:t>
      </w:r>
      <w:r>
        <w:rPr>
          <w:rFonts w:ascii="Times New Roman;Times;serif" w:hAnsi="Times New Roman;Times;serif"/>
          <w:sz w:val="20"/>
        </w:rPr>
        <w:t>Acts</w:t>
      </w:r>
      <w:r>
        <w:rPr>
          <w:rFonts w:ascii="Times New Roman;Times;serif" w:hAnsi="Times New Roman;Times;serif"/>
          <w:spacing w:val="-12"/>
          <w:sz w:val="20"/>
        </w:rPr>
        <w:t xml:space="preserve"> </w:t>
      </w:r>
      <w:r>
        <w:rPr>
          <w:rFonts w:ascii="Times New Roman;Times;serif" w:hAnsi="Times New Roman;Times;serif"/>
          <w:sz w:val="20"/>
        </w:rPr>
        <w:t>to</w:t>
      </w:r>
      <w:r>
        <w:rPr>
          <w:rFonts w:ascii="Times New Roman;Times;serif" w:hAnsi="Times New Roman;Times;serif"/>
          <w:spacing w:val="-8"/>
          <w:sz w:val="20"/>
        </w:rPr>
        <w:t xml:space="preserve"> </w:t>
      </w:r>
      <w:r>
        <w:rPr>
          <w:rFonts w:ascii="Times New Roman;Times;serif" w:hAnsi="Times New Roman;Times;serif"/>
          <w:sz w:val="20"/>
        </w:rPr>
        <w:t>prevent</w:t>
      </w:r>
      <w:r>
        <w:rPr>
          <w:rFonts w:ascii="Times New Roman;Times;serif" w:hAnsi="Times New Roman;Times;serif"/>
          <w:spacing w:val="-9"/>
          <w:sz w:val="20"/>
        </w:rPr>
        <w:t xml:space="preserve"> </w:t>
      </w:r>
      <w:r>
        <w:rPr>
          <w:rFonts w:ascii="Times New Roman;Times;serif" w:hAnsi="Times New Roman;Times;serif"/>
          <w:sz w:val="20"/>
        </w:rPr>
        <w:t>the</w:t>
      </w:r>
      <w:r>
        <w:rPr>
          <w:rFonts w:ascii="Times New Roman;Times;serif" w:hAnsi="Times New Roman;Times;serif"/>
          <w:spacing w:val="-11"/>
          <w:sz w:val="20"/>
        </w:rPr>
        <w:t xml:space="preserve"> </w:t>
      </w:r>
      <w:r>
        <w:rPr>
          <w:rFonts w:ascii="Times New Roman;Times;serif" w:hAnsi="Times New Roman;Times;serif"/>
          <w:sz w:val="20"/>
        </w:rPr>
        <w:t>federal</w:t>
      </w:r>
      <w:r>
        <w:rPr>
          <w:rFonts w:ascii="Times New Roman;Times;serif" w:hAnsi="Times New Roman;Times;serif"/>
          <w:spacing w:val="-9"/>
          <w:sz w:val="20"/>
        </w:rPr>
        <w:t xml:space="preserve"> </w:t>
      </w:r>
      <w:r>
        <w:rPr>
          <w:rFonts w:ascii="Times New Roman;Times;serif" w:hAnsi="Times New Roman;Times;serif"/>
          <w:sz w:val="20"/>
        </w:rPr>
        <w:t>government</w:t>
      </w:r>
      <w:r>
        <w:rPr>
          <w:rFonts w:ascii="Times New Roman;Times;serif" w:hAnsi="Times New Roman;Times;serif"/>
          <w:spacing w:val="-9"/>
          <w:sz w:val="20"/>
        </w:rPr>
        <w:t xml:space="preserve"> </w:t>
      </w:r>
      <w:r>
        <w:rPr>
          <w:rFonts w:ascii="Times New Roman;Times;serif" w:hAnsi="Times New Roman;Times;serif"/>
          <w:sz w:val="20"/>
        </w:rPr>
        <w:t>from</w:t>
      </w:r>
      <w:r>
        <w:rPr>
          <w:rFonts w:ascii="Times New Roman;Times;serif" w:hAnsi="Times New Roman;Times;serif"/>
          <w:spacing w:val="-8"/>
          <w:sz w:val="20"/>
        </w:rPr>
        <w:t xml:space="preserve"> </w:t>
      </w:r>
      <w:r>
        <w:rPr>
          <w:rFonts w:ascii="Times New Roman;Times;serif" w:hAnsi="Times New Roman;Times;serif"/>
          <w:sz w:val="20"/>
        </w:rPr>
        <w:t>using</w:t>
      </w:r>
      <w:r>
        <w:rPr>
          <w:rFonts w:ascii="Times New Roman;Times;serif" w:hAnsi="Times New Roman;Times;serif"/>
          <w:spacing w:val="-4"/>
          <w:sz w:val="20"/>
        </w:rPr>
        <w:t xml:space="preserve"> </w:t>
      </w:r>
      <w:r>
        <w:rPr>
          <w:rFonts w:ascii="Times New Roman;Times;serif" w:hAnsi="Times New Roman;Times;serif"/>
          <w:sz w:val="20"/>
        </w:rPr>
        <w:t>congressionally</w:t>
      </w:r>
      <w:r>
        <w:rPr>
          <w:rFonts w:ascii="Times New Roman;Times;serif" w:hAnsi="Times New Roman;Times;serif"/>
          <w:spacing w:val="-1"/>
          <w:sz w:val="20"/>
        </w:rPr>
        <w:t xml:space="preserve"> </w:t>
      </w:r>
      <w:r>
        <w:rPr>
          <w:rFonts w:ascii="Times New Roman;Times;serif" w:hAnsi="Times New Roman;Times;serif"/>
          <w:sz w:val="20"/>
        </w:rPr>
        <w:t>appropriated</w:t>
      </w:r>
      <w:r>
        <w:rPr>
          <w:rFonts w:ascii="Times New Roman;Times;serif" w:hAnsi="Times New Roman;Times;serif"/>
          <w:spacing w:val="-1"/>
          <w:sz w:val="20"/>
        </w:rPr>
        <w:t xml:space="preserve"> </w:t>
      </w:r>
      <w:r>
        <w:rPr>
          <w:rFonts w:ascii="Times New Roman;Times;serif" w:hAnsi="Times New Roman;Times;serif"/>
          <w:sz w:val="20"/>
        </w:rPr>
        <w:t>funds</w:t>
      </w:r>
      <w:r>
        <w:rPr>
          <w:rFonts w:ascii="Times New Roman;Times;serif" w:hAnsi="Times New Roman;Times;serif"/>
          <w:spacing w:val="-3"/>
          <w:sz w:val="20"/>
        </w:rPr>
        <w:t xml:space="preserve"> </w:t>
      </w:r>
      <w:r>
        <w:rPr>
          <w:rFonts w:ascii="Times New Roman;Times;serif" w:hAnsi="Times New Roman;Times;serif"/>
          <w:sz w:val="20"/>
        </w:rPr>
        <w:t>to</w:t>
      </w:r>
      <w:r>
        <w:rPr>
          <w:rFonts w:ascii="Times New Roman;Times;serif" w:hAnsi="Times New Roman;Times;serif"/>
          <w:spacing w:val="-1"/>
          <w:sz w:val="20"/>
        </w:rPr>
        <w:t xml:space="preserve"> </w:t>
      </w:r>
      <w:r>
        <w:rPr>
          <w:rFonts w:ascii="Times New Roman;Times;serif" w:hAnsi="Times New Roman;Times;serif"/>
          <w:sz w:val="20"/>
        </w:rPr>
        <w:t>enforce</w:t>
      </w:r>
      <w:r>
        <w:rPr>
          <w:rFonts w:ascii="Times New Roman;Times;serif" w:hAnsi="Times New Roman;Times;serif"/>
          <w:spacing w:val="-2"/>
          <w:sz w:val="20"/>
        </w:rPr>
        <w:t xml:space="preserve"> </w:t>
      </w:r>
      <w:r>
        <w:rPr>
          <w:rFonts w:ascii="Times New Roman;Times;serif" w:hAnsi="Times New Roman;Times;serif"/>
          <w:sz w:val="20"/>
        </w:rPr>
        <w:t>federal</w:t>
      </w:r>
      <w:r>
        <w:rPr>
          <w:rFonts w:ascii="Times New Roman;Times;serif" w:hAnsi="Times New Roman;Times;serif"/>
          <w:spacing w:val="-2"/>
          <w:sz w:val="20"/>
        </w:rPr>
        <w:t xml:space="preserve"> </w:t>
      </w:r>
      <w:r>
        <w:rPr>
          <w:rFonts w:ascii="Times New Roman;Times;serif" w:hAnsi="Times New Roman;Times;serif"/>
          <w:sz w:val="20"/>
        </w:rPr>
        <w:t>cannabis</w:t>
      </w:r>
      <w:r>
        <w:rPr>
          <w:rFonts w:ascii="Times New Roman;Times;serif" w:hAnsi="Times New Roman;Times;serif"/>
          <w:spacing w:val="-3"/>
          <w:sz w:val="20"/>
        </w:rPr>
        <w:t xml:space="preserve"> </w:t>
      </w:r>
      <w:r>
        <w:rPr>
          <w:rFonts w:ascii="Times New Roman;Times;serif" w:hAnsi="Times New Roman;Times;serif"/>
          <w:sz w:val="20"/>
        </w:rPr>
        <w:t>laws</w:t>
      </w:r>
      <w:r>
        <w:rPr>
          <w:rFonts w:ascii="Times New Roman;Times;serif" w:hAnsi="Times New Roman;Times;serif"/>
          <w:spacing w:val="-3"/>
          <w:sz w:val="20"/>
        </w:rPr>
        <w:t xml:space="preserve"> </w:t>
      </w:r>
      <w:r>
        <w:rPr>
          <w:rFonts w:ascii="Times New Roman;Times;serif" w:hAnsi="Times New Roman;Times;serif"/>
          <w:sz w:val="20"/>
        </w:rPr>
        <w:t>against</w:t>
      </w:r>
      <w:r>
        <w:rPr>
          <w:rFonts w:ascii="Times New Roman;Times;serif" w:hAnsi="Times New Roman;Times;serif"/>
          <w:spacing w:val="-2"/>
          <w:sz w:val="20"/>
        </w:rPr>
        <w:t xml:space="preserve"> </w:t>
      </w:r>
      <w:r>
        <w:rPr>
          <w:rFonts w:ascii="Times New Roman;Times;serif" w:hAnsi="Times New Roman;Times;serif"/>
          <w:sz w:val="20"/>
        </w:rPr>
        <w:t>regulated</w:t>
      </w:r>
      <w:r>
        <w:rPr>
          <w:rFonts w:ascii="Times New Roman;Times;serif" w:hAnsi="Times New Roman;Times;serif"/>
          <w:spacing w:val="-1"/>
          <w:sz w:val="20"/>
        </w:rPr>
        <w:t xml:space="preserve"> </w:t>
      </w:r>
      <w:r>
        <w:rPr>
          <w:rFonts w:ascii="Times New Roman;Times;serif" w:hAnsi="Times New Roman;Times;serif"/>
          <w:sz w:val="20"/>
        </w:rPr>
        <w:t>medical</w:t>
      </w:r>
      <w:r>
        <w:rPr>
          <w:rFonts w:ascii="Times New Roman;Times;serif" w:hAnsi="Times New Roman;Times;serif"/>
          <w:spacing w:val="-2"/>
          <w:sz w:val="20"/>
        </w:rPr>
        <w:t xml:space="preserve"> </w:t>
      </w:r>
      <w:r>
        <w:rPr>
          <w:rFonts w:ascii="Times New Roman;Times;serif" w:hAnsi="Times New Roman;Times;serif"/>
          <w:sz w:val="20"/>
        </w:rPr>
        <w:t>cannabis</w:t>
      </w:r>
      <w:r>
        <w:rPr>
          <w:rFonts w:ascii="Times New Roman;Times;serif" w:hAnsi="Times New Roman;Times;serif"/>
          <w:spacing w:val="-3"/>
          <w:sz w:val="20"/>
        </w:rPr>
        <w:t xml:space="preserve"> </w:t>
      </w:r>
      <w:r>
        <w:rPr>
          <w:rFonts w:ascii="Times New Roman;Times;serif" w:hAnsi="Times New Roman;Times;serif"/>
          <w:sz w:val="20"/>
        </w:rPr>
        <w:t>actors</w:t>
      </w:r>
      <w:r>
        <w:rPr>
          <w:rFonts w:ascii="Times New Roman;Times;serif" w:hAnsi="Times New Roman;Times;serif"/>
          <w:spacing w:val="-3"/>
          <w:sz w:val="20"/>
        </w:rPr>
        <w:t xml:space="preserve"> </w:t>
      </w:r>
      <w:r>
        <w:rPr>
          <w:rFonts w:ascii="Times New Roman;Times;serif" w:hAnsi="Times New Roman;Times;serif"/>
          <w:sz w:val="20"/>
        </w:rPr>
        <w:t>operating</w:t>
      </w:r>
      <w:r>
        <w:rPr>
          <w:rFonts w:ascii="Times New Roman;Times;serif" w:hAnsi="Times New Roman;Times;serif"/>
          <w:spacing w:val="-1"/>
          <w:sz w:val="20"/>
        </w:rPr>
        <w:t xml:space="preserve"> </w:t>
      </w:r>
      <w:r>
        <w:rPr>
          <w:rFonts w:ascii="Times New Roman;Times;serif" w:hAnsi="Times New Roman;Times;serif"/>
          <w:sz w:val="20"/>
        </w:rPr>
        <w:t>in</w:t>
      </w:r>
      <w:r>
        <w:rPr>
          <w:rFonts w:ascii="Times New Roman;Times;serif" w:hAnsi="Times New Roman;Times;serif"/>
          <w:spacing w:val="-1"/>
          <w:sz w:val="20"/>
        </w:rPr>
        <w:t xml:space="preserve"> </w:t>
      </w:r>
      <w:r>
        <w:rPr>
          <w:rFonts w:ascii="Times New Roman;Times;serif" w:hAnsi="Times New Roman;Times;serif"/>
          <w:sz w:val="20"/>
        </w:rPr>
        <w:t>compliance</w:t>
      </w:r>
      <w:r>
        <w:rPr>
          <w:rFonts w:ascii="Times New Roman;Times;serif" w:hAnsi="Times New Roman;Times;serif"/>
          <w:spacing w:val="-2"/>
          <w:sz w:val="20"/>
        </w:rPr>
        <w:t xml:space="preserve"> </w:t>
      </w:r>
      <w:r>
        <w:rPr>
          <w:rFonts w:ascii="Times New Roman;Times;serif" w:hAnsi="Times New Roman;Times;serif"/>
          <w:sz w:val="20"/>
        </w:rPr>
        <w:t>with</w:t>
      </w:r>
      <w:r>
        <w:rPr>
          <w:rFonts w:ascii="Times New Roman;Times;serif" w:hAnsi="Times New Roman;Times;serif"/>
          <w:spacing w:val="-3"/>
          <w:sz w:val="20"/>
        </w:rPr>
        <w:t xml:space="preserve"> </w:t>
      </w:r>
      <w:r>
        <w:rPr>
          <w:rFonts w:ascii="Times New Roman;Times;serif" w:hAnsi="Times New Roman;Times;serif"/>
          <w:sz w:val="20"/>
        </w:rPr>
        <w:t>state</w:t>
      </w:r>
      <w:r>
        <w:rPr>
          <w:rFonts w:ascii="Times New Roman;Times;serif" w:hAnsi="Times New Roman;Times;serif"/>
          <w:spacing w:val="-4"/>
          <w:sz w:val="20"/>
        </w:rPr>
        <w:t xml:space="preserve"> </w:t>
      </w:r>
      <w:r>
        <w:rPr>
          <w:rFonts w:ascii="Times New Roman;Times;serif" w:hAnsi="Times New Roman;Times;serif"/>
          <w:sz w:val="20"/>
        </w:rPr>
        <w:t>and</w:t>
      </w:r>
      <w:r>
        <w:rPr>
          <w:rFonts w:ascii="Times New Roman;Times;serif" w:hAnsi="Times New Roman;Times;serif"/>
          <w:spacing w:val="-3"/>
          <w:sz w:val="20"/>
        </w:rPr>
        <w:t xml:space="preserve"> </w:t>
      </w:r>
      <w:r>
        <w:rPr>
          <w:rFonts w:ascii="Times New Roman;Times;serif" w:hAnsi="Times New Roman;Times;serif"/>
          <w:sz w:val="20"/>
        </w:rPr>
        <w:t>local</w:t>
      </w:r>
      <w:r>
        <w:rPr>
          <w:rFonts w:ascii="Times New Roman;Times;serif" w:hAnsi="Times New Roman;Times;serif"/>
          <w:spacing w:val="-5"/>
          <w:sz w:val="20"/>
        </w:rPr>
        <w:t xml:space="preserve"> </w:t>
      </w:r>
      <w:r>
        <w:rPr>
          <w:rFonts w:ascii="Times New Roman;Times;serif" w:hAnsi="Times New Roman;Times;serif"/>
          <w:sz w:val="20"/>
        </w:rPr>
        <w:t>law.</w:t>
      </w:r>
      <w:r>
        <w:rPr>
          <w:rFonts w:ascii="Times New Roman;Times;serif" w:hAnsi="Times New Roman;Times;serif"/>
          <w:spacing w:val="-4"/>
          <w:sz w:val="20"/>
        </w:rPr>
        <w:t xml:space="preserve"> </w:t>
      </w:r>
      <w:r>
        <w:rPr>
          <w:rFonts w:ascii="Times New Roman;Times;serif" w:hAnsi="Times New Roman;Times;serif"/>
          <w:sz w:val="20"/>
        </w:rPr>
        <w:t>The</w:t>
      </w:r>
      <w:r>
        <w:rPr>
          <w:rFonts w:ascii="Times New Roman;Times;serif" w:hAnsi="Times New Roman;Times;serif"/>
          <w:spacing w:val="-4"/>
          <w:sz w:val="20"/>
        </w:rPr>
        <w:t xml:space="preserve"> </w:t>
      </w:r>
      <w:r>
        <w:rPr>
          <w:rFonts w:ascii="Times New Roman;Times;serif" w:hAnsi="Times New Roman;Times;serif"/>
          <w:sz w:val="20"/>
        </w:rPr>
        <w:t>rider</w:t>
      </w:r>
      <w:r>
        <w:rPr>
          <w:rFonts w:ascii="Times New Roman;Times;serif" w:hAnsi="Times New Roman;Times;serif"/>
          <w:spacing w:val="-4"/>
          <w:sz w:val="20"/>
        </w:rPr>
        <w:t xml:space="preserve"> </w:t>
      </w:r>
      <w:r>
        <w:rPr>
          <w:rFonts w:ascii="Times New Roman;Times;serif" w:hAnsi="Times New Roman;Times;serif"/>
          <w:sz w:val="20"/>
        </w:rPr>
        <w:t>is</w:t>
      </w:r>
      <w:r>
        <w:rPr>
          <w:rFonts w:ascii="Times New Roman;Times;serif" w:hAnsi="Times New Roman;Times;serif"/>
          <w:spacing w:val="-5"/>
          <w:sz w:val="20"/>
        </w:rPr>
        <w:t xml:space="preserve"> </w:t>
      </w:r>
      <w:r>
        <w:rPr>
          <w:rFonts w:ascii="Times New Roman;Times;serif" w:hAnsi="Times New Roman;Times;serif"/>
          <w:sz w:val="20"/>
        </w:rPr>
        <w:t>known</w:t>
      </w:r>
      <w:r>
        <w:rPr>
          <w:rFonts w:ascii="Times New Roman;Times;serif" w:hAnsi="Times New Roman;Times;serif"/>
          <w:spacing w:val="-3"/>
          <w:sz w:val="20"/>
        </w:rPr>
        <w:t xml:space="preserve"> </w:t>
      </w:r>
      <w:r>
        <w:rPr>
          <w:rFonts w:ascii="Times New Roman;Times;serif" w:hAnsi="Times New Roman;Times;serif"/>
          <w:sz w:val="20"/>
        </w:rPr>
        <w:t>as</w:t>
      </w:r>
      <w:r>
        <w:rPr>
          <w:rFonts w:ascii="Times New Roman;Times;serif" w:hAnsi="Times New Roman;Times;serif"/>
          <w:spacing w:val="-5"/>
          <w:sz w:val="20"/>
        </w:rPr>
        <w:t xml:space="preserve"> </w:t>
      </w:r>
      <w:r>
        <w:rPr>
          <w:rFonts w:ascii="Times New Roman;Times;serif" w:hAnsi="Times New Roman;Times;serif"/>
          <w:sz w:val="20"/>
        </w:rPr>
        <w:t>the</w:t>
      </w:r>
      <w:r>
        <w:rPr>
          <w:rFonts w:ascii="Times New Roman;Times;serif" w:hAnsi="Times New Roman;Times;serif"/>
          <w:spacing w:val="-4"/>
          <w:sz w:val="20"/>
        </w:rPr>
        <w:t xml:space="preserve"> </w:t>
      </w:r>
      <w:r>
        <w:rPr>
          <w:rFonts w:ascii="Times New Roman;Times;serif" w:hAnsi="Times New Roman;Times;serif"/>
          <w:sz w:val="20"/>
        </w:rPr>
        <w:t>"Rohrabacher-Farr"</w:t>
      </w:r>
      <w:r>
        <w:rPr>
          <w:rFonts w:ascii="Times New Roman;Times;serif" w:hAnsi="Times New Roman;Times;serif"/>
          <w:spacing w:val="-4"/>
          <w:sz w:val="20"/>
        </w:rPr>
        <w:t xml:space="preserve"> </w:t>
      </w:r>
      <w:r>
        <w:rPr>
          <w:rFonts w:ascii="Times New Roman;Times;serif" w:hAnsi="Times New Roman;Times;serif"/>
          <w:sz w:val="20"/>
        </w:rPr>
        <w:t>Amendment</w:t>
      </w:r>
      <w:r>
        <w:rPr>
          <w:rFonts w:ascii="Times New Roman;Times;serif" w:hAnsi="Times New Roman;Times;serif"/>
          <w:spacing w:val="-5"/>
          <w:sz w:val="20"/>
        </w:rPr>
        <w:t xml:space="preserve"> </w:t>
      </w:r>
      <w:r>
        <w:rPr>
          <w:rFonts w:ascii="Times New Roman;Times;serif" w:hAnsi="Times New Roman;Times;serif"/>
          <w:sz w:val="20"/>
        </w:rPr>
        <w:t>after</w:t>
      </w:r>
      <w:r>
        <w:rPr>
          <w:rFonts w:ascii="Times New Roman;Times;serif" w:hAnsi="Times New Roman;Times;serif"/>
          <w:spacing w:val="-4"/>
          <w:sz w:val="20"/>
        </w:rPr>
        <w:t xml:space="preserve"> </w:t>
      </w:r>
      <w:r>
        <w:rPr>
          <w:rFonts w:ascii="Times New Roman;Times;serif" w:hAnsi="Times New Roman;Times;serif"/>
          <w:sz w:val="20"/>
        </w:rPr>
        <w:t>its</w:t>
      </w:r>
      <w:r>
        <w:rPr>
          <w:rFonts w:ascii="Times New Roman;Times;serif" w:hAnsi="Times New Roman;Times;serif"/>
          <w:spacing w:val="-5"/>
          <w:sz w:val="20"/>
        </w:rPr>
        <w:t xml:space="preserve"> </w:t>
      </w:r>
      <w:r>
        <w:rPr>
          <w:rFonts w:ascii="Times New Roman;Times;serif" w:hAnsi="Times New Roman;Times;serif"/>
          <w:sz w:val="20"/>
        </w:rPr>
        <w:t>original</w:t>
      </w:r>
      <w:r>
        <w:rPr>
          <w:rFonts w:ascii="Times New Roman;Times;serif" w:hAnsi="Times New Roman;Times;serif"/>
          <w:spacing w:val="-5"/>
          <w:sz w:val="20"/>
        </w:rPr>
        <w:t xml:space="preserve"> </w:t>
      </w:r>
      <w:r>
        <w:rPr>
          <w:rFonts w:ascii="Times New Roman;Times;serif" w:hAnsi="Times New Roman;Times;serif"/>
          <w:sz w:val="20"/>
        </w:rPr>
        <w:t>lead</w:t>
      </w:r>
      <w:r>
        <w:rPr>
          <w:rFonts w:ascii="Times New Roman;Times;serif" w:hAnsi="Times New Roman;Times;serif"/>
          <w:spacing w:val="-3"/>
          <w:sz w:val="20"/>
        </w:rPr>
        <w:t xml:space="preserve"> </w:t>
      </w:r>
      <w:r>
        <w:rPr>
          <w:rFonts w:ascii="Times New Roman;Times;serif" w:hAnsi="Times New Roman;Times;serif"/>
          <w:sz w:val="20"/>
        </w:rPr>
        <w:t>sponsors</w:t>
      </w:r>
      <w:r>
        <w:rPr>
          <w:rFonts w:ascii="Times New Roman;Times;serif" w:hAnsi="Times New Roman;Times;serif"/>
          <w:spacing w:val="-5"/>
          <w:sz w:val="20"/>
        </w:rPr>
        <w:t xml:space="preserve"> </w:t>
      </w:r>
      <w:r>
        <w:rPr>
          <w:rFonts w:ascii="Times New Roman;Times;serif" w:hAnsi="Times New Roman;Times;serif"/>
          <w:sz w:val="20"/>
        </w:rPr>
        <w:t>(it</w:t>
      </w:r>
      <w:r>
        <w:rPr>
          <w:rFonts w:ascii="Times New Roman;Times;serif" w:hAnsi="Times New Roman;Times;serif"/>
          <w:spacing w:val="-5"/>
          <w:sz w:val="20"/>
        </w:rPr>
        <w:t xml:space="preserve"> </w:t>
      </w:r>
      <w:r>
        <w:rPr>
          <w:rFonts w:ascii="Times New Roman;Times;serif" w:hAnsi="Times New Roman;Times;serif"/>
          <w:sz w:val="20"/>
        </w:rPr>
        <w:t>is</w:t>
      </w:r>
      <w:r>
        <w:rPr>
          <w:rFonts w:ascii="Times New Roman;Times;serif" w:hAnsi="Times New Roman;Times;serif"/>
          <w:spacing w:val="-5"/>
          <w:sz w:val="20"/>
        </w:rPr>
        <w:t xml:space="preserve"> </w:t>
      </w:r>
      <w:r>
        <w:rPr>
          <w:rFonts w:ascii="Times New Roman;Times;serif" w:hAnsi="Times New Roman;Times;serif"/>
          <w:sz w:val="20"/>
        </w:rPr>
        <w:t>also</w:t>
      </w:r>
      <w:r>
        <w:rPr>
          <w:rFonts w:ascii="Times New Roman;Times;serif" w:hAnsi="Times New Roman;Times;serif"/>
          <w:spacing w:val="-3"/>
          <w:sz w:val="20"/>
        </w:rPr>
        <w:t xml:space="preserve"> </w:t>
      </w:r>
      <w:r>
        <w:rPr>
          <w:rFonts w:ascii="Times New Roman;Times;serif" w:hAnsi="Times New Roman;Times;serif"/>
          <w:sz w:val="20"/>
        </w:rPr>
        <w:t>sometimes</w:t>
      </w:r>
      <w:r>
        <w:rPr>
          <w:rFonts w:ascii="Times New Roman;Times;serif" w:hAnsi="Times New Roman;Times;serif"/>
          <w:spacing w:val="-2"/>
          <w:sz w:val="20"/>
        </w:rPr>
        <w:t xml:space="preserve"> </w:t>
      </w:r>
      <w:r>
        <w:rPr>
          <w:rFonts w:ascii="Times New Roman;Times;serif" w:hAnsi="Times New Roman;Times;serif"/>
          <w:sz w:val="20"/>
        </w:rPr>
        <w:t>referred</w:t>
      </w:r>
      <w:r>
        <w:rPr>
          <w:rFonts w:ascii="Times New Roman;Times;serif" w:hAnsi="Times New Roman;Times;serif"/>
          <w:spacing w:val="9"/>
          <w:sz w:val="20"/>
        </w:rPr>
        <w:t xml:space="preserve"> </w:t>
      </w:r>
      <w:r>
        <w:rPr>
          <w:rFonts w:ascii="Times New Roman;Times;serif" w:hAnsi="Times New Roman;Times;serif"/>
          <w:sz w:val="20"/>
        </w:rPr>
        <w:t>to</w:t>
      </w:r>
      <w:r>
        <w:rPr>
          <w:rFonts w:ascii="Times New Roman;Times;serif" w:hAnsi="Times New Roman;Times;serif"/>
          <w:spacing w:val="9"/>
          <w:sz w:val="20"/>
        </w:rPr>
        <w:t xml:space="preserve"> </w:t>
      </w:r>
      <w:r>
        <w:rPr>
          <w:rFonts w:ascii="Times New Roman;Times;serif" w:hAnsi="Times New Roman;Times;serif"/>
          <w:sz w:val="20"/>
        </w:rPr>
        <w:t>as</w:t>
      </w:r>
      <w:r>
        <w:rPr>
          <w:rFonts w:ascii="Times New Roman;Times;serif" w:hAnsi="Times New Roman;Times;serif"/>
          <w:spacing w:val="7"/>
          <w:sz w:val="20"/>
        </w:rPr>
        <w:t xml:space="preserve"> </w:t>
      </w:r>
      <w:r>
        <w:rPr>
          <w:rFonts w:ascii="Times New Roman;Times;serif" w:hAnsi="Times New Roman;Times;serif"/>
          <w:sz w:val="20"/>
        </w:rPr>
        <w:t>the</w:t>
      </w:r>
      <w:r>
        <w:rPr>
          <w:rFonts w:ascii="Times New Roman;Times;serif" w:hAnsi="Times New Roman;Times;serif"/>
          <w:spacing w:val="8"/>
          <w:sz w:val="20"/>
        </w:rPr>
        <w:t xml:space="preserve"> </w:t>
      </w:r>
      <w:r>
        <w:rPr>
          <w:rFonts w:ascii="Times New Roman;Times;serif" w:hAnsi="Times New Roman;Times;serif"/>
          <w:sz w:val="20"/>
        </w:rPr>
        <w:t>“Rohrabacher-Blumenauer”</w:t>
      </w:r>
      <w:r>
        <w:rPr>
          <w:rFonts w:ascii="Times New Roman;Times;serif" w:hAnsi="Times New Roman;Times;serif"/>
          <w:spacing w:val="6"/>
          <w:sz w:val="20"/>
        </w:rPr>
        <w:t xml:space="preserve"> </w:t>
      </w:r>
      <w:r>
        <w:rPr>
          <w:rFonts w:ascii="Times New Roman;Times;serif" w:hAnsi="Times New Roman;Times;serif"/>
          <w:sz w:val="20"/>
        </w:rPr>
        <w:t>or</w:t>
      </w:r>
      <w:r>
        <w:rPr>
          <w:rFonts w:ascii="Times New Roman;Times;serif" w:hAnsi="Times New Roman;Times;serif"/>
          <w:spacing w:val="8"/>
          <w:sz w:val="20"/>
        </w:rPr>
        <w:t xml:space="preserve"> </w:t>
      </w:r>
      <w:r>
        <w:rPr>
          <w:rFonts w:ascii="Times New Roman;Times;serif" w:hAnsi="Times New Roman;Times;serif"/>
          <w:sz w:val="20"/>
        </w:rPr>
        <w:t>“Joyce-Leahy”</w:t>
      </w:r>
      <w:r>
        <w:rPr>
          <w:rFonts w:ascii="Times New Roman;Times;serif" w:hAnsi="Times New Roman;Times;serif"/>
          <w:spacing w:val="8"/>
          <w:sz w:val="20"/>
        </w:rPr>
        <w:t xml:space="preserve"> </w:t>
      </w:r>
      <w:r>
        <w:rPr>
          <w:rFonts w:ascii="Times New Roman;Times;serif" w:hAnsi="Times New Roman;Times;serif"/>
          <w:sz w:val="20"/>
        </w:rPr>
        <w:t>Amendment).</w:t>
      </w:r>
      <w:r>
        <w:rPr>
          <w:rFonts w:ascii="Times New Roman;Times;serif" w:hAnsi="Times New Roman;Times;serif"/>
          <w:spacing w:val="6"/>
          <w:sz w:val="20"/>
        </w:rPr>
        <w:t xml:space="preserve"> </w:t>
      </w:r>
      <w:r>
        <w:rPr>
          <w:rFonts w:ascii="Times New Roman;Times;serif" w:hAnsi="Times New Roman;Times;serif"/>
          <w:sz w:val="20"/>
        </w:rPr>
        <w:t>In</w:t>
      </w:r>
      <w:r>
        <w:rPr>
          <w:rFonts w:ascii="Times New Roman;Times;serif" w:hAnsi="Times New Roman;Times;serif"/>
          <w:spacing w:val="6"/>
          <w:sz w:val="20"/>
        </w:rPr>
        <w:t xml:space="preserve"> </w:t>
      </w:r>
      <w:r>
        <w:rPr>
          <w:rFonts w:ascii="Times New Roman;Times;serif" w:hAnsi="Times New Roman;Times;serif"/>
          <w:sz w:val="20"/>
        </w:rPr>
        <w:t>2021,</w:t>
      </w:r>
      <w:r>
        <w:rPr>
          <w:rFonts w:ascii="Times New Roman;Times;serif" w:hAnsi="Times New Roman;Times;serif"/>
          <w:spacing w:val="6"/>
          <w:sz w:val="20"/>
        </w:rPr>
        <w:t xml:space="preserve"> </w:t>
      </w:r>
      <w:r>
        <w:rPr>
          <w:rFonts w:ascii="Times New Roman;Times;serif" w:hAnsi="Times New Roman;Times;serif"/>
          <w:sz w:val="20"/>
        </w:rPr>
        <w:t>President</w:t>
      </w:r>
      <w:r>
        <w:rPr>
          <w:rFonts w:ascii="Times New Roman;Times;serif" w:hAnsi="Times New Roman;Times;serif"/>
          <w:spacing w:val="5"/>
          <w:sz w:val="20"/>
        </w:rPr>
        <w:t xml:space="preserve"> </w:t>
      </w:r>
      <w:r>
        <w:rPr>
          <w:rFonts w:ascii="Times New Roman;Times;serif" w:hAnsi="Times New Roman;Times;serif"/>
          <w:sz w:val="20"/>
        </w:rPr>
        <w:t>Biden</w:t>
      </w:r>
      <w:r>
        <w:rPr>
          <w:rFonts w:ascii="Times New Roman;Times;serif" w:hAnsi="Times New Roman;Times;serif"/>
          <w:spacing w:val="4"/>
          <w:sz w:val="20"/>
        </w:rPr>
        <w:t xml:space="preserve"> </w:t>
      </w:r>
      <w:r>
        <w:rPr>
          <w:rFonts w:ascii="Times New Roman;Times;serif" w:hAnsi="Times New Roman;Times;serif"/>
          <w:sz w:val="20"/>
        </w:rPr>
        <w:t>became</w:t>
      </w:r>
      <w:r>
        <w:rPr>
          <w:rFonts w:ascii="Times New Roman;Times;serif" w:hAnsi="Times New Roman;Times;serif"/>
          <w:spacing w:val="5"/>
          <w:sz w:val="20"/>
        </w:rPr>
        <w:t xml:space="preserve"> </w:t>
      </w:r>
      <w:r>
        <w:rPr>
          <w:rFonts w:ascii="Times New Roman;Times;serif" w:hAnsi="Times New Roman;Times;serif"/>
          <w:sz w:val="20"/>
        </w:rPr>
        <w:t>the</w:t>
      </w:r>
      <w:r>
        <w:rPr>
          <w:rFonts w:ascii="Times New Roman;Times;serif" w:hAnsi="Times New Roman;Times;serif"/>
          <w:spacing w:val="5"/>
          <w:sz w:val="20"/>
        </w:rPr>
        <w:t xml:space="preserve"> </w:t>
      </w:r>
      <w:r>
        <w:rPr>
          <w:rFonts w:ascii="Times New Roman;Times;serif" w:hAnsi="Times New Roman;Times;serif"/>
          <w:sz w:val="20"/>
        </w:rPr>
        <w:t>first</w:t>
      </w:r>
      <w:r>
        <w:rPr>
          <w:rFonts w:ascii="Times New Roman;Times;serif" w:hAnsi="Times New Roman;Times;serif"/>
          <w:spacing w:val="3"/>
          <w:sz w:val="20"/>
        </w:rPr>
        <w:t xml:space="preserve"> </w:t>
      </w:r>
      <w:r>
        <w:rPr>
          <w:rFonts w:ascii="Times New Roman;Times;serif" w:hAnsi="Times New Roman;Times;serif"/>
          <w:sz w:val="20"/>
        </w:rPr>
        <w:t>president</w:t>
      </w:r>
      <w:r>
        <w:rPr>
          <w:rFonts w:ascii="Times New Roman;Times;serif" w:hAnsi="Times New Roman;Times;serif"/>
          <w:spacing w:val="5"/>
          <w:sz w:val="20"/>
        </w:rPr>
        <w:t xml:space="preserve"> </w:t>
      </w:r>
      <w:r>
        <w:rPr>
          <w:rFonts w:ascii="Times New Roman;Times;serif" w:hAnsi="Times New Roman;Times;serif"/>
          <w:sz w:val="20"/>
        </w:rPr>
        <w:t>to</w:t>
      </w:r>
      <w:r>
        <w:rPr>
          <w:rFonts w:ascii="Times New Roman;Times;serif" w:hAnsi="Times New Roman;Times;serif"/>
          <w:spacing w:val="4"/>
          <w:sz w:val="20"/>
        </w:rPr>
        <w:t xml:space="preserve"> </w:t>
      </w:r>
      <w:r>
        <w:rPr>
          <w:rFonts w:ascii="Times New Roman;Times;serif" w:hAnsi="Times New Roman;Times;serif"/>
          <w:sz w:val="20"/>
        </w:rPr>
        <w:t>propose</w:t>
      </w:r>
      <w:r>
        <w:rPr>
          <w:rFonts w:ascii="Times New Roman;Times;serif" w:hAnsi="Times New Roman;Times;serif"/>
          <w:spacing w:val="5"/>
          <w:sz w:val="20"/>
        </w:rPr>
        <w:t xml:space="preserve"> </w:t>
      </w:r>
      <w:r>
        <w:rPr>
          <w:rFonts w:ascii="Times New Roman;Times;serif" w:hAnsi="Times New Roman;Times;serif"/>
          <w:sz w:val="20"/>
        </w:rPr>
        <w:t>a</w:t>
      </w:r>
      <w:r>
        <w:rPr>
          <w:rFonts w:ascii="Times New Roman;Times;serif" w:hAnsi="Times New Roman;Times;serif"/>
          <w:spacing w:val="5"/>
          <w:sz w:val="20"/>
        </w:rPr>
        <w:t xml:space="preserve"> </w:t>
      </w:r>
      <w:r>
        <w:rPr>
          <w:rFonts w:ascii="Times New Roman;Times;serif" w:hAnsi="Times New Roman;Times;serif"/>
          <w:sz w:val="20"/>
        </w:rPr>
        <w:t>budget</w:t>
      </w:r>
      <w:r>
        <w:rPr>
          <w:rFonts w:ascii="Times New Roman;Times;serif" w:hAnsi="Times New Roman;Times;serif"/>
          <w:spacing w:val="3"/>
          <w:sz w:val="20"/>
        </w:rPr>
        <w:t xml:space="preserve"> </w:t>
      </w:r>
      <w:r>
        <w:rPr>
          <w:rFonts w:ascii="Times New Roman;Times;serif" w:hAnsi="Times New Roman;Times;serif"/>
          <w:sz w:val="20"/>
        </w:rPr>
        <w:t>with</w:t>
      </w:r>
      <w:r>
        <w:rPr>
          <w:rFonts w:ascii="Times New Roman;Times;serif" w:hAnsi="Times New Roman;Times;serif"/>
          <w:spacing w:val="6"/>
          <w:sz w:val="20"/>
        </w:rPr>
        <w:t xml:space="preserve"> </w:t>
      </w:r>
      <w:r>
        <w:rPr>
          <w:rFonts w:ascii="Times New Roman;Times;serif" w:hAnsi="Times New Roman;Times;serif"/>
          <w:sz w:val="20"/>
        </w:rPr>
        <w:t>the</w:t>
      </w:r>
      <w:r>
        <w:rPr>
          <w:rFonts w:ascii="Times New Roman;Times;serif" w:hAnsi="Times New Roman;Times;serif"/>
          <w:spacing w:val="3"/>
          <w:sz w:val="20"/>
        </w:rPr>
        <w:t xml:space="preserve"> </w:t>
      </w:r>
      <w:r>
        <w:rPr>
          <w:rFonts w:ascii="Times New Roman;Times;serif" w:hAnsi="Times New Roman;Times;serif"/>
          <w:sz w:val="20"/>
        </w:rPr>
        <w:t>Rohrabacher-Farr</w:t>
      </w:r>
      <w:r>
        <w:rPr>
          <w:rFonts w:ascii="Times New Roman;Times;serif" w:hAnsi="Times New Roman;Times;serif"/>
          <w:spacing w:val="-4"/>
          <w:sz w:val="20"/>
        </w:rPr>
        <w:t xml:space="preserve"> </w:t>
      </w:r>
      <w:r>
        <w:rPr>
          <w:rFonts w:ascii="Times New Roman;Times;serif" w:hAnsi="Times New Roman;Times;serif"/>
          <w:sz w:val="20"/>
        </w:rPr>
        <w:t>Amendment</w:t>
      </w:r>
      <w:r>
        <w:rPr>
          <w:rFonts w:ascii="Times New Roman;Times;serif" w:hAnsi="Times New Roman;Times;serif"/>
          <w:spacing w:val="12"/>
          <w:sz w:val="20"/>
        </w:rPr>
        <w:t xml:space="preserve"> </w:t>
      </w:r>
      <w:r>
        <w:rPr>
          <w:rFonts w:ascii="Times New Roman;Times;serif" w:hAnsi="Times New Roman;Times;serif"/>
          <w:sz w:val="20"/>
        </w:rPr>
        <w:t>included.</w:t>
      </w:r>
      <w:r>
        <w:rPr>
          <w:rFonts w:ascii="Times New Roman;Times;serif" w:hAnsi="Times New Roman;Times;serif"/>
          <w:spacing w:val="13"/>
          <w:sz w:val="20"/>
        </w:rPr>
        <w:t xml:space="preserve"> </w:t>
      </w:r>
      <w:r>
        <w:rPr>
          <w:rFonts w:ascii="Times New Roman;Times;serif" w:hAnsi="Times New Roman;Times;serif"/>
          <w:sz w:val="20"/>
        </w:rPr>
        <w:t>On</w:t>
      </w:r>
      <w:r>
        <w:rPr>
          <w:rFonts w:ascii="Times New Roman;Times;serif" w:hAnsi="Times New Roman;Times;serif"/>
          <w:spacing w:val="13"/>
          <w:sz w:val="20"/>
        </w:rPr>
        <w:t xml:space="preserve"> </w:t>
      </w:r>
      <w:r>
        <w:rPr>
          <w:rFonts w:ascii="Times New Roman;Times;serif" w:hAnsi="Times New Roman;Times;serif"/>
          <w:sz w:val="20"/>
        </w:rPr>
        <w:t>February</w:t>
      </w:r>
      <w:r>
        <w:rPr>
          <w:rFonts w:ascii="Times New Roman;Times;serif" w:hAnsi="Times New Roman;Times;serif"/>
          <w:spacing w:val="11"/>
          <w:sz w:val="20"/>
        </w:rPr>
        <w:t xml:space="preserve"> </w:t>
      </w:r>
      <w:r>
        <w:rPr>
          <w:rFonts w:ascii="Times New Roman;Times;serif" w:hAnsi="Times New Roman;Times;serif"/>
          <w:sz w:val="20"/>
        </w:rPr>
        <w:t>18,</w:t>
      </w:r>
      <w:r>
        <w:rPr>
          <w:rFonts w:ascii="Times New Roman;Times;serif" w:hAnsi="Times New Roman;Times;serif"/>
          <w:spacing w:val="11"/>
          <w:sz w:val="20"/>
        </w:rPr>
        <w:t xml:space="preserve"> </w:t>
      </w:r>
      <w:r>
        <w:rPr>
          <w:rFonts w:ascii="Times New Roman;Times;serif" w:hAnsi="Times New Roman;Times;serif"/>
          <w:sz w:val="20"/>
        </w:rPr>
        <w:t>2022,</w:t>
      </w:r>
      <w:r>
        <w:rPr>
          <w:rFonts w:ascii="Times New Roman;Times;serif" w:hAnsi="Times New Roman;Times;serif"/>
          <w:spacing w:val="13"/>
          <w:sz w:val="20"/>
        </w:rPr>
        <w:t xml:space="preserve"> </w:t>
      </w:r>
      <w:r>
        <w:rPr>
          <w:rFonts w:ascii="Times New Roman;Times;serif" w:hAnsi="Times New Roman;Times;serif"/>
          <w:sz w:val="20"/>
        </w:rPr>
        <w:t>the</w:t>
      </w:r>
      <w:r>
        <w:rPr>
          <w:rFonts w:ascii="Times New Roman;Times;serif" w:hAnsi="Times New Roman;Times;serif"/>
          <w:spacing w:val="13"/>
          <w:sz w:val="20"/>
        </w:rPr>
        <w:t xml:space="preserve"> </w:t>
      </w:r>
      <w:r>
        <w:rPr>
          <w:rFonts w:ascii="Times New Roman;Times;serif" w:hAnsi="Times New Roman;Times;serif"/>
          <w:sz w:val="20"/>
        </w:rPr>
        <w:t>amendment</w:t>
      </w:r>
      <w:r>
        <w:rPr>
          <w:rFonts w:ascii="Times New Roman;Times;serif" w:hAnsi="Times New Roman;Times;serif"/>
          <w:spacing w:val="12"/>
          <w:sz w:val="20"/>
        </w:rPr>
        <w:t xml:space="preserve"> </w:t>
      </w:r>
      <w:r>
        <w:rPr>
          <w:rFonts w:ascii="Times New Roman;Times;serif" w:hAnsi="Times New Roman;Times;serif"/>
          <w:sz w:val="20"/>
        </w:rPr>
        <w:t>was</w:t>
      </w:r>
      <w:r>
        <w:rPr>
          <w:rFonts w:ascii="Times New Roman;Times;serif" w:hAnsi="Times New Roman;Times;serif"/>
          <w:spacing w:val="12"/>
          <w:sz w:val="20"/>
        </w:rPr>
        <w:t xml:space="preserve"> </w:t>
      </w:r>
      <w:r>
        <w:rPr>
          <w:rFonts w:ascii="Times New Roman;Times;serif" w:hAnsi="Times New Roman;Times;serif"/>
          <w:sz w:val="20"/>
        </w:rPr>
        <w:t>renewed</w:t>
      </w:r>
      <w:r>
        <w:rPr>
          <w:rFonts w:ascii="Times New Roman;Times;serif" w:hAnsi="Times New Roman;Times;serif"/>
          <w:spacing w:val="13"/>
          <w:sz w:val="20"/>
        </w:rPr>
        <w:t xml:space="preserve"> </w:t>
      </w:r>
      <w:r>
        <w:rPr>
          <w:rFonts w:ascii="Times New Roman;Times;serif" w:hAnsi="Times New Roman;Times;serif"/>
          <w:sz w:val="20"/>
        </w:rPr>
        <w:t>through</w:t>
      </w:r>
      <w:r>
        <w:rPr>
          <w:rFonts w:ascii="Times New Roman;Times;serif" w:hAnsi="Times New Roman;Times;serif"/>
          <w:spacing w:val="13"/>
          <w:sz w:val="20"/>
        </w:rPr>
        <w:t xml:space="preserve"> </w:t>
      </w:r>
      <w:r>
        <w:rPr>
          <w:rFonts w:ascii="Times New Roman;Times;serif" w:hAnsi="Times New Roman;Times;serif"/>
          <w:sz w:val="20"/>
        </w:rPr>
        <w:t>the</w:t>
      </w:r>
      <w:r>
        <w:rPr>
          <w:rFonts w:ascii="Times New Roman;Times;serif" w:hAnsi="Times New Roman;Times;serif"/>
          <w:spacing w:val="10"/>
          <w:sz w:val="20"/>
        </w:rPr>
        <w:t xml:space="preserve"> </w:t>
      </w:r>
      <w:r>
        <w:rPr>
          <w:rFonts w:ascii="Times New Roman;Times;serif" w:hAnsi="Times New Roman;Times;serif"/>
          <w:sz w:val="20"/>
        </w:rPr>
        <w:t>signing</w:t>
      </w:r>
      <w:r>
        <w:rPr>
          <w:rFonts w:ascii="Times New Roman;Times;serif" w:hAnsi="Times New Roman;Times;serif"/>
          <w:spacing w:val="13"/>
          <w:sz w:val="20"/>
        </w:rPr>
        <w:t xml:space="preserve"> </w:t>
      </w:r>
      <w:r>
        <w:rPr>
          <w:rFonts w:ascii="Times New Roman;Times;serif" w:hAnsi="Times New Roman;Times;serif"/>
          <w:sz w:val="20"/>
        </w:rPr>
        <w:t>of</w:t>
      </w:r>
      <w:r>
        <w:rPr>
          <w:rFonts w:ascii="Times New Roman;Times;serif" w:hAnsi="Times New Roman;Times;serif"/>
          <w:spacing w:val="13"/>
          <w:sz w:val="20"/>
        </w:rPr>
        <w:t xml:space="preserve"> </w:t>
      </w:r>
      <w:r>
        <w:rPr>
          <w:rFonts w:ascii="Times New Roman;Times;serif" w:hAnsi="Times New Roman;Times;serif"/>
          <w:sz w:val="20"/>
        </w:rPr>
        <w:t>a</w:t>
      </w:r>
      <w:r>
        <w:rPr>
          <w:rFonts w:ascii="Times New Roman;Times;serif" w:hAnsi="Times New Roman;Times;serif"/>
          <w:spacing w:val="13"/>
          <w:sz w:val="20"/>
        </w:rPr>
        <w:t xml:space="preserve"> </w:t>
      </w:r>
      <w:r>
        <w:rPr>
          <w:rFonts w:ascii="Times New Roman;Times;serif" w:hAnsi="Times New Roman;Times;serif"/>
          <w:sz w:val="20"/>
        </w:rPr>
        <w:t>stopgap</w:t>
      </w:r>
      <w:r>
        <w:rPr>
          <w:rFonts w:ascii="Times New Roman;Times;serif" w:hAnsi="Times New Roman;Times;serif"/>
          <w:spacing w:val="13"/>
          <w:sz w:val="20"/>
        </w:rPr>
        <w:t xml:space="preserve"> </w:t>
      </w:r>
      <w:r>
        <w:rPr>
          <w:rFonts w:ascii="Times New Roman;Times;serif" w:hAnsi="Times New Roman;Times;serif"/>
          <w:sz w:val="20"/>
        </w:rPr>
        <w:t>spending</w:t>
      </w:r>
      <w:r>
        <w:rPr>
          <w:rFonts w:ascii="Times New Roman;Times;serif" w:hAnsi="Times New Roman;Times;serif"/>
          <w:spacing w:val="11"/>
          <w:sz w:val="20"/>
        </w:rPr>
        <w:t xml:space="preserve"> </w:t>
      </w:r>
      <w:r>
        <w:rPr>
          <w:rFonts w:ascii="Times New Roman;Times;serif" w:hAnsi="Times New Roman;Times;serif"/>
          <w:sz w:val="20"/>
        </w:rPr>
        <w:t>bill,</w:t>
      </w:r>
      <w:r>
        <w:rPr>
          <w:rFonts w:ascii="Times New Roman;Times;serif" w:hAnsi="Times New Roman;Times;serif"/>
          <w:spacing w:val="13"/>
          <w:sz w:val="20"/>
        </w:rPr>
        <w:t xml:space="preserve"> </w:t>
      </w:r>
      <w:r>
        <w:rPr>
          <w:rFonts w:ascii="Times New Roman;Times;serif" w:hAnsi="Times New Roman;Times;serif"/>
          <w:sz w:val="20"/>
        </w:rPr>
        <w:t>effective</w:t>
      </w:r>
      <w:r>
        <w:rPr>
          <w:rFonts w:ascii="Times New Roman;Times;serif" w:hAnsi="Times New Roman;Times;serif"/>
          <w:spacing w:val="-1"/>
          <w:sz w:val="20"/>
        </w:rPr>
        <w:t xml:space="preserve"> </w:t>
      </w:r>
      <w:r>
        <w:rPr>
          <w:rFonts w:ascii="Times New Roman;Times;serif" w:hAnsi="Times New Roman;Times;serif"/>
          <w:sz w:val="20"/>
        </w:rPr>
        <w:t>through</w:t>
      </w:r>
      <w:r>
        <w:rPr>
          <w:rFonts w:ascii="Times New Roman;Times;serif" w:hAnsi="Times New Roman;Times;serif"/>
          <w:spacing w:val="-1"/>
          <w:sz w:val="20"/>
        </w:rPr>
        <w:t xml:space="preserve"> </w:t>
      </w:r>
      <w:r>
        <w:rPr>
          <w:rFonts w:ascii="Times New Roman;Times;serif" w:hAnsi="Times New Roman;Times;serif"/>
          <w:sz w:val="20"/>
        </w:rPr>
        <w:t>March</w:t>
      </w:r>
      <w:r>
        <w:rPr>
          <w:rFonts w:ascii="Times New Roman;Times;serif" w:hAnsi="Times New Roman;Times;serif"/>
          <w:spacing w:val="-3"/>
          <w:sz w:val="20"/>
        </w:rPr>
        <w:t xml:space="preserve"> </w:t>
      </w:r>
      <w:r>
        <w:rPr>
          <w:rFonts w:ascii="Times New Roman;Times;serif" w:hAnsi="Times New Roman;Times;serif"/>
          <w:sz w:val="20"/>
        </w:rPr>
        <w:t>11,</w:t>
      </w:r>
      <w:r>
        <w:rPr>
          <w:rFonts w:ascii="Times New Roman;Times;serif" w:hAnsi="Times New Roman;Times;serif"/>
          <w:spacing w:val="-4"/>
          <w:sz w:val="20"/>
        </w:rPr>
        <w:t xml:space="preserve"> </w:t>
      </w:r>
      <w:r>
        <w:rPr>
          <w:rFonts w:ascii="Times New Roman;Times;serif" w:hAnsi="Times New Roman;Times;serif"/>
          <w:sz w:val="20"/>
        </w:rPr>
        <w:t>2022.</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116" w:hanging="0"/>
        <w:jc w:val="both"/>
        <w:rPr>
          <w:rFonts w:ascii="Times New Roman;Times;serif" w:hAnsi="Times New Roman;Times;serif"/>
          <w:sz w:val="20"/>
        </w:rPr>
      </w:pPr>
      <w:r>
        <w:rPr>
          <w:rFonts w:ascii="Times New Roman;Times;serif" w:hAnsi="Times New Roman;Times;serif"/>
          <w:sz w:val="20"/>
        </w:rPr>
        <w:t>Nevertheless,</w:t>
      </w:r>
      <w:r>
        <w:rPr>
          <w:rFonts w:ascii="Times New Roman;Times;serif" w:hAnsi="Times New Roman;Times;serif"/>
          <w:spacing w:val="40"/>
          <w:sz w:val="20"/>
        </w:rPr>
        <w:t xml:space="preserve"> </w:t>
      </w:r>
      <w:r>
        <w:rPr>
          <w:rFonts w:ascii="Times New Roman;Times;serif" w:hAnsi="Times New Roman;Times;serif"/>
          <w:sz w:val="20"/>
        </w:rPr>
        <w:t>for</w:t>
      </w:r>
      <w:r>
        <w:rPr>
          <w:rFonts w:ascii="Times New Roman;Times;serif" w:hAnsi="Times New Roman;Times;serif"/>
          <w:spacing w:val="40"/>
          <w:sz w:val="20"/>
        </w:rPr>
        <w:t xml:space="preserve"> </w:t>
      </w:r>
      <w:r>
        <w:rPr>
          <w:rFonts w:ascii="Times New Roman;Times;serif" w:hAnsi="Times New Roman;Times;serif"/>
          <w:sz w:val="20"/>
        </w:rPr>
        <w:t>the</w:t>
      </w:r>
      <w:r>
        <w:rPr>
          <w:rFonts w:ascii="Times New Roman;Times;serif" w:hAnsi="Times New Roman;Times;serif"/>
          <w:spacing w:val="40"/>
          <w:sz w:val="20"/>
        </w:rPr>
        <w:t xml:space="preserve"> </w:t>
      </w:r>
      <w:r>
        <w:rPr>
          <w:rFonts w:ascii="Times New Roman;Times;serif" w:hAnsi="Times New Roman;Times;serif"/>
          <w:sz w:val="20"/>
        </w:rPr>
        <w:t>time</w:t>
      </w:r>
      <w:r>
        <w:rPr>
          <w:rFonts w:ascii="Times New Roman;Times;serif" w:hAnsi="Times New Roman;Times;serif"/>
          <w:spacing w:val="40"/>
          <w:sz w:val="20"/>
        </w:rPr>
        <w:t xml:space="preserve"> </w:t>
      </w:r>
      <w:r>
        <w:rPr>
          <w:rFonts w:ascii="Times New Roman;Times;serif" w:hAnsi="Times New Roman;Times;serif"/>
          <w:sz w:val="20"/>
        </w:rPr>
        <w:t>being,</w:t>
      </w:r>
      <w:r>
        <w:rPr>
          <w:rFonts w:ascii="Times New Roman;Times;serif" w:hAnsi="Times New Roman;Times;serif"/>
          <w:spacing w:val="40"/>
          <w:sz w:val="20"/>
        </w:rPr>
        <w:t xml:space="preserve"> </w:t>
      </w:r>
      <w:r>
        <w:rPr>
          <w:rFonts w:ascii="Times New Roman;Times;serif" w:hAnsi="Times New Roman;Times;serif"/>
          <w:sz w:val="20"/>
        </w:rPr>
        <w:t>cannabis</w:t>
      </w:r>
      <w:r>
        <w:rPr>
          <w:rFonts w:ascii="Times New Roman;Times;serif" w:hAnsi="Times New Roman;Times;serif"/>
          <w:spacing w:val="40"/>
          <w:sz w:val="20"/>
        </w:rPr>
        <w:t xml:space="preserve"> </w:t>
      </w:r>
      <w:r>
        <w:rPr>
          <w:rFonts w:ascii="Times New Roman;Times;serif" w:hAnsi="Times New Roman;Times;serif"/>
          <w:sz w:val="20"/>
        </w:rPr>
        <w:t>remains</w:t>
      </w:r>
      <w:r>
        <w:rPr>
          <w:rFonts w:ascii="Times New Roman;Times;serif" w:hAnsi="Times New Roman;Times;serif"/>
          <w:spacing w:val="40"/>
          <w:sz w:val="20"/>
        </w:rPr>
        <w:t xml:space="preserve"> </w:t>
      </w:r>
      <w:r>
        <w:rPr>
          <w:rFonts w:ascii="Times New Roman;Times;serif" w:hAnsi="Times New Roman;Times;serif"/>
          <w:sz w:val="20"/>
        </w:rPr>
        <w:t>a</w:t>
      </w:r>
      <w:r>
        <w:rPr>
          <w:rFonts w:ascii="Times New Roman;Times;serif" w:hAnsi="Times New Roman;Times;serif"/>
          <w:spacing w:val="40"/>
          <w:sz w:val="20"/>
        </w:rPr>
        <w:t xml:space="preserve"> </w:t>
      </w:r>
      <w:r>
        <w:rPr>
          <w:rFonts w:ascii="Times New Roman;Times;serif" w:hAnsi="Times New Roman;Times;serif"/>
          <w:sz w:val="20"/>
        </w:rPr>
        <w:t>Schedule</w:t>
      </w:r>
      <w:r>
        <w:rPr>
          <w:rFonts w:ascii="Times New Roman;Times;serif" w:hAnsi="Times New Roman;Times;serif"/>
          <w:spacing w:val="40"/>
          <w:sz w:val="20"/>
        </w:rPr>
        <w:t xml:space="preserve"> </w:t>
      </w:r>
      <w:r>
        <w:rPr>
          <w:rFonts w:ascii="Times New Roman;Times;serif" w:hAnsi="Times New Roman;Times;serif"/>
          <w:sz w:val="20"/>
        </w:rPr>
        <w:t>I</w:t>
      </w:r>
      <w:r>
        <w:rPr>
          <w:rFonts w:ascii="Times New Roman;Times;serif" w:hAnsi="Times New Roman;Times;serif"/>
          <w:spacing w:val="40"/>
          <w:sz w:val="20"/>
        </w:rPr>
        <w:t xml:space="preserve"> </w:t>
      </w:r>
      <w:r>
        <w:rPr>
          <w:rFonts w:ascii="Times New Roman;Times;serif" w:hAnsi="Times New Roman;Times;serif"/>
          <w:sz w:val="20"/>
        </w:rPr>
        <w:t>controlled</w:t>
      </w:r>
      <w:r>
        <w:rPr>
          <w:rFonts w:ascii="Times New Roman;Times;serif" w:hAnsi="Times New Roman;Times;serif"/>
          <w:spacing w:val="40"/>
          <w:sz w:val="20"/>
        </w:rPr>
        <w:t xml:space="preserve"> </w:t>
      </w:r>
      <w:r>
        <w:rPr>
          <w:rFonts w:ascii="Times New Roman;Times;serif" w:hAnsi="Times New Roman;Times;serif"/>
          <w:sz w:val="20"/>
        </w:rPr>
        <w:t>substance</w:t>
      </w:r>
      <w:r>
        <w:rPr>
          <w:rFonts w:ascii="Times New Roman;Times;serif" w:hAnsi="Times New Roman;Times;serif"/>
          <w:spacing w:val="40"/>
          <w:sz w:val="20"/>
        </w:rPr>
        <w:t xml:space="preserve"> </w:t>
      </w:r>
      <w:r>
        <w:rPr>
          <w:rFonts w:ascii="Times New Roman;Times;serif" w:hAnsi="Times New Roman;Times;serif"/>
          <w:sz w:val="20"/>
        </w:rPr>
        <w:t>at</w:t>
      </w:r>
      <w:r>
        <w:rPr>
          <w:rFonts w:ascii="Times New Roman;Times;serif" w:hAnsi="Times New Roman;Times;serif"/>
          <w:spacing w:val="40"/>
          <w:sz w:val="20"/>
        </w:rPr>
        <w:t xml:space="preserve"> </w:t>
      </w:r>
      <w:r>
        <w:rPr>
          <w:rFonts w:ascii="Times New Roman;Times;serif" w:hAnsi="Times New Roman;Times;serif"/>
          <w:sz w:val="20"/>
        </w:rPr>
        <w:t>the</w:t>
      </w:r>
      <w:r>
        <w:rPr>
          <w:rFonts w:ascii="Times New Roman;Times;serif" w:hAnsi="Times New Roman;Times;serif"/>
          <w:spacing w:val="40"/>
          <w:sz w:val="20"/>
        </w:rPr>
        <w:t xml:space="preserve"> </w:t>
      </w:r>
      <w:r>
        <w:rPr>
          <w:rFonts w:ascii="Times New Roman;Times;serif" w:hAnsi="Times New Roman;Times;serif"/>
          <w:sz w:val="20"/>
        </w:rPr>
        <w:t>federal</w:t>
      </w:r>
      <w:r>
        <w:rPr>
          <w:rFonts w:ascii="Times New Roman;Times;serif" w:hAnsi="Times New Roman;Times;serif"/>
          <w:spacing w:val="40"/>
          <w:sz w:val="20"/>
        </w:rPr>
        <w:t xml:space="preserve"> </w:t>
      </w:r>
      <w:r>
        <w:rPr>
          <w:rFonts w:ascii="Times New Roman;Times;serif" w:hAnsi="Times New Roman;Times;serif"/>
          <w:sz w:val="20"/>
        </w:rPr>
        <w:t>level.</w:t>
      </w:r>
      <w:r>
        <w:rPr>
          <w:rFonts w:ascii="Times New Roman;Times;serif" w:hAnsi="Times New Roman;Times;serif"/>
          <w:spacing w:val="40"/>
          <w:sz w:val="20"/>
        </w:rPr>
        <w:t xml:space="preserve"> </w:t>
      </w:r>
      <w:r>
        <w:rPr>
          <w:rFonts w:ascii="Times New Roman;Times;serif" w:hAnsi="Times New Roman;Times;serif"/>
          <w:sz w:val="20"/>
        </w:rPr>
        <w:t>The</w:t>
      </w:r>
      <w:r>
        <w:rPr>
          <w:rFonts w:ascii="Times New Roman;Times;serif" w:hAnsi="Times New Roman;Times;serif"/>
          <w:spacing w:val="40"/>
          <w:sz w:val="20"/>
        </w:rPr>
        <w:t xml:space="preserve"> </w:t>
      </w:r>
      <w:r>
        <w:rPr>
          <w:rFonts w:ascii="Times New Roman;Times;serif" w:hAnsi="Times New Roman;Times;serif"/>
          <w:sz w:val="20"/>
        </w:rPr>
        <w:t>federal</w:t>
      </w:r>
      <w:r>
        <w:rPr>
          <w:rFonts w:ascii="Times New Roman;Times;serif" w:hAnsi="Times New Roman;Times;serif"/>
          <w:spacing w:val="-2"/>
          <w:sz w:val="20"/>
        </w:rPr>
        <w:t xml:space="preserve"> </w:t>
      </w:r>
      <w:r>
        <w:rPr>
          <w:rFonts w:ascii="Times New Roman;Times;serif" w:hAnsi="Times New Roman;Times;serif"/>
          <w:sz w:val="20"/>
        </w:rPr>
        <w:t>government</w:t>
      </w:r>
      <w:r>
        <w:rPr>
          <w:rFonts w:ascii="Times New Roman;Times;serif" w:hAnsi="Times New Roman;Times;serif"/>
          <w:spacing w:val="-6"/>
          <w:sz w:val="20"/>
        </w:rPr>
        <w:t xml:space="preserve"> </w:t>
      </w:r>
      <w:r>
        <w:rPr>
          <w:rFonts w:ascii="Times New Roman;Times;serif" w:hAnsi="Times New Roman;Times;serif"/>
          <w:sz w:val="20"/>
        </w:rPr>
        <w:t>of</w:t>
      </w:r>
      <w:r>
        <w:rPr>
          <w:rFonts w:ascii="Times New Roman;Times;serif" w:hAnsi="Times New Roman;Times;serif"/>
          <w:spacing w:val="-5"/>
          <w:sz w:val="20"/>
        </w:rPr>
        <w:t xml:space="preserve"> </w:t>
      </w:r>
      <w:r>
        <w:rPr>
          <w:rFonts w:ascii="Times New Roman;Times;serif" w:hAnsi="Times New Roman;Times;serif"/>
          <w:sz w:val="20"/>
        </w:rPr>
        <w:t>the</w:t>
      </w:r>
      <w:r>
        <w:rPr>
          <w:rFonts w:ascii="Times New Roman;Times;serif" w:hAnsi="Times New Roman;Times;serif"/>
          <w:spacing w:val="-3"/>
          <w:sz w:val="20"/>
        </w:rPr>
        <w:t xml:space="preserve"> </w:t>
      </w:r>
      <w:r>
        <w:rPr>
          <w:rFonts w:ascii="Times New Roman;Times;serif" w:hAnsi="Times New Roman;Times;serif"/>
          <w:sz w:val="20"/>
        </w:rPr>
        <w:t>U.S.</w:t>
      </w:r>
      <w:r>
        <w:rPr>
          <w:rFonts w:ascii="Times New Roman;Times;serif" w:hAnsi="Times New Roman;Times;serif"/>
          <w:spacing w:val="-5"/>
          <w:sz w:val="20"/>
        </w:rPr>
        <w:t xml:space="preserve"> </w:t>
      </w:r>
      <w:r>
        <w:rPr>
          <w:rFonts w:ascii="Times New Roman;Times;serif" w:hAnsi="Times New Roman;Times;serif"/>
          <w:sz w:val="20"/>
        </w:rPr>
        <w:t>has</w:t>
      </w:r>
      <w:r>
        <w:rPr>
          <w:rFonts w:ascii="Times New Roman;Times;serif" w:hAnsi="Times New Roman;Times;serif"/>
          <w:spacing w:val="-4"/>
          <w:sz w:val="20"/>
        </w:rPr>
        <w:t xml:space="preserve"> </w:t>
      </w:r>
      <w:r>
        <w:rPr>
          <w:rFonts w:ascii="Times New Roman;Times;serif" w:hAnsi="Times New Roman;Times;serif"/>
          <w:sz w:val="20"/>
        </w:rPr>
        <w:t>always</w:t>
      </w:r>
      <w:r>
        <w:rPr>
          <w:rFonts w:ascii="Times New Roman;Times;serif" w:hAnsi="Times New Roman;Times;serif"/>
          <w:spacing w:val="-4"/>
          <w:sz w:val="20"/>
        </w:rPr>
        <w:t xml:space="preserve"> </w:t>
      </w:r>
      <w:r>
        <w:rPr>
          <w:rFonts w:ascii="Times New Roman;Times;serif" w:hAnsi="Times New Roman;Times;serif"/>
          <w:sz w:val="20"/>
        </w:rPr>
        <w:t>reserved</w:t>
      </w:r>
      <w:r>
        <w:rPr>
          <w:rFonts w:ascii="Times New Roman;Times;serif" w:hAnsi="Times New Roman;Times;serif"/>
          <w:spacing w:val="-5"/>
          <w:sz w:val="20"/>
        </w:rPr>
        <w:t xml:space="preserve"> </w:t>
      </w:r>
      <w:r>
        <w:rPr>
          <w:rFonts w:ascii="Times New Roman;Times;serif" w:hAnsi="Times New Roman;Times;serif"/>
          <w:sz w:val="20"/>
        </w:rPr>
        <w:t>the</w:t>
      </w:r>
      <w:r>
        <w:rPr>
          <w:rFonts w:ascii="Times New Roman;Times;serif" w:hAnsi="Times New Roman;Times;serif"/>
          <w:spacing w:val="-3"/>
          <w:sz w:val="20"/>
        </w:rPr>
        <w:t xml:space="preserve"> </w:t>
      </w:r>
      <w:r>
        <w:rPr>
          <w:rFonts w:ascii="Times New Roman;Times;serif" w:hAnsi="Times New Roman;Times;serif"/>
          <w:sz w:val="20"/>
        </w:rPr>
        <w:t>right</w:t>
      </w:r>
      <w:r>
        <w:rPr>
          <w:rFonts w:ascii="Times New Roman;Times;serif" w:hAnsi="Times New Roman;Times;serif"/>
          <w:spacing w:val="-4"/>
          <w:sz w:val="20"/>
        </w:rPr>
        <w:t xml:space="preserve"> </w:t>
      </w:r>
      <w:r>
        <w:rPr>
          <w:rFonts w:ascii="Times New Roman;Times;serif" w:hAnsi="Times New Roman;Times;serif"/>
          <w:sz w:val="20"/>
        </w:rPr>
        <w:t>to</w:t>
      </w:r>
      <w:r>
        <w:rPr>
          <w:rFonts w:ascii="Times New Roman;Times;serif" w:hAnsi="Times New Roman;Times;serif"/>
          <w:spacing w:val="-2"/>
          <w:sz w:val="20"/>
        </w:rPr>
        <w:t xml:space="preserve"> </w:t>
      </w:r>
      <w:r>
        <w:rPr>
          <w:rFonts w:ascii="Times New Roman;Times;serif" w:hAnsi="Times New Roman;Times;serif"/>
          <w:sz w:val="20"/>
        </w:rPr>
        <w:t>enforce</w:t>
      </w:r>
      <w:r>
        <w:rPr>
          <w:rFonts w:ascii="Times New Roman;Times;serif" w:hAnsi="Times New Roman;Times;serif"/>
          <w:spacing w:val="-3"/>
          <w:sz w:val="20"/>
        </w:rPr>
        <w:t xml:space="preserve"> </w:t>
      </w:r>
      <w:r>
        <w:rPr>
          <w:rFonts w:ascii="Times New Roman;Times;serif" w:hAnsi="Times New Roman;Times;serif"/>
          <w:sz w:val="20"/>
        </w:rPr>
        <w:t>federal</w:t>
      </w:r>
      <w:r>
        <w:rPr>
          <w:rFonts w:ascii="Times New Roman;Times;serif" w:hAnsi="Times New Roman;Times;serif"/>
          <w:spacing w:val="-4"/>
          <w:sz w:val="20"/>
        </w:rPr>
        <w:t xml:space="preserve"> </w:t>
      </w:r>
      <w:r>
        <w:rPr>
          <w:rFonts w:ascii="Times New Roman;Times;serif" w:hAnsi="Times New Roman;Times;serif"/>
          <w:sz w:val="20"/>
        </w:rPr>
        <w:t>law</w:t>
      </w:r>
      <w:r>
        <w:rPr>
          <w:rFonts w:ascii="Times New Roman;Times;serif" w:hAnsi="Times New Roman;Times;serif"/>
          <w:spacing w:val="-3"/>
          <w:sz w:val="20"/>
        </w:rPr>
        <w:t xml:space="preserve"> </w:t>
      </w:r>
      <w:r>
        <w:rPr>
          <w:rFonts w:ascii="Times New Roman;Times;serif" w:hAnsi="Times New Roman;Times;serif"/>
          <w:sz w:val="20"/>
        </w:rPr>
        <w:t>regarding</w:t>
      </w:r>
      <w:r>
        <w:rPr>
          <w:rFonts w:ascii="Times New Roman;Times;serif" w:hAnsi="Times New Roman;Times;serif"/>
          <w:spacing w:val="-2"/>
          <w:sz w:val="20"/>
        </w:rPr>
        <w:t xml:space="preserve"> </w:t>
      </w:r>
      <w:r>
        <w:rPr>
          <w:rFonts w:ascii="Times New Roman;Times;serif" w:hAnsi="Times New Roman;Times;serif"/>
          <w:sz w:val="20"/>
        </w:rPr>
        <w:t>the</w:t>
      </w:r>
      <w:r>
        <w:rPr>
          <w:rFonts w:ascii="Times New Roman;Times;serif" w:hAnsi="Times New Roman;Times;serif"/>
          <w:spacing w:val="-3"/>
          <w:sz w:val="20"/>
        </w:rPr>
        <w:t xml:space="preserve"> </w:t>
      </w:r>
      <w:r>
        <w:rPr>
          <w:rFonts w:ascii="Times New Roman;Times;serif" w:hAnsi="Times New Roman;Times;serif"/>
          <w:sz w:val="20"/>
        </w:rPr>
        <w:t>sale</w:t>
      </w:r>
      <w:r>
        <w:rPr>
          <w:rFonts w:ascii="Times New Roman;Times;serif" w:hAnsi="Times New Roman;Times;serif"/>
          <w:spacing w:val="-3"/>
          <w:sz w:val="20"/>
        </w:rPr>
        <w:t xml:space="preserve"> </w:t>
      </w:r>
      <w:r>
        <w:rPr>
          <w:rFonts w:ascii="Times New Roman;Times;serif" w:hAnsi="Times New Roman;Times;serif"/>
          <w:sz w:val="20"/>
        </w:rPr>
        <w:t>and</w:t>
      </w:r>
      <w:r>
        <w:rPr>
          <w:rFonts w:ascii="Times New Roman;Times;serif" w:hAnsi="Times New Roman;Times;serif"/>
          <w:spacing w:val="-5"/>
          <w:sz w:val="20"/>
        </w:rPr>
        <w:t xml:space="preserve"> </w:t>
      </w:r>
      <w:r>
        <w:rPr>
          <w:rFonts w:ascii="Times New Roman;Times;serif" w:hAnsi="Times New Roman;Times;serif"/>
          <w:sz w:val="20"/>
        </w:rPr>
        <w:t>disbursement</w:t>
      </w:r>
      <w:r>
        <w:rPr>
          <w:rFonts w:ascii="Times New Roman;Times;serif" w:hAnsi="Times New Roman;Times;serif"/>
          <w:spacing w:val="-6"/>
          <w:sz w:val="20"/>
        </w:rPr>
        <w:t xml:space="preserve"> </w:t>
      </w:r>
      <w:r>
        <w:rPr>
          <w:rFonts w:ascii="Times New Roman;Times;serif" w:hAnsi="Times New Roman;Times;serif"/>
          <w:sz w:val="20"/>
        </w:rPr>
        <w:t>of</w:t>
      </w:r>
      <w:r>
        <w:rPr>
          <w:rFonts w:ascii="Times New Roman;Times;serif" w:hAnsi="Times New Roman;Times;serif"/>
          <w:spacing w:val="-5"/>
          <w:sz w:val="20"/>
        </w:rPr>
        <w:t xml:space="preserve"> </w:t>
      </w:r>
      <w:r>
        <w:rPr>
          <w:rFonts w:ascii="Times New Roman;Times;serif" w:hAnsi="Times New Roman;Times;serif"/>
          <w:sz w:val="20"/>
        </w:rPr>
        <w:t>medical</w:t>
      </w:r>
      <w:r>
        <w:rPr>
          <w:rFonts w:ascii="Times New Roman;Times;serif" w:hAnsi="Times New Roman;Times;serif"/>
          <w:spacing w:val="-4"/>
          <w:sz w:val="20"/>
        </w:rPr>
        <w:t xml:space="preserve"> </w:t>
      </w:r>
      <w:r>
        <w:rPr>
          <w:rFonts w:ascii="Times New Roman;Times;serif" w:hAnsi="Times New Roman;Times;serif"/>
          <w:sz w:val="20"/>
        </w:rPr>
        <w:t>or</w:t>
      </w:r>
      <w:r>
        <w:rPr>
          <w:rFonts w:ascii="Times New Roman;Times;serif" w:hAnsi="Times New Roman;Times;serif"/>
          <w:spacing w:val="-3"/>
          <w:sz w:val="20"/>
        </w:rPr>
        <w:t xml:space="preserve"> </w:t>
      </w:r>
      <w:r>
        <w:rPr>
          <w:rFonts w:ascii="Times New Roman;Times;serif" w:hAnsi="Times New Roman;Times;serif"/>
          <w:sz w:val="20"/>
        </w:rPr>
        <w:t>adult-use</w:t>
      </w:r>
      <w:r>
        <w:rPr>
          <w:rFonts w:ascii="Times New Roman;Times;serif" w:hAnsi="Times New Roman;Times;serif"/>
          <w:spacing w:val="-2"/>
          <w:sz w:val="20"/>
        </w:rPr>
        <w:t xml:space="preserve"> </w:t>
      </w:r>
      <w:r>
        <w:rPr>
          <w:rFonts w:ascii="Times New Roman;Times;serif" w:hAnsi="Times New Roman;Times;serif"/>
          <w:sz w:val="20"/>
        </w:rPr>
        <w:t>cannabis,</w:t>
      </w:r>
      <w:r>
        <w:rPr>
          <w:rFonts w:ascii="Times New Roman;Times;serif" w:hAnsi="Times New Roman;Times;serif"/>
          <w:spacing w:val="13"/>
          <w:sz w:val="20"/>
        </w:rPr>
        <w:t xml:space="preserve"> </w:t>
      </w:r>
      <w:r>
        <w:rPr>
          <w:rFonts w:ascii="Times New Roman;Times;serif" w:hAnsi="Times New Roman;Times;serif"/>
          <w:sz w:val="20"/>
        </w:rPr>
        <w:t>even</w:t>
      </w:r>
      <w:r>
        <w:rPr>
          <w:rFonts w:ascii="Times New Roman;Times;serif" w:hAnsi="Times New Roman;Times;serif"/>
          <w:spacing w:val="13"/>
          <w:sz w:val="20"/>
        </w:rPr>
        <w:t xml:space="preserve"> </w:t>
      </w:r>
      <w:r>
        <w:rPr>
          <w:rFonts w:ascii="Times New Roman;Times;serif" w:hAnsi="Times New Roman;Times;serif"/>
          <w:sz w:val="20"/>
        </w:rPr>
        <w:t>if</w:t>
      </w:r>
      <w:r>
        <w:rPr>
          <w:rFonts w:ascii="Times New Roman;Times;serif" w:hAnsi="Times New Roman;Times;serif"/>
          <w:spacing w:val="11"/>
          <w:sz w:val="20"/>
        </w:rPr>
        <w:t xml:space="preserve"> </w:t>
      </w:r>
      <w:r>
        <w:rPr>
          <w:rFonts w:ascii="Times New Roman;Times;serif" w:hAnsi="Times New Roman;Times;serif"/>
          <w:sz w:val="20"/>
        </w:rPr>
        <w:t>state</w:t>
      </w:r>
      <w:r>
        <w:rPr>
          <w:rFonts w:ascii="Times New Roman;Times;serif" w:hAnsi="Times New Roman;Times;serif"/>
          <w:spacing w:val="13"/>
          <w:sz w:val="20"/>
        </w:rPr>
        <w:t xml:space="preserve"> </w:t>
      </w:r>
      <w:r>
        <w:rPr>
          <w:rFonts w:ascii="Times New Roman;Times;serif" w:hAnsi="Times New Roman;Times;serif"/>
          <w:sz w:val="20"/>
        </w:rPr>
        <w:t>law</w:t>
      </w:r>
      <w:r>
        <w:rPr>
          <w:rFonts w:ascii="Times New Roman;Times;serif" w:hAnsi="Times New Roman;Times;serif"/>
          <w:spacing w:val="12"/>
          <w:sz w:val="20"/>
        </w:rPr>
        <w:t xml:space="preserve"> </w:t>
      </w:r>
      <w:r>
        <w:rPr>
          <w:rFonts w:ascii="Times New Roman;Times;serif" w:hAnsi="Times New Roman;Times;serif"/>
          <w:sz w:val="20"/>
        </w:rPr>
        <w:t>sanctions</w:t>
      </w:r>
      <w:r>
        <w:rPr>
          <w:rFonts w:ascii="Times New Roman;Times;serif" w:hAnsi="Times New Roman;Times;serif"/>
          <w:spacing w:val="12"/>
          <w:sz w:val="20"/>
        </w:rPr>
        <w:t xml:space="preserve"> </w:t>
      </w:r>
      <w:r>
        <w:rPr>
          <w:rFonts w:ascii="Times New Roman;Times;serif" w:hAnsi="Times New Roman;Times;serif"/>
          <w:sz w:val="20"/>
        </w:rPr>
        <w:t>such</w:t>
      </w:r>
      <w:r>
        <w:rPr>
          <w:rFonts w:ascii="Times New Roman;Times;serif" w:hAnsi="Times New Roman;Times;serif"/>
          <w:spacing w:val="11"/>
          <w:sz w:val="20"/>
        </w:rPr>
        <w:t xml:space="preserve"> </w:t>
      </w:r>
      <w:r>
        <w:rPr>
          <w:rFonts w:ascii="Times New Roman;Times;serif" w:hAnsi="Times New Roman;Times;serif"/>
          <w:sz w:val="20"/>
        </w:rPr>
        <w:t>sale</w:t>
      </w:r>
      <w:r>
        <w:rPr>
          <w:rFonts w:ascii="Times New Roman;Times;serif" w:hAnsi="Times New Roman;Times;serif"/>
          <w:spacing w:val="13"/>
          <w:sz w:val="20"/>
        </w:rPr>
        <w:t xml:space="preserve"> </w:t>
      </w:r>
      <w:r>
        <w:rPr>
          <w:rFonts w:ascii="Times New Roman;Times;serif" w:hAnsi="Times New Roman;Times;serif"/>
          <w:sz w:val="20"/>
        </w:rPr>
        <w:t>and</w:t>
      </w:r>
      <w:r>
        <w:rPr>
          <w:rFonts w:ascii="Times New Roman;Times;serif" w:hAnsi="Times New Roman;Times;serif"/>
          <w:spacing w:val="11"/>
          <w:sz w:val="20"/>
        </w:rPr>
        <w:t xml:space="preserve"> </w:t>
      </w:r>
      <w:r>
        <w:rPr>
          <w:rFonts w:ascii="Times New Roman;Times;serif" w:hAnsi="Times New Roman;Times;serif"/>
          <w:sz w:val="20"/>
        </w:rPr>
        <w:t>disbursement.</w:t>
      </w:r>
      <w:r>
        <w:rPr>
          <w:rFonts w:ascii="Times New Roman;Times;serif" w:hAnsi="Times New Roman;Times;serif"/>
          <w:spacing w:val="13"/>
          <w:sz w:val="20"/>
        </w:rPr>
        <w:t xml:space="preserve"> </w:t>
      </w:r>
      <w:r>
        <w:rPr>
          <w:rFonts w:ascii="Times New Roman;Times;serif" w:hAnsi="Times New Roman;Times;serif"/>
          <w:sz w:val="20"/>
        </w:rPr>
        <w:t>If</w:t>
      </w:r>
      <w:r>
        <w:rPr>
          <w:rFonts w:ascii="Times New Roman;Times;serif" w:hAnsi="Times New Roman;Times;serif"/>
          <w:spacing w:val="13"/>
          <w:sz w:val="20"/>
        </w:rPr>
        <w:t xml:space="preserve"> </w:t>
      </w:r>
      <w:r>
        <w:rPr>
          <w:rFonts w:ascii="Times New Roman;Times;serif" w:hAnsi="Times New Roman;Times;serif"/>
          <w:sz w:val="20"/>
        </w:rPr>
        <w:t>the</w:t>
      </w:r>
      <w:r>
        <w:rPr>
          <w:rFonts w:ascii="Times New Roman;Times;serif" w:hAnsi="Times New Roman;Times;serif"/>
          <w:spacing w:val="11"/>
          <w:sz w:val="20"/>
        </w:rPr>
        <w:t xml:space="preserve"> </w:t>
      </w:r>
      <w:r>
        <w:rPr>
          <w:rFonts w:ascii="Times New Roman;Times;serif" w:hAnsi="Times New Roman;Times;serif"/>
          <w:sz w:val="20"/>
        </w:rPr>
        <w:t>U.S.</w:t>
      </w:r>
      <w:r>
        <w:rPr>
          <w:rFonts w:ascii="Times New Roman;Times;serif" w:hAnsi="Times New Roman;Times;serif"/>
          <w:spacing w:val="13"/>
          <w:sz w:val="20"/>
        </w:rPr>
        <w:t xml:space="preserve"> </w:t>
      </w:r>
      <w:r>
        <w:rPr>
          <w:rFonts w:ascii="Times New Roman;Times;serif" w:hAnsi="Times New Roman;Times;serif"/>
          <w:sz w:val="20"/>
        </w:rPr>
        <w:t>federal</w:t>
      </w:r>
      <w:r>
        <w:rPr>
          <w:rFonts w:ascii="Times New Roman;Times;serif" w:hAnsi="Times New Roman;Times;serif"/>
          <w:spacing w:val="11"/>
          <w:sz w:val="20"/>
        </w:rPr>
        <w:t xml:space="preserve"> </w:t>
      </w:r>
      <w:r>
        <w:rPr>
          <w:rFonts w:ascii="Times New Roman;Times;serif" w:hAnsi="Times New Roman;Times;serif"/>
          <w:sz w:val="20"/>
        </w:rPr>
        <w:t>government</w:t>
      </w:r>
      <w:r>
        <w:rPr>
          <w:rFonts w:ascii="Times New Roman;Times;serif" w:hAnsi="Times New Roman;Times;serif"/>
          <w:spacing w:val="11"/>
          <w:sz w:val="20"/>
        </w:rPr>
        <w:t xml:space="preserve"> </w:t>
      </w:r>
      <w:r>
        <w:rPr>
          <w:rFonts w:ascii="Times New Roman;Times;serif" w:hAnsi="Times New Roman;Times;serif"/>
          <w:sz w:val="20"/>
        </w:rPr>
        <w:t>begins</w:t>
      </w:r>
      <w:r>
        <w:rPr>
          <w:rFonts w:ascii="Times New Roman;Times;serif" w:hAnsi="Times New Roman;Times;serif"/>
          <w:spacing w:val="12"/>
          <w:sz w:val="20"/>
        </w:rPr>
        <w:t xml:space="preserve"> </w:t>
      </w:r>
      <w:r>
        <w:rPr>
          <w:rFonts w:ascii="Times New Roman;Times;serif" w:hAnsi="Times New Roman;Times;serif"/>
          <w:sz w:val="20"/>
        </w:rPr>
        <w:t>to</w:t>
      </w:r>
      <w:r>
        <w:rPr>
          <w:rFonts w:ascii="Times New Roman;Times;serif" w:hAnsi="Times New Roman;Times;serif"/>
          <w:spacing w:val="13"/>
          <w:sz w:val="20"/>
        </w:rPr>
        <w:t xml:space="preserve"> </w:t>
      </w:r>
      <w:r>
        <w:rPr>
          <w:rFonts w:ascii="Times New Roman;Times;serif" w:hAnsi="Times New Roman;Times;serif"/>
          <w:sz w:val="20"/>
        </w:rPr>
        <w:t>enforce</w:t>
      </w:r>
      <w:r>
        <w:rPr>
          <w:rFonts w:ascii="Times New Roman;Times;serif" w:hAnsi="Times New Roman;Times;serif"/>
          <w:spacing w:val="11"/>
          <w:sz w:val="20"/>
        </w:rPr>
        <w:t xml:space="preserve"> </w:t>
      </w:r>
      <w:r>
        <w:rPr>
          <w:rFonts w:ascii="Times New Roman;Times;serif" w:hAnsi="Times New Roman;Times;serif"/>
          <w:sz w:val="20"/>
        </w:rPr>
        <w:t>U.S.</w:t>
      </w:r>
      <w:r>
        <w:rPr>
          <w:rFonts w:ascii="Times New Roman;Times;serif" w:hAnsi="Times New Roman;Times;serif"/>
          <w:spacing w:val="13"/>
          <w:sz w:val="20"/>
        </w:rPr>
        <w:t xml:space="preserve"> </w:t>
      </w:r>
      <w:r>
        <w:rPr>
          <w:rFonts w:ascii="Times New Roman;Times;serif" w:hAnsi="Times New Roman;Times;serif"/>
          <w:sz w:val="20"/>
        </w:rPr>
        <w:t>federal</w:t>
      </w:r>
      <w:r>
        <w:rPr>
          <w:rFonts w:ascii="Times New Roman;Times;serif" w:hAnsi="Times New Roman;Times;serif"/>
          <w:spacing w:val="11"/>
          <w:sz w:val="20"/>
        </w:rPr>
        <w:t xml:space="preserve"> </w:t>
      </w:r>
      <w:r>
        <w:rPr>
          <w:rFonts w:ascii="Times New Roman;Times;serif" w:hAnsi="Times New Roman;Times;serif"/>
          <w:sz w:val="20"/>
        </w:rPr>
        <w:t>laws</w:t>
      </w:r>
      <w:r>
        <w:rPr>
          <w:rFonts w:ascii="Times New Roman;Times;serif" w:hAnsi="Times New Roman;Times;serif"/>
          <w:spacing w:val="-2"/>
          <w:sz w:val="20"/>
        </w:rPr>
        <w:t xml:space="preserve"> </w:t>
      </w:r>
      <w:r>
        <w:rPr>
          <w:rFonts w:ascii="Times New Roman;Times;serif" w:hAnsi="Times New Roman;Times;serif"/>
          <w:sz w:val="20"/>
        </w:rPr>
        <w:t>relating</w:t>
      </w:r>
      <w:r>
        <w:rPr>
          <w:rFonts w:ascii="Times New Roman;Times;serif" w:hAnsi="Times New Roman;Times;serif"/>
          <w:spacing w:val="11"/>
          <w:sz w:val="20"/>
        </w:rPr>
        <w:t xml:space="preserve"> </w:t>
      </w:r>
      <w:r>
        <w:rPr>
          <w:rFonts w:ascii="Times New Roman;Times;serif" w:hAnsi="Times New Roman;Times;serif"/>
          <w:sz w:val="20"/>
        </w:rPr>
        <w:t>to</w:t>
      </w:r>
      <w:r>
        <w:rPr>
          <w:rFonts w:ascii="Times New Roman;Times;serif" w:hAnsi="Times New Roman;Times;serif"/>
          <w:spacing w:val="10"/>
          <w:sz w:val="20"/>
        </w:rPr>
        <w:t xml:space="preserve"> </w:t>
      </w:r>
      <w:r>
        <w:rPr>
          <w:rFonts w:ascii="Times New Roman;Times;serif" w:hAnsi="Times New Roman;Times;serif"/>
          <w:sz w:val="20"/>
        </w:rPr>
        <w:t>cannabis</w:t>
      </w:r>
      <w:r>
        <w:rPr>
          <w:rFonts w:ascii="Times New Roman;Times;serif" w:hAnsi="Times New Roman;Times;serif"/>
          <w:spacing w:val="10"/>
          <w:sz w:val="20"/>
        </w:rPr>
        <w:t xml:space="preserve"> </w:t>
      </w:r>
      <w:r>
        <w:rPr>
          <w:rFonts w:ascii="Times New Roman;Times;serif" w:hAnsi="Times New Roman;Times;serif"/>
          <w:sz w:val="20"/>
        </w:rPr>
        <w:t>in</w:t>
      </w:r>
      <w:r>
        <w:rPr>
          <w:rFonts w:ascii="Times New Roman;Times;serif" w:hAnsi="Times New Roman;Times;serif"/>
          <w:spacing w:val="11"/>
          <w:sz w:val="20"/>
        </w:rPr>
        <w:t xml:space="preserve"> </w:t>
      </w:r>
      <w:r>
        <w:rPr>
          <w:rFonts w:ascii="Times New Roman;Times;serif" w:hAnsi="Times New Roman;Times;serif"/>
          <w:sz w:val="20"/>
        </w:rPr>
        <w:t>states</w:t>
      </w:r>
      <w:r>
        <w:rPr>
          <w:rFonts w:ascii="Times New Roman;Times;serif" w:hAnsi="Times New Roman;Times;serif"/>
          <w:spacing w:val="10"/>
          <w:sz w:val="20"/>
        </w:rPr>
        <w:t xml:space="preserve"> </w:t>
      </w:r>
      <w:r>
        <w:rPr>
          <w:rFonts w:ascii="Times New Roman;Times;serif" w:hAnsi="Times New Roman;Times;serif"/>
          <w:sz w:val="20"/>
        </w:rPr>
        <w:t>where</w:t>
      </w:r>
      <w:r>
        <w:rPr>
          <w:rFonts w:ascii="Times New Roman;Times;serif" w:hAnsi="Times New Roman;Times;serif"/>
          <w:spacing w:val="11"/>
          <w:sz w:val="20"/>
        </w:rPr>
        <w:t xml:space="preserve"> </w:t>
      </w:r>
      <w:r>
        <w:rPr>
          <w:rFonts w:ascii="Times New Roman;Times;serif" w:hAnsi="Times New Roman;Times;serif"/>
          <w:sz w:val="20"/>
        </w:rPr>
        <w:t>the</w:t>
      </w:r>
      <w:r>
        <w:rPr>
          <w:rFonts w:ascii="Times New Roman;Times;serif" w:hAnsi="Times New Roman;Times;serif"/>
          <w:spacing w:val="9"/>
          <w:sz w:val="20"/>
        </w:rPr>
        <w:t xml:space="preserve"> </w:t>
      </w:r>
      <w:r>
        <w:rPr>
          <w:rFonts w:ascii="Times New Roman;Times;serif" w:hAnsi="Times New Roman;Times;serif"/>
          <w:sz w:val="20"/>
        </w:rPr>
        <w:t>sale</w:t>
      </w:r>
      <w:r>
        <w:rPr>
          <w:rFonts w:ascii="Times New Roman;Times;serif" w:hAnsi="Times New Roman;Times;serif"/>
          <w:spacing w:val="11"/>
          <w:sz w:val="20"/>
        </w:rPr>
        <w:t xml:space="preserve"> </w:t>
      </w:r>
      <w:r>
        <w:rPr>
          <w:rFonts w:ascii="Times New Roman;Times;serif" w:hAnsi="Times New Roman;Times;serif"/>
          <w:sz w:val="20"/>
        </w:rPr>
        <w:t>and</w:t>
      </w:r>
      <w:r>
        <w:rPr>
          <w:rFonts w:ascii="Times New Roman;Times;serif" w:hAnsi="Times New Roman;Times;serif"/>
          <w:spacing w:val="10"/>
          <w:sz w:val="20"/>
        </w:rPr>
        <w:t xml:space="preserve"> </w:t>
      </w:r>
      <w:r>
        <w:rPr>
          <w:rFonts w:ascii="Times New Roman;Times;serif" w:hAnsi="Times New Roman;Times;serif"/>
          <w:sz w:val="20"/>
        </w:rPr>
        <w:t>use</w:t>
      </w:r>
      <w:r>
        <w:rPr>
          <w:rFonts w:ascii="Times New Roman;Times;serif" w:hAnsi="Times New Roman;Times;serif"/>
          <w:spacing w:val="11"/>
          <w:sz w:val="20"/>
        </w:rPr>
        <w:t xml:space="preserve"> </w:t>
      </w:r>
      <w:r>
        <w:rPr>
          <w:rFonts w:ascii="Times New Roman;Times;serif" w:hAnsi="Times New Roman;Times;serif"/>
          <w:sz w:val="20"/>
        </w:rPr>
        <w:t>of</w:t>
      </w:r>
      <w:r>
        <w:rPr>
          <w:rFonts w:ascii="Times New Roman;Times;serif" w:hAnsi="Times New Roman;Times;serif"/>
          <w:spacing w:val="9"/>
          <w:sz w:val="20"/>
        </w:rPr>
        <w:t xml:space="preserve"> </w:t>
      </w:r>
      <w:r>
        <w:rPr>
          <w:rFonts w:ascii="Times New Roman;Times;serif" w:hAnsi="Times New Roman;Times;serif"/>
          <w:sz w:val="20"/>
        </w:rPr>
        <w:t>cannabis</w:t>
      </w:r>
      <w:r>
        <w:rPr>
          <w:rFonts w:ascii="Times New Roman;Times;serif" w:hAnsi="Times New Roman;Times;serif"/>
          <w:spacing w:val="10"/>
          <w:sz w:val="20"/>
        </w:rPr>
        <w:t xml:space="preserve"> </w:t>
      </w:r>
      <w:r>
        <w:rPr>
          <w:rFonts w:ascii="Times New Roman;Times;serif" w:hAnsi="Times New Roman;Times;serif"/>
          <w:sz w:val="20"/>
        </w:rPr>
        <w:t>is</w:t>
      </w:r>
      <w:r>
        <w:rPr>
          <w:rFonts w:ascii="Times New Roman;Times;serif" w:hAnsi="Times New Roman;Times;serif"/>
          <w:spacing w:val="10"/>
          <w:sz w:val="20"/>
        </w:rPr>
        <w:t xml:space="preserve"> </w:t>
      </w:r>
      <w:r>
        <w:rPr>
          <w:rFonts w:ascii="Times New Roman;Times;serif" w:hAnsi="Times New Roman;Times;serif"/>
          <w:sz w:val="20"/>
        </w:rPr>
        <w:t>currently</w:t>
      </w:r>
      <w:r>
        <w:rPr>
          <w:rFonts w:ascii="Times New Roman;Times;serif" w:hAnsi="Times New Roman;Times;serif"/>
          <w:spacing w:val="11"/>
          <w:sz w:val="20"/>
        </w:rPr>
        <w:t xml:space="preserve"> </w:t>
      </w:r>
      <w:r>
        <w:rPr>
          <w:rFonts w:ascii="Times New Roman;Times;serif" w:hAnsi="Times New Roman;Times;serif"/>
          <w:sz w:val="20"/>
        </w:rPr>
        <w:t>legal,</w:t>
      </w:r>
      <w:r>
        <w:rPr>
          <w:rFonts w:ascii="Times New Roman;Times;serif" w:hAnsi="Times New Roman;Times;serif"/>
          <w:spacing w:val="9"/>
          <w:sz w:val="20"/>
        </w:rPr>
        <w:t xml:space="preserve"> </w:t>
      </w:r>
      <w:r>
        <w:rPr>
          <w:rFonts w:ascii="Times New Roman;Times;serif" w:hAnsi="Times New Roman;Times;serif"/>
          <w:sz w:val="20"/>
        </w:rPr>
        <w:t>or</w:t>
      </w:r>
      <w:r>
        <w:rPr>
          <w:rFonts w:ascii="Times New Roman;Times;serif" w:hAnsi="Times New Roman;Times;serif"/>
          <w:spacing w:val="9"/>
          <w:sz w:val="20"/>
        </w:rPr>
        <w:t xml:space="preserve"> </w:t>
      </w:r>
      <w:r>
        <w:rPr>
          <w:rFonts w:ascii="Times New Roman;Times;serif" w:hAnsi="Times New Roman;Times;serif"/>
          <w:sz w:val="20"/>
        </w:rPr>
        <w:t>if</w:t>
      </w:r>
      <w:r>
        <w:rPr>
          <w:rFonts w:ascii="Times New Roman;Times;serif" w:hAnsi="Times New Roman;Times;serif"/>
          <w:spacing w:val="9"/>
          <w:sz w:val="20"/>
        </w:rPr>
        <w:t xml:space="preserve"> </w:t>
      </w:r>
      <w:r>
        <w:rPr>
          <w:rFonts w:ascii="Times New Roman;Times;serif" w:hAnsi="Times New Roman;Times;serif"/>
          <w:sz w:val="20"/>
        </w:rPr>
        <w:t>existing</w:t>
      </w:r>
      <w:r>
        <w:rPr>
          <w:rFonts w:ascii="Times New Roman;Times;serif" w:hAnsi="Times New Roman;Times;serif"/>
          <w:spacing w:val="11"/>
          <w:sz w:val="20"/>
        </w:rPr>
        <w:t xml:space="preserve"> </w:t>
      </w:r>
      <w:r>
        <w:rPr>
          <w:rFonts w:ascii="Times New Roman;Times;serif" w:hAnsi="Times New Roman;Times;serif"/>
          <w:sz w:val="20"/>
        </w:rPr>
        <w:t>applicable</w:t>
      </w:r>
      <w:r>
        <w:rPr>
          <w:rFonts w:ascii="Times New Roman;Times;serif" w:hAnsi="Times New Roman;Times;serif"/>
          <w:spacing w:val="9"/>
          <w:sz w:val="20"/>
        </w:rPr>
        <w:t xml:space="preserve"> </w:t>
      </w:r>
      <w:r>
        <w:rPr>
          <w:rFonts w:ascii="Times New Roman;Times;serif" w:hAnsi="Times New Roman;Times;serif"/>
          <w:sz w:val="20"/>
        </w:rPr>
        <w:t>state</w:t>
      </w:r>
      <w:r>
        <w:rPr>
          <w:rFonts w:ascii="Times New Roman;Times;serif" w:hAnsi="Times New Roman;Times;serif"/>
          <w:spacing w:val="11"/>
          <w:sz w:val="20"/>
        </w:rPr>
        <w:t xml:space="preserve"> </w:t>
      </w:r>
      <w:r>
        <w:rPr>
          <w:rFonts w:ascii="Times New Roman;Times;serif" w:hAnsi="Times New Roman;Times;serif"/>
          <w:sz w:val="20"/>
        </w:rPr>
        <w:t>laws</w:t>
      </w:r>
      <w:r>
        <w:rPr>
          <w:rFonts w:ascii="Times New Roman;Times;serif" w:hAnsi="Times New Roman;Times;serif"/>
          <w:spacing w:val="10"/>
          <w:sz w:val="20"/>
        </w:rPr>
        <w:t xml:space="preserve"> </w:t>
      </w:r>
      <w:r>
        <w:rPr>
          <w:rFonts w:ascii="Times New Roman;Times;serif" w:hAnsi="Times New Roman;Times;serif"/>
          <w:sz w:val="20"/>
        </w:rPr>
        <w:t>are</w:t>
      </w:r>
      <w:r>
        <w:rPr>
          <w:rFonts w:ascii="Times New Roman;Times;serif" w:hAnsi="Times New Roman;Times;serif"/>
          <w:spacing w:val="11"/>
          <w:sz w:val="20"/>
        </w:rPr>
        <w:t xml:space="preserve"> </w:t>
      </w:r>
      <w:r>
        <w:rPr>
          <w:rFonts w:ascii="Times New Roman;Times;serif" w:hAnsi="Times New Roman;Times;serif"/>
          <w:sz w:val="20"/>
        </w:rPr>
        <w:t>repealed</w:t>
      </w:r>
      <w:r>
        <w:rPr>
          <w:rFonts w:ascii="Times New Roman;Times;serif" w:hAnsi="Times New Roman;Times;serif"/>
          <w:spacing w:val="11"/>
          <w:sz w:val="20"/>
        </w:rPr>
        <w:t xml:space="preserve"> </w:t>
      </w:r>
      <w:r>
        <w:rPr>
          <w:rFonts w:ascii="Times New Roman;Times;serif" w:hAnsi="Times New Roman;Times;serif"/>
          <w:sz w:val="20"/>
        </w:rPr>
        <w:t>or</w:t>
      </w:r>
      <w:r>
        <w:rPr>
          <w:rFonts w:ascii="Times New Roman;Times;serif" w:hAnsi="Times New Roman;Times;serif"/>
          <w:spacing w:val="-2"/>
          <w:sz w:val="20"/>
        </w:rPr>
        <w:t xml:space="preserve"> </w:t>
      </w:r>
      <w:r>
        <w:rPr>
          <w:rFonts w:ascii="Times New Roman;Times;serif" w:hAnsi="Times New Roman;Times;serif"/>
          <w:sz w:val="20"/>
        </w:rPr>
        <w:t>curtailed, the</w:t>
      </w:r>
      <w:r>
        <w:rPr>
          <w:rFonts w:ascii="Times New Roman;Times;serif" w:hAnsi="Times New Roman;Times;serif"/>
          <w:spacing w:val="-1"/>
          <w:sz w:val="20"/>
        </w:rPr>
        <w:t xml:space="preserve"> </w:t>
      </w:r>
      <w:r>
        <w:rPr>
          <w:rFonts w:ascii="Times New Roman;Times;serif" w:hAnsi="Times New Roman;Times;serif"/>
          <w:sz w:val="20"/>
        </w:rPr>
        <w:t>Company’s</w:t>
      </w:r>
      <w:r>
        <w:rPr>
          <w:rFonts w:ascii="Times New Roman;Times;serif" w:hAnsi="Times New Roman;Times;serif"/>
          <w:spacing w:val="-2"/>
          <w:sz w:val="20"/>
        </w:rPr>
        <w:t xml:space="preserve"> </w:t>
      </w:r>
      <w:r>
        <w:rPr>
          <w:rFonts w:ascii="Times New Roman;Times;serif" w:hAnsi="Times New Roman;Times;serif"/>
          <w:sz w:val="20"/>
        </w:rPr>
        <w:t>business, results</w:t>
      </w:r>
      <w:r>
        <w:rPr>
          <w:rFonts w:ascii="Times New Roman;Times;serif" w:hAnsi="Times New Roman;Times;serif"/>
          <w:spacing w:val="-2"/>
          <w:sz w:val="20"/>
        </w:rPr>
        <w:t xml:space="preserve"> </w:t>
      </w:r>
      <w:r>
        <w:rPr>
          <w:rFonts w:ascii="Times New Roman;Times;serif" w:hAnsi="Times New Roman;Times;serif"/>
          <w:sz w:val="20"/>
        </w:rPr>
        <w:t>of operations,</w:t>
      </w:r>
      <w:r>
        <w:rPr>
          <w:rFonts w:ascii="Times New Roman;Times;serif" w:hAnsi="Times New Roman;Times;serif"/>
          <w:spacing w:val="-3"/>
          <w:sz w:val="20"/>
        </w:rPr>
        <w:t xml:space="preserve"> </w:t>
      </w:r>
      <w:r>
        <w:rPr>
          <w:rFonts w:ascii="Times New Roman;Times;serif" w:hAnsi="Times New Roman;Times;serif"/>
          <w:sz w:val="20"/>
        </w:rPr>
        <w:t>financial</w:t>
      </w:r>
      <w:r>
        <w:rPr>
          <w:rFonts w:ascii="Times New Roman;Times;serif" w:hAnsi="Times New Roman;Times;serif"/>
          <w:spacing w:val="-1"/>
          <w:sz w:val="20"/>
        </w:rPr>
        <w:t xml:space="preserve"> </w:t>
      </w:r>
      <w:r>
        <w:rPr>
          <w:rFonts w:ascii="Times New Roman;Times;serif" w:hAnsi="Times New Roman;Times;serif"/>
          <w:sz w:val="20"/>
        </w:rPr>
        <w:t>condition,</w:t>
      </w:r>
      <w:r>
        <w:rPr>
          <w:rFonts w:ascii="Times New Roman;Times;serif" w:hAnsi="Times New Roman;Times;serif"/>
          <w:spacing w:val="-2"/>
          <w:sz w:val="20"/>
        </w:rPr>
        <w:t xml:space="preserve"> </w:t>
      </w:r>
      <w:r>
        <w:rPr>
          <w:rFonts w:ascii="Times New Roman;Times;serif" w:hAnsi="Times New Roman;Times;serif"/>
          <w:sz w:val="20"/>
        </w:rPr>
        <w:t>and</w:t>
      </w:r>
      <w:r>
        <w:rPr>
          <w:rFonts w:ascii="Times New Roman;Times;serif" w:hAnsi="Times New Roman;Times;serif"/>
          <w:spacing w:val="-2"/>
          <w:sz w:val="20"/>
        </w:rPr>
        <w:t xml:space="preserve"> </w:t>
      </w:r>
      <w:r>
        <w:rPr>
          <w:rFonts w:ascii="Times New Roman;Times;serif" w:hAnsi="Times New Roman;Times;serif"/>
          <w:sz w:val="20"/>
        </w:rPr>
        <w:t>prospects</w:t>
      </w:r>
      <w:r>
        <w:rPr>
          <w:rFonts w:ascii="Times New Roman;Times;serif" w:hAnsi="Times New Roman;Times;serif"/>
          <w:spacing w:val="-4"/>
          <w:sz w:val="20"/>
        </w:rPr>
        <w:t xml:space="preserve"> </w:t>
      </w:r>
      <w:r>
        <w:rPr>
          <w:rFonts w:ascii="Times New Roman;Times;serif" w:hAnsi="Times New Roman;Times;serif"/>
          <w:sz w:val="20"/>
        </w:rPr>
        <w:t>could</w:t>
      </w:r>
      <w:r>
        <w:rPr>
          <w:rFonts w:ascii="Times New Roman;Times;serif" w:hAnsi="Times New Roman;Times;serif"/>
          <w:spacing w:val="-2"/>
          <w:sz w:val="20"/>
        </w:rPr>
        <w:t xml:space="preserve"> </w:t>
      </w:r>
      <w:r>
        <w:rPr>
          <w:rFonts w:ascii="Times New Roman;Times;serif" w:hAnsi="Times New Roman;Times;serif"/>
          <w:sz w:val="20"/>
        </w:rPr>
        <w:t>be</w:t>
      </w:r>
      <w:r>
        <w:rPr>
          <w:rFonts w:ascii="Times New Roman;Times;serif" w:hAnsi="Times New Roman;Times;serif"/>
          <w:spacing w:val="-1"/>
          <w:sz w:val="20"/>
        </w:rPr>
        <w:t xml:space="preserve"> </w:t>
      </w:r>
      <w:r>
        <w:rPr>
          <w:rFonts w:ascii="Times New Roman;Times;serif" w:hAnsi="Times New Roman;Times;serif"/>
          <w:sz w:val="20"/>
        </w:rPr>
        <w:t>materially adversely</w:t>
      </w:r>
      <w:r>
        <w:rPr>
          <w:rFonts w:ascii="Times New Roman;Times;serif" w:hAnsi="Times New Roman;Times;serif"/>
          <w:spacing w:val="-2"/>
          <w:sz w:val="20"/>
        </w:rPr>
        <w:t xml:space="preserve"> </w:t>
      </w:r>
      <w:r>
        <w:rPr>
          <w:rFonts w:ascii="Times New Roman;Times;serif" w:hAnsi="Times New Roman;Times;serif"/>
          <w:sz w:val="20"/>
        </w:rPr>
        <w:t>affected.</w:t>
      </w:r>
    </w:p>
    <w:p>
      <w:pPr>
        <w:pStyle w:val="TextBody"/>
        <w:spacing w:before="0" w:after="240"/>
        <w:ind w:left="0" w:right="115" w:hanging="0"/>
        <w:jc w:val="both"/>
        <w:rPr>
          <w:rFonts w:ascii="Times New Roman;Times;serif" w:hAnsi="Times New Roman;Times;serif"/>
          <w:sz w:val="20"/>
        </w:rPr>
      </w:pPr>
      <w:r>
        <w:rPr>
          <w:rFonts w:ascii="Times New Roman;Times;serif" w:hAnsi="Times New Roman;Times;serif"/>
          <w:sz w:val="20"/>
        </w:rPr>
        <w:t>There</w:t>
      </w:r>
      <w:r>
        <w:rPr>
          <w:rFonts w:ascii="Times New Roman;Times;serif" w:hAnsi="Times New Roman;Times;serif"/>
          <w:spacing w:val="-1"/>
          <w:sz w:val="20"/>
        </w:rPr>
        <w:t xml:space="preserve"> </w:t>
      </w:r>
      <w:r>
        <w:rPr>
          <w:rFonts w:ascii="Times New Roman;Times;serif" w:hAnsi="Times New Roman;Times;serif"/>
          <w:sz w:val="20"/>
        </w:rPr>
        <w:t>is a growing consensus among cannabis businesses and numerous members of Congress that prosecutorial discretion is</w:t>
      </w:r>
      <w:r>
        <w:rPr>
          <w:rFonts w:ascii="Times New Roman;Times;serif" w:hAnsi="Times New Roman;Times;serif"/>
          <w:spacing w:val="-2"/>
          <w:sz w:val="20"/>
        </w:rPr>
        <w:t xml:space="preserve"> </w:t>
      </w:r>
      <w:r>
        <w:rPr>
          <w:rFonts w:ascii="Times New Roman;Times;serif" w:hAnsi="Times New Roman;Times;serif"/>
          <w:sz w:val="20"/>
        </w:rPr>
        <w:t>not</w:t>
      </w:r>
      <w:r>
        <w:rPr>
          <w:rFonts w:ascii="Times New Roman;Times;serif" w:hAnsi="Times New Roman;Times;serif"/>
          <w:spacing w:val="-2"/>
          <w:sz w:val="20"/>
        </w:rPr>
        <w:t xml:space="preserve"> </w:t>
      </w:r>
      <w:r>
        <w:rPr>
          <w:rFonts w:ascii="Times New Roman;Times;serif" w:hAnsi="Times New Roman;Times;serif"/>
          <w:sz w:val="20"/>
        </w:rPr>
        <w:t>law</w:t>
      </w:r>
      <w:r>
        <w:rPr>
          <w:rFonts w:ascii="Times New Roman;Times;serif" w:hAnsi="Times New Roman;Times;serif"/>
          <w:spacing w:val="-2"/>
          <w:sz w:val="20"/>
        </w:rPr>
        <w:t xml:space="preserve"> </w:t>
      </w:r>
      <w:r>
        <w:rPr>
          <w:rFonts w:ascii="Times New Roman;Times;serif" w:hAnsi="Times New Roman;Times;serif"/>
          <w:sz w:val="20"/>
        </w:rPr>
        <w:t>and</w:t>
      </w:r>
      <w:r>
        <w:rPr>
          <w:rFonts w:ascii="Times New Roman;Times;serif" w:hAnsi="Times New Roman;Times;serif"/>
          <w:spacing w:val="-1"/>
          <w:sz w:val="20"/>
        </w:rPr>
        <w:t xml:space="preserve"> </w:t>
      </w:r>
      <w:r>
        <w:rPr>
          <w:rFonts w:ascii="Times New Roman;Times;serif" w:hAnsi="Times New Roman;Times;serif"/>
          <w:sz w:val="20"/>
        </w:rPr>
        <w:t>temporary</w:t>
      </w:r>
      <w:r>
        <w:rPr>
          <w:rFonts w:ascii="Times New Roman;Times;serif" w:hAnsi="Times New Roman;Times;serif"/>
          <w:spacing w:val="-3"/>
          <w:sz w:val="20"/>
        </w:rPr>
        <w:t xml:space="preserve"> </w:t>
      </w:r>
      <w:r>
        <w:rPr>
          <w:rFonts w:ascii="Times New Roman;Times;serif" w:hAnsi="Times New Roman;Times;serif"/>
          <w:sz w:val="20"/>
        </w:rPr>
        <w:t>legislative</w:t>
      </w:r>
      <w:r>
        <w:rPr>
          <w:rFonts w:ascii="Times New Roman;Times;serif" w:hAnsi="Times New Roman;Times;serif"/>
          <w:spacing w:val="-2"/>
          <w:sz w:val="20"/>
        </w:rPr>
        <w:t xml:space="preserve"> </w:t>
      </w:r>
      <w:r>
        <w:rPr>
          <w:rFonts w:ascii="Times New Roman;Times;serif" w:hAnsi="Times New Roman;Times;serif"/>
          <w:sz w:val="20"/>
        </w:rPr>
        <w:t>riders,</w:t>
      </w:r>
      <w:r>
        <w:rPr>
          <w:rFonts w:ascii="Times New Roman;Times;serif" w:hAnsi="Times New Roman;Times;serif"/>
          <w:spacing w:val="-1"/>
          <w:sz w:val="20"/>
        </w:rPr>
        <w:t xml:space="preserve"> </w:t>
      </w:r>
      <w:r>
        <w:rPr>
          <w:rFonts w:ascii="Times New Roman;Times;serif" w:hAnsi="Times New Roman;Times;serif"/>
          <w:sz w:val="20"/>
        </w:rPr>
        <w:t>such</w:t>
      </w:r>
      <w:r>
        <w:rPr>
          <w:rFonts w:ascii="Times New Roman;Times;serif" w:hAnsi="Times New Roman;Times;serif"/>
          <w:spacing w:val="-3"/>
          <w:sz w:val="20"/>
        </w:rPr>
        <w:t xml:space="preserve"> </w:t>
      </w:r>
      <w:r>
        <w:rPr>
          <w:rFonts w:ascii="Times New Roman;Times;serif" w:hAnsi="Times New Roman;Times;serif"/>
          <w:sz w:val="20"/>
        </w:rPr>
        <w:t>as</w:t>
      </w:r>
      <w:r>
        <w:rPr>
          <w:rFonts w:ascii="Times New Roman;Times;serif" w:hAnsi="Times New Roman;Times;serif"/>
          <w:spacing w:val="-3"/>
          <w:sz w:val="20"/>
        </w:rPr>
        <w:t xml:space="preserve"> </w:t>
      </w:r>
      <w:r>
        <w:rPr>
          <w:rFonts w:ascii="Times New Roman;Times;serif" w:hAnsi="Times New Roman;Times;serif"/>
          <w:sz w:val="20"/>
        </w:rPr>
        <w:t>the</w:t>
      </w:r>
      <w:r>
        <w:rPr>
          <w:rFonts w:ascii="Times New Roman;Times;serif" w:hAnsi="Times New Roman;Times;serif"/>
          <w:spacing w:val="-2"/>
          <w:sz w:val="20"/>
        </w:rPr>
        <w:t xml:space="preserve"> </w:t>
      </w:r>
      <w:r>
        <w:rPr>
          <w:rFonts w:ascii="Times New Roman;Times;serif" w:hAnsi="Times New Roman;Times;serif"/>
          <w:sz w:val="20"/>
        </w:rPr>
        <w:t>Rohrabacher-Farr</w:t>
      </w:r>
      <w:r>
        <w:rPr>
          <w:rFonts w:ascii="Times New Roman;Times;serif" w:hAnsi="Times New Roman;Times;serif"/>
          <w:spacing w:val="-1"/>
          <w:sz w:val="20"/>
        </w:rPr>
        <w:t xml:space="preserve"> </w:t>
      </w:r>
      <w:r>
        <w:rPr>
          <w:rFonts w:ascii="Times New Roman;Times;serif" w:hAnsi="Times New Roman;Times;serif"/>
          <w:sz w:val="20"/>
        </w:rPr>
        <w:t>Amendment,</w:t>
      </w:r>
      <w:r>
        <w:rPr>
          <w:rFonts w:ascii="Times New Roman;Times;serif" w:hAnsi="Times New Roman;Times;serif"/>
          <w:spacing w:val="-1"/>
          <w:sz w:val="20"/>
        </w:rPr>
        <w:t xml:space="preserve"> </w:t>
      </w:r>
      <w:r>
        <w:rPr>
          <w:rFonts w:ascii="Times New Roman;Times;serif" w:hAnsi="Times New Roman;Times;serif"/>
          <w:sz w:val="20"/>
        </w:rPr>
        <w:t>are</w:t>
      </w:r>
      <w:r>
        <w:rPr>
          <w:rFonts w:ascii="Times New Roman;Times;serif" w:hAnsi="Times New Roman;Times;serif"/>
          <w:spacing w:val="-2"/>
          <w:sz w:val="20"/>
        </w:rPr>
        <w:t xml:space="preserve"> </w:t>
      </w:r>
      <w:r>
        <w:rPr>
          <w:rFonts w:ascii="Times New Roman;Times;serif" w:hAnsi="Times New Roman;Times;serif"/>
          <w:sz w:val="20"/>
        </w:rPr>
        <w:t>an</w:t>
      </w:r>
      <w:r>
        <w:rPr>
          <w:rFonts w:ascii="Times New Roman;Times;serif" w:hAnsi="Times New Roman;Times;serif"/>
          <w:spacing w:val="-3"/>
          <w:sz w:val="20"/>
        </w:rPr>
        <w:t xml:space="preserve"> </w:t>
      </w:r>
      <w:r>
        <w:rPr>
          <w:rFonts w:ascii="Times New Roman;Times;serif" w:hAnsi="Times New Roman;Times;serif"/>
          <w:sz w:val="20"/>
        </w:rPr>
        <w:t>inappropriate</w:t>
      </w:r>
      <w:r>
        <w:rPr>
          <w:rFonts w:ascii="Times New Roman;Times;serif" w:hAnsi="Times New Roman;Times;serif"/>
          <w:spacing w:val="-2"/>
          <w:sz w:val="20"/>
        </w:rPr>
        <w:t xml:space="preserve"> </w:t>
      </w:r>
      <w:r>
        <w:rPr>
          <w:rFonts w:ascii="Times New Roman;Times;serif" w:hAnsi="Times New Roman;Times;serif"/>
          <w:sz w:val="20"/>
        </w:rPr>
        <w:t>way</w:t>
      </w:r>
      <w:r>
        <w:rPr>
          <w:rFonts w:ascii="Times New Roman;Times;serif" w:hAnsi="Times New Roman;Times;serif"/>
          <w:spacing w:val="-3"/>
          <w:sz w:val="20"/>
        </w:rPr>
        <w:t xml:space="preserve"> </w:t>
      </w:r>
      <w:r>
        <w:rPr>
          <w:rFonts w:ascii="Times New Roman;Times;serif" w:hAnsi="Times New Roman;Times;serif"/>
          <w:sz w:val="20"/>
        </w:rPr>
        <w:t>to</w:t>
      </w:r>
      <w:r>
        <w:rPr>
          <w:rFonts w:ascii="Times New Roman;Times;serif" w:hAnsi="Times New Roman;Times;serif"/>
          <w:spacing w:val="-1"/>
          <w:sz w:val="20"/>
        </w:rPr>
        <w:t xml:space="preserve"> </w:t>
      </w:r>
      <w:r>
        <w:rPr>
          <w:rFonts w:ascii="Times New Roman;Times;serif" w:hAnsi="Times New Roman;Times;serif"/>
          <w:sz w:val="20"/>
        </w:rPr>
        <w:t>protect</w:t>
      </w:r>
      <w:r>
        <w:rPr>
          <w:rFonts w:ascii="Times New Roman;Times;serif" w:hAnsi="Times New Roman;Times;serif"/>
          <w:spacing w:val="-2"/>
          <w:sz w:val="20"/>
        </w:rPr>
        <w:t xml:space="preserve"> </w:t>
      </w:r>
      <w:r>
        <w:rPr>
          <w:rFonts w:ascii="Times New Roman;Times;serif" w:hAnsi="Times New Roman;Times;serif"/>
          <w:sz w:val="20"/>
        </w:rPr>
        <w:t>lawful</w:t>
      </w:r>
      <w:r>
        <w:rPr>
          <w:rFonts w:ascii="Times New Roman;Times;serif" w:hAnsi="Times New Roman;Times;serif"/>
          <w:spacing w:val="-2"/>
          <w:sz w:val="20"/>
        </w:rPr>
        <w:t xml:space="preserve"> </w:t>
      </w:r>
      <w:r>
        <w:rPr>
          <w:rFonts w:ascii="Times New Roman;Times;serif" w:hAnsi="Times New Roman;Times;serif"/>
          <w:sz w:val="20"/>
        </w:rPr>
        <w:t>medical</w:t>
      </w:r>
      <w:r>
        <w:rPr>
          <w:rFonts w:ascii="Times New Roman;Times;serif" w:hAnsi="Times New Roman;Times;serif"/>
          <w:spacing w:val="-2"/>
          <w:sz w:val="20"/>
        </w:rPr>
        <w:t xml:space="preserve"> </w:t>
      </w:r>
      <w:r>
        <w:rPr>
          <w:rFonts w:ascii="Times New Roman;Times;serif" w:hAnsi="Times New Roman;Times;serif"/>
          <w:sz w:val="20"/>
        </w:rPr>
        <w:t>cannabis businesses.</w:t>
      </w:r>
      <w:r>
        <w:rPr>
          <w:rFonts w:ascii="Times New Roman;Times;serif" w:hAnsi="Times New Roman;Times;serif"/>
          <w:spacing w:val="3"/>
          <w:sz w:val="20"/>
        </w:rPr>
        <w:t xml:space="preserve"> </w:t>
      </w:r>
      <w:r>
        <w:rPr>
          <w:rFonts w:ascii="Times New Roman;Times;serif" w:hAnsi="Times New Roman;Times;serif"/>
          <w:sz w:val="20"/>
        </w:rPr>
        <w:t>Numerous bills have</w:t>
      </w:r>
      <w:r>
        <w:rPr>
          <w:rFonts w:ascii="Times New Roman;Times;serif" w:hAnsi="Times New Roman;Times;serif"/>
          <w:spacing w:val="3"/>
          <w:sz w:val="20"/>
        </w:rPr>
        <w:t xml:space="preserve"> </w:t>
      </w:r>
      <w:r>
        <w:rPr>
          <w:rFonts w:ascii="Times New Roman;Times;serif" w:hAnsi="Times New Roman;Times;serif"/>
          <w:sz w:val="20"/>
        </w:rPr>
        <w:t>been</w:t>
      </w:r>
      <w:r>
        <w:rPr>
          <w:rFonts w:ascii="Times New Roman;Times;serif" w:hAnsi="Times New Roman;Times;serif"/>
          <w:spacing w:val="4"/>
          <w:sz w:val="20"/>
        </w:rPr>
        <w:t xml:space="preserve"> </w:t>
      </w:r>
      <w:r>
        <w:rPr>
          <w:rFonts w:ascii="Times New Roman;Times;serif" w:hAnsi="Times New Roman;Times;serif"/>
          <w:sz w:val="20"/>
        </w:rPr>
        <w:t>introduced in</w:t>
      </w:r>
      <w:r>
        <w:rPr>
          <w:rFonts w:ascii="Times New Roman;Times;serif" w:hAnsi="Times New Roman;Times;serif"/>
          <w:spacing w:val="4"/>
          <w:sz w:val="20"/>
        </w:rPr>
        <w:t xml:space="preserve"> </w:t>
      </w:r>
      <w:r>
        <w:rPr>
          <w:rFonts w:ascii="Times New Roman;Times;serif" w:hAnsi="Times New Roman;Times;serif"/>
          <w:sz w:val="20"/>
        </w:rPr>
        <w:t>Congress in</w:t>
      </w:r>
      <w:r>
        <w:rPr>
          <w:rFonts w:ascii="Times New Roman;Times;serif" w:hAnsi="Times New Roman;Times;serif"/>
          <w:spacing w:val="4"/>
          <w:sz w:val="20"/>
        </w:rPr>
        <w:t xml:space="preserve"> </w:t>
      </w:r>
      <w:r>
        <w:rPr>
          <w:rFonts w:ascii="Times New Roman;Times;serif" w:hAnsi="Times New Roman;Times;serif"/>
          <w:sz w:val="20"/>
        </w:rPr>
        <w:t>recent</w:t>
      </w:r>
      <w:r>
        <w:rPr>
          <w:rFonts w:ascii="Times New Roman;Times;serif" w:hAnsi="Times New Roman;Times;serif"/>
          <w:spacing w:val="3"/>
          <w:sz w:val="20"/>
        </w:rPr>
        <w:t xml:space="preserve"> </w:t>
      </w:r>
      <w:r>
        <w:rPr>
          <w:rFonts w:ascii="Times New Roman;Times;serif" w:hAnsi="Times New Roman;Times;serif"/>
          <w:sz w:val="20"/>
        </w:rPr>
        <w:t>years to</w:t>
      </w:r>
      <w:r>
        <w:rPr>
          <w:rFonts w:ascii="Times New Roman;Times;serif" w:hAnsi="Times New Roman;Times;serif"/>
          <w:spacing w:val="4"/>
          <w:sz w:val="20"/>
        </w:rPr>
        <w:t xml:space="preserve"> </w:t>
      </w:r>
      <w:r>
        <w:rPr>
          <w:rFonts w:ascii="Times New Roman;Times;serif" w:hAnsi="Times New Roman;Times;serif"/>
          <w:sz w:val="20"/>
        </w:rPr>
        <w:t>decriminalize</w:t>
      </w:r>
      <w:r>
        <w:rPr>
          <w:rFonts w:ascii="Times New Roman;Times;serif" w:hAnsi="Times New Roman;Times;serif"/>
          <w:spacing w:val="3"/>
          <w:sz w:val="20"/>
        </w:rPr>
        <w:t xml:space="preserve"> </w:t>
      </w:r>
      <w:r>
        <w:rPr>
          <w:rFonts w:ascii="Times New Roman;Times;serif" w:hAnsi="Times New Roman;Times;serif"/>
          <w:sz w:val="20"/>
        </w:rPr>
        <w:t>aspects of</w:t>
      </w:r>
      <w:r>
        <w:rPr>
          <w:rFonts w:ascii="Times New Roman;Times;serif" w:hAnsi="Times New Roman;Times;serif"/>
          <w:spacing w:val="4"/>
          <w:sz w:val="20"/>
        </w:rPr>
        <w:t xml:space="preserve"> </w:t>
      </w:r>
      <w:r>
        <w:rPr>
          <w:rFonts w:ascii="Times New Roman;Times;serif" w:hAnsi="Times New Roman;Times;serif"/>
          <w:sz w:val="20"/>
        </w:rPr>
        <w:t>state-legal</w:t>
      </w:r>
      <w:r>
        <w:rPr>
          <w:rFonts w:ascii="Times New Roman;Times;serif" w:hAnsi="Times New Roman;Times;serif"/>
          <w:spacing w:val="3"/>
          <w:sz w:val="20"/>
        </w:rPr>
        <w:t xml:space="preserve"> </w:t>
      </w:r>
      <w:r>
        <w:rPr>
          <w:rFonts w:ascii="Times New Roman;Times;serif" w:hAnsi="Times New Roman;Times;serif"/>
          <w:sz w:val="20"/>
        </w:rPr>
        <w:t>cannabis</w:t>
      </w:r>
      <w:r>
        <w:rPr>
          <w:rFonts w:ascii="Times New Roman;Times;serif" w:hAnsi="Times New Roman;Times;serif"/>
          <w:spacing w:val="-2"/>
          <w:sz w:val="20"/>
        </w:rPr>
        <w:t xml:space="preserve"> </w:t>
      </w:r>
      <w:r>
        <w:rPr>
          <w:rFonts w:ascii="Times New Roman;Times;serif" w:hAnsi="Times New Roman;Times;serif"/>
          <w:sz w:val="20"/>
        </w:rPr>
        <w:t>trades. The Company</w:t>
      </w:r>
      <w:r>
        <w:rPr>
          <w:rFonts w:ascii="Times New Roman;Times;serif" w:hAnsi="Times New Roman;Times;serif"/>
          <w:spacing w:val="-1"/>
          <w:sz w:val="20"/>
        </w:rPr>
        <w:t xml:space="preserve"> </w:t>
      </w:r>
      <w:r>
        <w:rPr>
          <w:rFonts w:ascii="Times New Roman;Times;serif" w:hAnsi="Times New Roman;Times;serif"/>
          <w:sz w:val="20"/>
        </w:rPr>
        <w:t>has observed that</w:t>
      </w:r>
      <w:r>
        <w:rPr>
          <w:rFonts w:ascii="Times New Roman;Times;serif" w:hAnsi="Times New Roman;Times;serif"/>
          <w:spacing w:val="-2"/>
          <w:sz w:val="20"/>
        </w:rPr>
        <w:t xml:space="preserve"> </w:t>
      </w:r>
      <w:r>
        <w:rPr>
          <w:rFonts w:ascii="Times New Roman;Times;serif" w:hAnsi="Times New Roman;Times;serif"/>
          <w:sz w:val="20"/>
        </w:rPr>
        <w:t>each year more congressmen and congresswomen sign on</w:t>
      </w:r>
      <w:r>
        <w:rPr>
          <w:rFonts w:ascii="Times New Roman;Times;serif" w:hAnsi="Times New Roman;Times;serif"/>
          <w:spacing w:val="-1"/>
          <w:sz w:val="20"/>
        </w:rPr>
        <w:t xml:space="preserve"> </w:t>
      </w:r>
      <w:r>
        <w:rPr>
          <w:rFonts w:ascii="Times New Roman;Times;serif" w:hAnsi="Times New Roman;Times;serif"/>
          <w:sz w:val="20"/>
        </w:rPr>
        <w:t>and co-sponsor cannabis legalization</w:t>
      </w:r>
      <w:r>
        <w:rPr>
          <w:rFonts w:ascii="Times New Roman;Times;serif" w:hAnsi="Times New Roman;Times;serif"/>
          <w:spacing w:val="-2"/>
          <w:sz w:val="20"/>
        </w:rPr>
        <w:t xml:space="preserve"> </w:t>
      </w:r>
      <w:r>
        <w:rPr>
          <w:rFonts w:ascii="Times New Roman;Times;serif" w:hAnsi="Times New Roman;Times;serif"/>
          <w:sz w:val="20"/>
        </w:rPr>
        <w:t>bills.</w:t>
      </w:r>
      <w:r>
        <w:rPr>
          <w:rFonts w:ascii="Times New Roman;Times;serif" w:hAnsi="Times New Roman;Times;serif"/>
          <w:spacing w:val="-11"/>
          <w:sz w:val="20"/>
        </w:rPr>
        <w:t xml:space="preserve"> </w:t>
      </w:r>
      <w:r>
        <w:rPr>
          <w:rFonts w:ascii="Times New Roman;Times;serif" w:hAnsi="Times New Roman;Times;serif"/>
          <w:sz w:val="20"/>
        </w:rPr>
        <w:t>In</w:t>
      </w:r>
      <w:r>
        <w:rPr>
          <w:rFonts w:ascii="Times New Roman;Times;serif" w:hAnsi="Times New Roman;Times;serif"/>
          <w:spacing w:val="-10"/>
          <w:sz w:val="20"/>
        </w:rPr>
        <w:t xml:space="preserve"> </w:t>
      </w:r>
      <w:r>
        <w:rPr>
          <w:rFonts w:ascii="Times New Roman;Times;serif" w:hAnsi="Times New Roman;Times;serif"/>
          <w:sz w:val="20"/>
        </w:rPr>
        <w:t>light</w:t>
      </w:r>
      <w:r>
        <w:rPr>
          <w:rFonts w:ascii="Times New Roman;Times;serif" w:hAnsi="Times New Roman;Times;serif"/>
          <w:spacing w:val="-13"/>
          <w:sz w:val="20"/>
        </w:rPr>
        <w:t xml:space="preserve"> </w:t>
      </w:r>
      <w:r>
        <w:rPr>
          <w:rFonts w:ascii="Times New Roman;Times;serif" w:hAnsi="Times New Roman;Times;serif"/>
          <w:sz w:val="20"/>
        </w:rPr>
        <w:t>of</w:t>
      </w:r>
      <w:r>
        <w:rPr>
          <w:rFonts w:ascii="Times New Roman;Times;serif" w:hAnsi="Times New Roman;Times;serif"/>
          <w:spacing w:val="-10"/>
          <w:sz w:val="20"/>
        </w:rPr>
        <w:t xml:space="preserve"> </w:t>
      </w:r>
      <w:r>
        <w:rPr>
          <w:rFonts w:ascii="Times New Roman;Times;serif" w:hAnsi="Times New Roman;Times;serif"/>
          <w:sz w:val="20"/>
        </w:rPr>
        <w:t>all</w:t>
      </w:r>
      <w:r>
        <w:rPr>
          <w:rFonts w:ascii="Times New Roman;Times;serif" w:hAnsi="Times New Roman;Times;serif"/>
          <w:spacing w:val="-12"/>
          <w:sz w:val="20"/>
        </w:rPr>
        <w:t xml:space="preserve"> </w:t>
      </w:r>
      <w:r>
        <w:rPr>
          <w:rFonts w:ascii="Times New Roman;Times;serif" w:hAnsi="Times New Roman;Times;serif"/>
          <w:sz w:val="20"/>
        </w:rPr>
        <w:t>this,</w:t>
      </w:r>
      <w:r>
        <w:rPr>
          <w:rFonts w:ascii="Times New Roman;Times;serif" w:hAnsi="Times New Roman;Times;serif"/>
          <w:spacing w:val="-11"/>
          <w:sz w:val="20"/>
        </w:rPr>
        <w:t xml:space="preserve"> </w:t>
      </w:r>
      <w:r>
        <w:rPr>
          <w:rFonts w:ascii="Times New Roman;Times;serif" w:hAnsi="Times New Roman;Times;serif"/>
          <w:sz w:val="20"/>
        </w:rPr>
        <w:t>it</w:t>
      </w:r>
      <w:r>
        <w:rPr>
          <w:rFonts w:ascii="Times New Roman;Times;serif" w:hAnsi="Times New Roman;Times;serif"/>
          <w:spacing w:val="-12"/>
          <w:sz w:val="20"/>
        </w:rPr>
        <w:t xml:space="preserve"> </w:t>
      </w:r>
      <w:r>
        <w:rPr>
          <w:rFonts w:ascii="Times New Roman;Times;serif" w:hAnsi="Times New Roman;Times;serif"/>
          <w:sz w:val="20"/>
        </w:rPr>
        <w:t>is</w:t>
      </w:r>
      <w:r>
        <w:rPr>
          <w:rFonts w:ascii="Times New Roman;Times;serif" w:hAnsi="Times New Roman;Times;serif"/>
          <w:spacing w:val="-12"/>
          <w:sz w:val="20"/>
        </w:rPr>
        <w:t xml:space="preserve"> </w:t>
      </w:r>
      <w:r>
        <w:rPr>
          <w:rFonts w:ascii="Times New Roman;Times;serif" w:hAnsi="Times New Roman;Times;serif"/>
          <w:sz w:val="20"/>
        </w:rPr>
        <w:t>anticipated</w:t>
      </w:r>
      <w:r>
        <w:rPr>
          <w:rFonts w:ascii="Times New Roman;Times;serif" w:hAnsi="Times New Roman;Times;serif"/>
          <w:spacing w:val="-10"/>
          <w:sz w:val="20"/>
        </w:rPr>
        <w:t xml:space="preserve"> </w:t>
      </w:r>
      <w:r>
        <w:rPr>
          <w:rFonts w:ascii="Times New Roman;Times;serif" w:hAnsi="Times New Roman;Times;serif"/>
          <w:sz w:val="20"/>
        </w:rPr>
        <w:t>that</w:t>
      </w:r>
      <w:r>
        <w:rPr>
          <w:rFonts w:ascii="Times New Roman;Times;serif" w:hAnsi="Times New Roman;Times;serif"/>
          <w:spacing w:val="-12"/>
          <w:sz w:val="20"/>
        </w:rPr>
        <w:t xml:space="preserve"> </w:t>
      </w:r>
      <w:r>
        <w:rPr>
          <w:rFonts w:ascii="Times New Roman;Times;serif" w:hAnsi="Times New Roman;Times;serif"/>
          <w:sz w:val="20"/>
        </w:rPr>
        <w:t>the</w:t>
      </w:r>
      <w:r>
        <w:rPr>
          <w:rFonts w:ascii="Times New Roman;Times;serif" w:hAnsi="Times New Roman;Times;serif"/>
          <w:spacing w:val="-13"/>
          <w:sz w:val="20"/>
        </w:rPr>
        <w:t xml:space="preserve"> </w:t>
      </w:r>
      <w:r>
        <w:rPr>
          <w:rFonts w:ascii="Times New Roman;Times;serif" w:hAnsi="Times New Roman;Times;serif"/>
          <w:sz w:val="20"/>
        </w:rPr>
        <w:t>federal</w:t>
      </w:r>
      <w:r>
        <w:rPr>
          <w:rFonts w:ascii="Times New Roman;Times;serif" w:hAnsi="Times New Roman;Times;serif"/>
          <w:spacing w:val="-12"/>
          <w:sz w:val="20"/>
        </w:rPr>
        <w:t xml:space="preserve"> </w:t>
      </w:r>
      <w:r>
        <w:rPr>
          <w:rFonts w:ascii="Times New Roman;Times;serif" w:hAnsi="Times New Roman;Times;serif"/>
          <w:sz w:val="20"/>
        </w:rPr>
        <w:t>government</w:t>
      </w:r>
      <w:r>
        <w:rPr>
          <w:rFonts w:ascii="Times New Roman;Times;serif" w:hAnsi="Times New Roman;Times;serif"/>
          <w:spacing w:val="-12"/>
          <w:sz w:val="20"/>
        </w:rPr>
        <w:t xml:space="preserve"> </w:t>
      </w:r>
      <w:r>
        <w:rPr>
          <w:rFonts w:ascii="Times New Roman;Times;serif" w:hAnsi="Times New Roman;Times;serif"/>
          <w:sz w:val="20"/>
        </w:rPr>
        <w:t>will</w:t>
      </w:r>
      <w:r>
        <w:rPr>
          <w:rFonts w:ascii="Times New Roman;Times;serif" w:hAnsi="Times New Roman;Times;serif"/>
          <w:spacing w:val="-12"/>
          <w:sz w:val="20"/>
        </w:rPr>
        <w:t xml:space="preserve"> </w:t>
      </w:r>
      <w:r>
        <w:rPr>
          <w:rFonts w:ascii="Times New Roman;Times;serif" w:hAnsi="Times New Roman;Times;serif"/>
          <w:sz w:val="20"/>
        </w:rPr>
        <w:t>eventually</w:t>
      </w:r>
      <w:r>
        <w:rPr>
          <w:rFonts w:ascii="Times New Roman;Times;serif" w:hAnsi="Times New Roman;Times;serif"/>
          <w:spacing w:val="-13"/>
          <w:sz w:val="20"/>
        </w:rPr>
        <w:t xml:space="preserve"> </w:t>
      </w:r>
      <w:r>
        <w:rPr>
          <w:rFonts w:ascii="Times New Roman;Times;serif" w:hAnsi="Times New Roman;Times;serif"/>
          <w:sz w:val="20"/>
        </w:rPr>
        <w:t>repeal</w:t>
      </w:r>
      <w:r>
        <w:rPr>
          <w:rFonts w:ascii="Times New Roman;Times;serif" w:hAnsi="Times New Roman;Times;serif"/>
          <w:spacing w:val="-11"/>
          <w:sz w:val="20"/>
        </w:rPr>
        <w:t xml:space="preserve"> </w:t>
      </w:r>
      <w:r>
        <w:rPr>
          <w:rFonts w:ascii="Times New Roman;Times;serif" w:hAnsi="Times New Roman;Times;serif"/>
          <w:sz w:val="20"/>
        </w:rPr>
        <w:t>the</w:t>
      </w:r>
      <w:r>
        <w:rPr>
          <w:rFonts w:ascii="Times New Roman;Times;serif" w:hAnsi="Times New Roman;Times;serif"/>
          <w:spacing w:val="-13"/>
          <w:sz w:val="20"/>
        </w:rPr>
        <w:t xml:space="preserve"> </w:t>
      </w:r>
      <w:r>
        <w:rPr>
          <w:rFonts w:ascii="Times New Roman;Times;serif" w:hAnsi="Times New Roman;Times;serif"/>
          <w:sz w:val="20"/>
        </w:rPr>
        <w:t>federal</w:t>
      </w:r>
      <w:r>
        <w:rPr>
          <w:rFonts w:ascii="Times New Roman;Times;serif" w:hAnsi="Times New Roman;Times;serif"/>
          <w:spacing w:val="-12"/>
          <w:sz w:val="20"/>
        </w:rPr>
        <w:t xml:space="preserve"> </w:t>
      </w:r>
      <w:r>
        <w:rPr>
          <w:rFonts w:ascii="Times New Roman;Times;serif" w:hAnsi="Times New Roman;Times;serif"/>
          <w:sz w:val="20"/>
        </w:rPr>
        <w:t>prohibition</w:t>
      </w:r>
      <w:r>
        <w:rPr>
          <w:rFonts w:ascii="Times New Roman;Times;serif" w:hAnsi="Times New Roman;Times;serif"/>
          <w:spacing w:val="-13"/>
          <w:sz w:val="20"/>
        </w:rPr>
        <w:t xml:space="preserve"> </w:t>
      </w:r>
      <w:r>
        <w:rPr>
          <w:rFonts w:ascii="Times New Roman;Times;serif" w:hAnsi="Times New Roman;Times;serif"/>
          <w:sz w:val="20"/>
        </w:rPr>
        <w:t>on</w:t>
      </w:r>
      <w:r>
        <w:rPr>
          <w:rFonts w:ascii="Times New Roman;Times;serif" w:hAnsi="Times New Roman;Times;serif"/>
          <w:spacing w:val="-9"/>
          <w:sz w:val="20"/>
        </w:rPr>
        <w:t xml:space="preserve"> </w:t>
      </w:r>
      <w:r>
        <w:rPr>
          <w:rFonts w:ascii="Times New Roman;Times;serif" w:hAnsi="Times New Roman;Times;serif"/>
          <w:sz w:val="20"/>
        </w:rPr>
        <w:t>cannabis</w:t>
      </w:r>
      <w:r>
        <w:rPr>
          <w:rFonts w:ascii="Times New Roman;Times;serif" w:hAnsi="Times New Roman;Times;serif"/>
          <w:spacing w:val="-12"/>
          <w:sz w:val="20"/>
        </w:rPr>
        <w:t xml:space="preserve"> </w:t>
      </w:r>
      <w:r>
        <w:rPr>
          <w:rFonts w:ascii="Times New Roman;Times;serif" w:hAnsi="Times New Roman;Times;serif"/>
          <w:sz w:val="20"/>
        </w:rPr>
        <w:t>and</w:t>
      </w:r>
      <w:r>
        <w:rPr>
          <w:rFonts w:ascii="Times New Roman;Times;serif" w:hAnsi="Times New Roman;Times;serif"/>
          <w:spacing w:val="-10"/>
          <w:sz w:val="20"/>
        </w:rPr>
        <w:t xml:space="preserve"> </w:t>
      </w:r>
      <w:r>
        <w:rPr>
          <w:rFonts w:ascii="Times New Roman;Times;serif" w:hAnsi="Times New Roman;Times;serif"/>
          <w:sz w:val="20"/>
        </w:rPr>
        <w:t>thereby</w:t>
      </w:r>
      <w:r>
        <w:rPr>
          <w:rFonts w:ascii="Times New Roman;Times;serif" w:hAnsi="Times New Roman;Times;serif"/>
          <w:spacing w:val="-2"/>
          <w:sz w:val="20"/>
        </w:rPr>
        <w:t xml:space="preserve"> </w:t>
      </w:r>
      <w:r>
        <w:rPr>
          <w:rFonts w:ascii="Times New Roman;Times;serif" w:hAnsi="Times New Roman;Times;serif"/>
          <w:sz w:val="20"/>
        </w:rPr>
        <w:t>leave</w:t>
      </w:r>
      <w:r>
        <w:rPr>
          <w:rFonts w:ascii="Times New Roman;Times;serif" w:hAnsi="Times New Roman;Times;serif"/>
          <w:spacing w:val="10"/>
          <w:sz w:val="20"/>
        </w:rPr>
        <w:t xml:space="preserve"> </w:t>
      </w:r>
      <w:r>
        <w:rPr>
          <w:rFonts w:ascii="Times New Roman;Times;serif" w:hAnsi="Times New Roman;Times;serif"/>
          <w:sz w:val="20"/>
        </w:rPr>
        <w:t>the</w:t>
      </w:r>
      <w:r>
        <w:rPr>
          <w:rFonts w:ascii="Times New Roman;Times;serif" w:hAnsi="Times New Roman;Times;serif"/>
          <w:spacing w:val="10"/>
          <w:sz w:val="20"/>
        </w:rPr>
        <w:t xml:space="preserve"> </w:t>
      </w:r>
      <w:r>
        <w:rPr>
          <w:rFonts w:ascii="Times New Roman;Times;serif" w:hAnsi="Times New Roman;Times;serif"/>
          <w:sz w:val="20"/>
        </w:rPr>
        <w:t>states</w:t>
      </w:r>
      <w:r>
        <w:rPr>
          <w:rFonts w:ascii="Times New Roman;Times;serif" w:hAnsi="Times New Roman;Times;serif"/>
          <w:spacing w:val="9"/>
          <w:sz w:val="20"/>
        </w:rPr>
        <w:t xml:space="preserve"> </w:t>
      </w:r>
      <w:r>
        <w:rPr>
          <w:rFonts w:ascii="Times New Roman;Times;serif" w:hAnsi="Times New Roman;Times;serif"/>
          <w:sz w:val="20"/>
        </w:rPr>
        <w:t>to</w:t>
      </w:r>
      <w:r>
        <w:rPr>
          <w:rFonts w:ascii="Times New Roman;Times;serif" w:hAnsi="Times New Roman;Times;serif"/>
          <w:spacing w:val="11"/>
          <w:sz w:val="20"/>
        </w:rPr>
        <w:t xml:space="preserve"> </w:t>
      </w:r>
      <w:r>
        <w:rPr>
          <w:rFonts w:ascii="Times New Roman;Times;serif" w:hAnsi="Times New Roman;Times;serif"/>
          <w:sz w:val="20"/>
        </w:rPr>
        <w:t>decide</w:t>
      </w:r>
      <w:r>
        <w:rPr>
          <w:rFonts w:ascii="Times New Roman;Times;serif" w:hAnsi="Times New Roman;Times;serif"/>
          <w:spacing w:val="10"/>
          <w:sz w:val="20"/>
        </w:rPr>
        <w:t xml:space="preserve"> </w:t>
      </w:r>
      <w:r>
        <w:rPr>
          <w:rFonts w:ascii="Times New Roman;Times;serif" w:hAnsi="Times New Roman;Times;serif"/>
          <w:sz w:val="20"/>
        </w:rPr>
        <w:t>for</w:t>
      </w:r>
      <w:r>
        <w:rPr>
          <w:rFonts w:ascii="Times New Roman;Times;serif" w:hAnsi="Times New Roman;Times;serif"/>
          <w:spacing w:val="11"/>
          <w:sz w:val="20"/>
        </w:rPr>
        <w:t xml:space="preserve"> </w:t>
      </w:r>
      <w:r>
        <w:rPr>
          <w:rFonts w:ascii="Times New Roman;Times;serif" w:hAnsi="Times New Roman;Times;serif"/>
          <w:sz w:val="20"/>
        </w:rPr>
        <w:t>themselves</w:t>
      </w:r>
      <w:r>
        <w:rPr>
          <w:rFonts w:ascii="Times New Roman;Times;serif" w:hAnsi="Times New Roman;Times;serif"/>
          <w:spacing w:val="9"/>
          <w:sz w:val="20"/>
        </w:rPr>
        <w:t xml:space="preserve"> </w:t>
      </w:r>
      <w:r>
        <w:rPr>
          <w:rFonts w:ascii="Times New Roman;Times;serif" w:hAnsi="Times New Roman;Times;serif"/>
          <w:sz w:val="20"/>
        </w:rPr>
        <w:t>whether</w:t>
      </w:r>
      <w:r>
        <w:rPr>
          <w:rFonts w:ascii="Times New Roman;Times;serif" w:hAnsi="Times New Roman;Times;serif"/>
          <w:spacing w:val="11"/>
          <w:sz w:val="20"/>
        </w:rPr>
        <w:t xml:space="preserve"> </w:t>
      </w:r>
      <w:r>
        <w:rPr>
          <w:rFonts w:ascii="Times New Roman;Times;serif" w:hAnsi="Times New Roman;Times;serif"/>
          <w:sz w:val="20"/>
        </w:rPr>
        <w:t>to</w:t>
      </w:r>
      <w:r>
        <w:rPr>
          <w:rFonts w:ascii="Times New Roman;Times;serif" w:hAnsi="Times New Roman;Times;serif"/>
          <w:spacing w:val="11"/>
          <w:sz w:val="20"/>
        </w:rPr>
        <w:t xml:space="preserve"> </w:t>
      </w:r>
      <w:r>
        <w:rPr>
          <w:rFonts w:ascii="Times New Roman;Times;serif" w:hAnsi="Times New Roman;Times;serif"/>
          <w:sz w:val="20"/>
        </w:rPr>
        <w:t>permit</w:t>
      </w:r>
      <w:r>
        <w:rPr>
          <w:rFonts w:ascii="Times New Roman;Times;serif" w:hAnsi="Times New Roman;Times;serif"/>
          <w:spacing w:val="7"/>
          <w:sz w:val="20"/>
        </w:rPr>
        <w:t xml:space="preserve"> </w:t>
      </w:r>
      <w:r>
        <w:rPr>
          <w:rFonts w:ascii="Times New Roman;Times;serif" w:hAnsi="Times New Roman;Times;serif"/>
          <w:sz w:val="20"/>
        </w:rPr>
        <w:t>regulated</w:t>
      </w:r>
      <w:r>
        <w:rPr>
          <w:rFonts w:ascii="Times New Roman;Times;serif" w:hAnsi="Times New Roman;Times;serif"/>
          <w:spacing w:val="11"/>
          <w:sz w:val="20"/>
        </w:rPr>
        <w:t xml:space="preserve"> </w:t>
      </w:r>
      <w:r>
        <w:rPr>
          <w:rFonts w:ascii="Times New Roman;Times;serif" w:hAnsi="Times New Roman;Times;serif"/>
          <w:sz w:val="20"/>
        </w:rPr>
        <w:t>cannabis</w:t>
      </w:r>
      <w:r>
        <w:rPr>
          <w:rFonts w:ascii="Times New Roman;Times;serif" w:hAnsi="Times New Roman;Times;serif"/>
          <w:spacing w:val="9"/>
          <w:sz w:val="20"/>
        </w:rPr>
        <w:t xml:space="preserve"> </w:t>
      </w:r>
      <w:r>
        <w:rPr>
          <w:rFonts w:ascii="Times New Roman;Times;serif" w:hAnsi="Times New Roman;Times;serif"/>
          <w:sz w:val="20"/>
        </w:rPr>
        <w:t>cultivation,</w:t>
      </w:r>
      <w:r>
        <w:rPr>
          <w:rFonts w:ascii="Times New Roman;Times;serif" w:hAnsi="Times New Roman;Times;serif"/>
          <w:spacing w:val="10"/>
          <w:sz w:val="20"/>
        </w:rPr>
        <w:t xml:space="preserve"> </w:t>
      </w:r>
      <w:r>
        <w:rPr>
          <w:rFonts w:ascii="Times New Roman;Times;serif" w:hAnsi="Times New Roman;Times;serif"/>
          <w:sz w:val="20"/>
        </w:rPr>
        <w:t>production,</w:t>
      </w:r>
      <w:r>
        <w:rPr>
          <w:rFonts w:ascii="Times New Roman;Times;serif" w:hAnsi="Times New Roman;Times;serif"/>
          <w:spacing w:val="11"/>
          <w:sz w:val="20"/>
        </w:rPr>
        <w:t xml:space="preserve"> </w:t>
      </w:r>
      <w:r>
        <w:rPr>
          <w:rFonts w:ascii="Times New Roman;Times;serif" w:hAnsi="Times New Roman;Times;serif"/>
          <w:sz w:val="20"/>
        </w:rPr>
        <w:t>and</w:t>
      </w:r>
      <w:r>
        <w:rPr>
          <w:rFonts w:ascii="Times New Roman;Times;serif" w:hAnsi="Times New Roman;Times;serif"/>
          <w:spacing w:val="11"/>
          <w:sz w:val="20"/>
        </w:rPr>
        <w:t xml:space="preserve"> </w:t>
      </w:r>
      <w:r>
        <w:rPr>
          <w:rFonts w:ascii="Times New Roman;Times;serif" w:hAnsi="Times New Roman;Times;serif"/>
          <w:sz w:val="20"/>
        </w:rPr>
        <w:t>sale,</w:t>
      </w:r>
      <w:r>
        <w:rPr>
          <w:rFonts w:ascii="Times New Roman;Times;serif" w:hAnsi="Times New Roman;Times;serif"/>
          <w:spacing w:val="9"/>
          <w:sz w:val="20"/>
        </w:rPr>
        <w:t xml:space="preserve"> </w:t>
      </w:r>
      <w:r>
        <w:rPr>
          <w:rFonts w:ascii="Times New Roman;Times;serif" w:hAnsi="Times New Roman;Times;serif"/>
          <w:sz w:val="20"/>
        </w:rPr>
        <w:t>just</w:t>
      </w:r>
      <w:r>
        <w:rPr>
          <w:rFonts w:ascii="Times New Roman;Times;serif" w:hAnsi="Times New Roman;Times;serif"/>
          <w:spacing w:val="10"/>
          <w:sz w:val="20"/>
        </w:rPr>
        <w:t xml:space="preserve"> </w:t>
      </w:r>
      <w:r>
        <w:rPr>
          <w:rFonts w:ascii="Times New Roman;Times;serif" w:hAnsi="Times New Roman;Times;serif"/>
          <w:sz w:val="20"/>
        </w:rPr>
        <w:t>as</w:t>
      </w:r>
      <w:r>
        <w:rPr>
          <w:rFonts w:ascii="Times New Roman;Times;serif" w:hAnsi="Times New Roman;Times;serif"/>
          <w:spacing w:val="12"/>
          <w:sz w:val="20"/>
        </w:rPr>
        <w:t xml:space="preserve"> </w:t>
      </w:r>
      <w:r>
        <w:rPr>
          <w:rFonts w:ascii="Times New Roman;Times;serif" w:hAnsi="Times New Roman;Times;serif"/>
          <w:sz w:val="20"/>
        </w:rPr>
        <w:t>states</w:t>
      </w:r>
      <w:r>
        <w:rPr>
          <w:rFonts w:ascii="Times New Roman;Times;serif" w:hAnsi="Times New Roman;Times;serif"/>
          <w:spacing w:val="9"/>
          <w:sz w:val="20"/>
        </w:rPr>
        <w:t xml:space="preserve"> </w:t>
      </w:r>
      <w:r>
        <w:rPr>
          <w:rFonts w:ascii="Times New Roman;Times;serif" w:hAnsi="Times New Roman;Times;serif"/>
          <w:sz w:val="20"/>
        </w:rPr>
        <w:t>are</w:t>
      </w:r>
      <w:r>
        <w:rPr>
          <w:rFonts w:ascii="Times New Roman;Times;serif" w:hAnsi="Times New Roman;Times;serif"/>
          <w:spacing w:val="10"/>
          <w:sz w:val="20"/>
        </w:rPr>
        <w:t xml:space="preserve"> </w:t>
      </w:r>
      <w:r>
        <w:rPr>
          <w:rFonts w:ascii="Times New Roman;Times;serif" w:hAnsi="Times New Roman;Times;serif"/>
          <w:sz w:val="20"/>
        </w:rPr>
        <w:t>free</w:t>
      </w:r>
      <w:r>
        <w:rPr>
          <w:rFonts w:ascii="Times New Roman;Times;serif" w:hAnsi="Times New Roman;Times;serif"/>
          <w:spacing w:val="-2"/>
          <w:sz w:val="20"/>
        </w:rPr>
        <w:t xml:space="preserve"> </w:t>
      </w:r>
      <w:r>
        <w:rPr>
          <w:rFonts w:ascii="Times New Roman;Times;serif" w:hAnsi="Times New Roman;Times;serif"/>
          <w:sz w:val="20"/>
        </w:rPr>
        <w:t>today</w:t>
      </w:r>
      <w:r>
        <w:rPr>
          <w:rFonts w:ascii="Times New Roman;Times;serif" w:hAnsi="Times New Roman;Times;serif"/>
          <w:spacing w:val="-1"/>
          <w:sz w:val="20"/>
        </w:rPr>
        <w:t xml:space="preserve"> </w:t>
      </w:r>
      <w:r>
        <w:rPr>
          <w:rFonts w:ascii="Times New Roman;Times;serif" w:hAnsi="Times New Roman;Times;serif"/>
          <w:sz w:val="20"/>
        </w:rPr>
        <w:t>to</w:t>
      </w:r>
      <w:r>
        <w:rPr>
          <w:rFonts w:ascii="Times New Roman;Times;serif" w:hAnsi="Times New Roman;Times;serif"/>
          <w:spacing w:val="-3"/>
          <w:sz w:val="20"/>
        </w:rPr>
        <w:t xml:space="preserve"> </w:t>
      </w:r>
      <w:r>
        <w:rPr>
          <w:rFonts w:ascii="Times New Roman;Times;serif" w:hAnsi="Times New Roman;Times;serif"/>
          <w:sz w:val="20"/>
        </w:rPr>
        <w:t>decide</w:t>
      </w:r>
      <w:r>
        <w:rPr>
          <w:rFonts w:ascii="Times New Roman;Times;serif" w:hAnsi="Times New Roman;Times;serif"/>
          <w:spacing w:val="-2"/>
          <w:sz w:val="20"/>
        </w:rPr>
        <w:t xml:space="preserve"> </w:t>
      </w:r>
      <w:r>
        <w:rPr>
          <w:rFonts w:ascii="Times New Roman;Times;serif" w:hAnsi="Times New Roman;Times;serif"/>
          <w:sz w:val="20"/>
        </w:rPr>
        <w:t>policies</w:t>
      </w:r>
      <w:r>
        <w:rPr>
          <w:rFonts w:ascii="Times New Roman;Times;serif" w:hAnsi="Times New Roman;Times;serif"/>
          <w:spacing w:val="-3"/>
          <w:sz w:val="20"/>
        </w:rPr>
        <w:t xml:space="preserve"> </w:t>
      </w:r>
      <w:r>
        <w:rPr>
          <w:rFonts w:ascii="Times New Roman;Times;serif" w:hAnsi="Times New Roman;Times;serif"/>
          <w:sz w:val="20"/>
        </w:rPr>
        <w:t>governing</w:t>
      </w:r>
      <w:r>
        <w:rPr>
          <w:rFonts w:ascii="Times New Roman;Times;serif" w:hAnsi="Times New Roman;Times;serif"/>
          <w:spacing w:val="-1"/>
          <w:sz w:val="20"/>
        </w:rPr>
        <w:t xml:space="preserve"> </w:t>
      </w:r>
      <w:r>
        <w:rPr>
          <w:rFonts w:ascii="Times New Roman;Times;serif" w:hAnsi="Times New Roman;Times;serif"/>
          <w:sz w:val="20"/>
        </w:rPr>
        <w:t>the</w:t>
      </w:r>
      <w:r>
        <w:rPr>
          <w:rFonts w:ascii="Times New Roman;Times;serif" w:hAnsi="Times New Roman;Times;serif"/>
          <w:spacing w:val="-4"/>
          <w:sz w:val="20"/>
        </w:rPr>
        <w:t xml:space="preserve"> </w:t>
      </w:r>
      <w:r>
        <w:rPr>
          <w:rFonts w:ascii="Times New Roman;Times;serif" w:hAnsi="Times New Roman;Times;serif"/>
          <w:sz w:val="20"/>
        </w:rPr>
        <w:t>distribution</w:t>
      </w:r>
      <w:r>
        <w:rPr>
          <w:rFonts w:ascii="Times New Roman;Times;serif" w:hAnsi="Times New Roman;Times;serif"/>
          <w:spacing w:val="-3"/>
          <w:sz w:val="20"/>
        </w:rPr>
        <w:t xml:space="preserve"> </w:t>
      </w:r>
      <w:r>
        <w:rPr>
          <w:rFonts w:ascii="Times New Roman;Times;serif" w:hAnsi="Times New Roman;Times;serif"/>
          <w:sz w:val="20"/>
        </w:rPr>
        <w:t>of</w:t>
      </w:r>
      <w:r>
        <w:rPr>
          <w:rFonts w:ascii="Times New Roman;Times;serif" w:hAnsi="Times New Roman;Times;serif"/>
          <w:spacing w:val="-1"/>
          <w:sz w:val="20"/>
        </w:rPr>
        <w:t xml:space="preserve"> </w:t>
      </w:r>
      <w:r>
        <w:rPr>
          <w:rFonts w:ascii="Times New Roman;Times;serif" w:hAnsi="Times New Roman;Times;serif"/>
          <w:sz w:val="20"/>
        </w:rPr>
        <w:t>alcohol</w:t>
      </w:r>
      <w:r>
        <w:rPr>
          <w:rFonts w:ascii="Times New Roman;Times;serif" w:hAnsi="Times New Roman;Times;serif"/>
          <w:spacing w:val="-2"/>
          <w:sz w:val="20"/>
        </w:rPr>
        <w:t xml:space="preserve"> </w:t>
      </w:r>
      <w:r>
        <w:rPr>
          <w:rFonts w:ascii="Times New Roman;Times;serif" w:hAnsi="Times New Roman;Times;serif"/>
          <w:sz w:val="20"/>
        </w:rPr>
        <w:t>or</w:t>
      </w:r>
      <w:r>
        <w:rPr>
          <w:rFonts w:ascii="Times New Roman;Times;serif" w:hAnsi="Times New Roman;Times;serif"/>
          <w:spacing w:val="-1"/>
          <w:sz w:val="20"/>
        </w:rPr>
        <w:t xml:space="preserve"> </w:t>
      </w:r>
      <w:r>
        <w:rPr>
          <w:rFonts w:ascii="Times New Roman;Times;serif" w:hAnsi="Times New Roman;Times;serif"/>
          <w:sz w:val="20"/>
        </w:rPr>
        <w:t>tobacco.</w:t>
      </w:r>
    </w:p>
    <w:p>
      <w:pPr>
        <w:pStyle w:val="TextBody"/>
        <w:spacing w:before="0" w:after="240"/>
        <w:ind w:left="0" w:right="117" w:hanging="0"/>
        <w:jc w:val="both"/>
        <w:rPr>
          <w:rFonts w:ascii="Times New Roman;Times;serif" w:hAnsi="Times New Roman;Times;serif"/>
          <w:sz w:val="20"/>
        </w:rPr>
      </w:pPr>
      <w:r>
        <w:rPr>
          <w:rFonts w:ascii="Times New Roman;Times;serif" w:hAnsi="Times New Roman;Times;serif"/>
          <w:sz w:val="20"/>
        </w:rPr>
        <w:t>The</w:t>
      </w:r>
      <w:r>
        <w:rPr>
          <w:rFonts w:ascii="Times New Roman;Times;serif" w:hAnsi="Times New Roman;Times;serif"/>
          <w:spacing w:val="4"/>
          <w:sz w:val="20"/>
        </w:rPr>
        <w:t xml:space="preserve"> </w:t>
      </w:r>
      <w:r>
        <w:rPr>
          <w:rFonts w:ascii="Times New Roman;Times;serif" w:hAnsi="Times New Roman;Times;serif"/>
          <w:sz w:val="20"/>
        </w:rPr>
        <w:t>most</w:t>
      </w:r>
      <w:r>
        <w:rPr>
          <w:rFonts w:ascii="Times New Roman;Times;serif" w:hAnsi="Times New Roman;Times;serif"/>
          <w:spacing w:val="11"/>
          <w:sz w:val="20"/>
        </w:rPr>
        <w:t xml:space="preserve"> </w:t>
      </w:r>
      <w:r>
        <w:rPr>
          <w:rFonts w:ascii="Times New Roman;Times;serif" w:hAnsi="Times New Roman;Times;serif"/>
          <w:sz w:val="20"/>
        </w:rPr>
        <w:t>comprehensive</w:t>
      </w:r>
      <w:r>
        <w:rPr>
          <w:rFonts w:ascii="Times New Roman;Times;serif" w:hAnsi="Times New Roman;Times;serif"/>
          <w:spacing w:val="8"/>
          <w:sz w:val="20"/>
        </w:rPr>
        <w:t xml:space="preserve"> </w:t>
      </w:r>
      <w:r>
        <w:rPr>
          <w:rFonts w:ascii="Times New Roman;Times;serif" w:hAnsi="Times New Roman;Times;serif"/>
          <w:sz w:val="20"/>
        </w:rPr>
        <w:t>proposal</w:t>
      </w:r>
      <w:r>
        <w:rPr>
          <w:rFonts w:ascii="Times New Roman;Times;serif" w:hAnsi="Times New Roman;Times;serif"/>
          <w:spacing w:val="10"/>
          <w:sz w:val="20"/>
        </w:rPr>
        <w:t xml:space="preserve"> </w:t>
      </w:r>
      <w:r>
        <w:rPr>
          <w:rFonts w:ascii="Times New Roman;Times;serif" w:hAnsi="Times New Roman;Times;serif"/>
          <w:sz w:val="20"/>
        </w:rPr>
        <w:t>for</w:t>
      </w:r>
      <w:r>
        <w:rPr>
          <w:rFonts w:ascii="Times New Roman;Times;serif" w:hAnsi="Times New Roman;Times;serif"/>
          <w:spacing w:val="11"/>
          <w:sz w:val="20"/>
        </w:rPr>
        <w:t xml:space="preserve"> </w:t>
      </w:r>
      <w:r>
        <w:rPr>
          <w:rFonts w:ascii="Times New Roman;Times;serif" w:hAnsi="Times New Roman;Times;serif"/>
          <w:sz w:val="20"/>
        </w:rPr>
        <w:t>reform</w:t>
      </w:r>
      <w:r>
        <w:rPr>
          <w:rFonts w:ascii="Times New Roman;Times;serif" w:hAnsi="Times New Roman;Times;serif"/>
          <w:spacing w:val="9"/>
          <w:sz w:val="20"/>
        </w:rPr>
        <w:t xml:space="preserve"> </w:t>
      </w:r>
      <w:r>
        <w:rPr>
          <w:rFonts w:ascii="Times New Roman;Times;serif" w:hAnsi="Times New Roman;Times;serif"/>
          <w:sz w:val="20"/>
        </w:rPr>
        <w:t>of</w:t>
      </w:r>
      <w:r>
        <w:rPr>
          <w:rFonts w:ascii="Times New Roman;Times;serif" w:hAnsi="Times New Roman;Times;serif"/>
          <w:spacing w:val="8"/>
          <w:sz w:val="20"/>
        </w:rPr>
        <w:t xml:space="preserve"> </w:t>
      </w:r>
      <w:r>
        <w:rPr>
          <w:rFonts w:ascii="Times New Roman;Times;serif" w:hAnsi="Times New Roman;Times;serif"/>
          <w:sz w:val="20"/>
        </w:rPr>
        <w:t>federal</w:t>
      </w:r>
      <w:r>
        <w:rPr>
          <w:rFonts w:ascii="Times New Roman;Times;serif" w:hAnsi="Times New Roman;Times;serif"/>
          <w:spacing w:val="10"/>
          <w:sz w:val="20"/>
        </w:rPr>
        <w:t xml:space="preserve"> </w:t>
      </w:r>
      <w:r>
        <w:rPr>
          <w:rFonts w:ascii="Times New Roman;Times;serif" w:hAnsi="Times New Roman;Times;serif"/>
          <w:sz w:val="20"/>
        </w:rPr>
        <w:t>legislation</w:t>
      </w:r>
      <w:r>
        <w:rPr>
          <w:rFonts w:ascii="Times New Roman;Times;serif" w:hAnsi="Times New Roman;Times;serif"/>
          <w:spacing w:val="11"/>
          <w:sz w:val="20"/>
        </w:rPr>
        <w:t xml:space="preserve"> </w:t>
      </w:r>
      <w:r>
        <w:rPr>
          <w:rFonts w:ascii="Times New Roman;Times;serif" w:hAnsi="Times New Roman;Times;serif"/>
          <w:sz w:val="20"/>
        </w:rPr>
        <w:t>on</w:t>
      </w:r>
      <w:r>
        <w:rPr>
          <w:rFonts w:ascii="Times New Roman;Times;serif" w:hAnsi="Times New Roman;Times;serif"/>
          <w:spacing w:val="11"/>
          <w:sz w:val="20"/>
        </w:rPr>
        <w:t xml:space="preserve"> </w:t>
      </w:r>
      <w:r>
        <w:rPr>
          <w:rFonts w:ascii="Times New Roman;Times;serif" w:hAnsi="Times New Roman;Times;serif"/>
          <w:sz w:val="20"/>
        </w:rPr>
        <w:t>cannabis</w:t>
      </w:r>
      <w:r>
        <w:rPr>
          <w:rFonts w:ascii="Times New Roman;Times;serif" w:hAnsi="Times New Roman;Times;serif"/>
          <w:spacing w:val="9"/>
          <w:sz w:val="20"/>
        </w:rPr>
        <w:t xml:space="preserve"> </w:t>
      </w:r>
      <w:r>
        <w:rPr>
          <w:rFonts w:ascii="Times New Roman;Times;serif" w:hAnsi="Times New Roman;Times;serif"/>
          <w:sz w:val="20"/>
        </w:rPr>
        <w:t>was</w:t>
      </w:r>
      <w:r>
        <w:rPr>
          <w:rFonts w:ascii="Times New Roman;Times;serif" w:hAnsi="Times New Roman;Times;serif"/>
          <w:spacing w:val="9"/>
          <w:sz w:val="20"/>
        </w:rPr>
        <w:t xml:space="preserve"> </w:t>
      </w:r>
      <w:r>
        <w:rPr>
          <w:rFonts w:ascii="Times New Roman;Times;serif" w:hAnsi="Times New Roman;Times;serif"/>
          <w:sz w:val="20"/>
        </w:rPr>
        <w:t>introduced</w:t>
      </w:r>
      <w:r>
        <w:rPr>
          <w:rFonts w:ascii="Times New Roman;Times;serif" w:hAnsi="Times New Roman;Times;serif"/>
          <w:spacing w:val="9"/>
          <w:sz w:val="20"/>
        </w:rPr>
        <w:t xml:space="preserve"> </w:t>
      </w:r>
      <w:r>
        <w:rPr>
          <w:rFonts w:ascii="Times New Roman;Times;serif" w:hAnsi="Times New Roman;Times;serif"/>
          <w:sz w:val="20"/>
        </w:rPr>
        <w:t>on</w:t>
      </w:r>
      <w:r>
        <w:rPr>
          <w:rFonts w:ascii="Times New Roman;Times;serif" w:hAnsi="Times New Roman;Times;serif"/>
          <w:spacing w:val="11"/>
          <w:sz w:val="20"/>
        </w:rPr>
        <w:t xml:space="preserve"> </w:t>
      </w:r>
      <w:r>
        <w:rPr>
          <w:rFonts w:ascii="Times New Roman;Times;serif" w:hAnsi="Times New Roman;Times;serif"/>
          <w:sz w:val="20"/>
        </w:rPr>
        <w:t>July</w:t>
      </w:r>
      <w:r>
        <w:rPr>
          <w:rFonts w:ascii="Times New Roman;Times;serif" w:hAnsi="Times New Roman;Times;serif"/>
          <w:spacing w:val="9"/>
          <w:sz w:val="20"/>
        </w:rPr>
        <w:t xml:space="preserve"> </w:t>
      </w:r>
      <w:r>
        <w:rPr>
          <w:rFonts w:ascii="Times New Roman;Times;serif" w:hAnsi="Times New Roman;Times;serif"/>
          <w:sz w:val="20"/>
        </w:rPr>
        <w:t>14,</w:t>
      </w:r>
      <w:r>
        <w:rPr>
          <w:rFonts w:ascii="Times New Roman;Times;serif" w:hAnsi="Times New Roman;Times;serif"/>
          <w:spacing w:val="8"/>
          <w:sz w:val="20"/>
        </w:rPr>
        <w:t xml:space="preserve"> </w:t>
      </w:r>
      <w:r>
        <w:rPr>
          <w:rFonts w:ascii="Times New Roman;Times;serif" w:hAnsi="Times New Roman;Times;serif"/>
          <w:sz w:val="20"/>
        </w:rPr>
        <w:t>2021,</w:t>
      </w:r>
      <w:r>
        <w:rPr>
          <w:rFonts w:ascii="Times New Roman;Times;serif" w:hAnsi="Times New Roman;Times;serif"/>
          <w:spacing w:val="8"/>
          <w:sz w:val="20"/>
        </w:rPr>
        <w:t xml:space="preserve"> </w:t>
      </w:r>
      <w:r>
        <w:rPr>
          <w:rFonts w:ascii="Times New Roman;Times;serif" w:hAnsi="Times New Roman;Times;serif"/>
          <w:sz w:val="20"/>
        </w:rPr>
        <w:t>by</w:t>
      </w:r>
      <w:r>
        <w:rPr>
          <w:rFonts w:ascii="Times New Roman;Times;serif" w:hAnsi="Times New Roman;Times;serif"/>
          <w:spacing w:val="9"/>
          <w:sz w:val="20"/>
        </w:rPr>
        <w:t xml:space="preserve"> </w:t>
      </w:r>
      <w:r>
        <w:rPr>
          <w:rFonts w:ascii="Times New Roman;Times;serif" w:hAnsi="Times New Roman;Times;serif"/>
          <w:sz w:val="20"/>
        </w:rPr>
        <w:t>Senate</w:t>
      </w:r>
      <w:r>
        <w:rPr>
          <w:rFonts w:ascii="Times New Roman;Times;serif" w:hAnsi="Times New Roman;Times;serif"/>
          <w:spacing w:val="-2"/>
          <w:sz w:val="20"/>
        </w:rPr>
        <w:t xml:space="preserve"> </w:t>
      </w:r>
      <w:r>
        <w:rPr>
          <w:rFonts w:ascii="Times New Roman;Times;serif" w:hAnsi="Times New Roman;Times;serif"/>
          <w:sz w:val="20"/>
        </w:rPr>
        <w:t>Majority</w:t>
      </w:r>
      <w:r>
        <w:rPr>
          <w:rFonts w:ascii="Times New Roman;Times;serif" w:hAnsi="Times New Roman;Times;serif"/>
          <w:spacing w:val="-5"/>
          <w:sz w:val="20"/>
        </w:rPr>
        <w:t xml:space="preserve"> </w:t>
      </w:r>
      <w:r>
        <w:rPr>
          <w:rFonts w:ascii="Times New Roman;Times;serif" w:hAnsi="Times New Roman;Times;serif"/>
          <w:sz w:val="20"/>
        </w:rPr>
        <w:t>Leader</w:t>
      </w:r>
      <w:r>
        <w:rPr>
          <w:rFonts w:ascii="Times New Roman;Times;serif" w:hAnsi="Times New Roman;Times;serif"/>
          <w:spacing w:val="-7"/>
          <w:sz w:val="20"/>
        </w:rPr>
        <w:t xml:space="preserve"> </w:t>
      </w:r>
      <w:r>
        <w:rPr>
          <w:rFonts w:ascii="Times New Roman;Times;serif" w:hAnsi="Times New Roman;Times;serif"/>
          <w:sz w:val="20"/>
        </w:rPr>
        <w:t>Chuck</w:t>
      </w:r>
      <w:r>
        <w:rPr>
          <w:rFonts w:ascii="Times New Roman;Times;serif" w:hAnsi="Times New Roman;Times;serif"/>
          <w:spacing w:val="-5"/>
          <w:sz w:val="20"/>
        </w:rPr>
        <w:t xml:space="preserve"> </w:t>
      </w:r>
      <w:r>
        <w:rPr>
          <w:rFonts w:ascii="Times New Roman;Times;serif" w:hAnsi="Times New Roman;Times;serif"/>
          <w:sz w:val="20"/>
        </w:rPr>
        <w:t>Schumer</w:t>
      </w:r>
      <w:r>
        <w:rPr>
          <w:rFonts w:ascii="Times New Roman;Times;serif" w:hAnsi="Times New Roman;Times;serif"/>
          <w:spacing w:val="-5"/>
          <w:sz w:val="20"/>
        </w:rPr>
        <w:t xml:space="preserve"> </w:t>
      </w:r>
      <w:r>
        <w:rPr>
          <w:rFonts w:ascii="Times New Roman;Times;serif" w:hAnsi="Times New Roman;Times;serif"/>
          <w:sz w:val="20"/>
        </w:rPr>
        <w:t>(D-NY)</w:t>
      </w:r>
      <w:r>
        <w:rPr>
          <w:rFonts w:ascii="Times New Roman;Times;serif" w:hAnsi="Times New Roman;Times;serif"/>
          <w:spacing w:val="-5"/>
          <w:sz w:val="20"/>
        </w:rPr>
        <w:t xml:space="preserve"> </w:t>
      </w:r>
      <w:r>
        <w:rPr>
          <w:rFonts w:ascii="Times New Roman;Times;serif" w:hAnsi="Times New Roman;Times;serif"/>
          <w:sz w:val="20"/>
        </w:rPr>
        <w:t>along</w:t>
      </w:r>
      <w:r>
        <w:rPr>
          <w:rFonts w:ascii="Times New Roman;Times;serif" w:hAnsi="Times New Roman;Times;serif"/>
          <w:spacing w:val="-5"/>
          <w:sz w:val="20"/>
        </w:rPr>
        <w:t xml:space="preserve"> </w:t>
      </w:r>
      <w:r>
        <w:rPr>
          <w:rFonts w:ascii="Times New Roman;Times;serif" w:hAnsi="Times New Roman;Times;serif"/>
          <w:sz w:val="20"/>
        </w:rPr>
        <w:t>with</w:t>
      </w:r>
      <w:r>
        <w:rPr>
          <w:rFonts w:ascii="Times New Roman;Times;serif" w:hAnsi="Times New Roman;Times;serif"/>
          <w:spacing w:val="-5"/>
          <w:sz w:val="20"/>
        </w:rPr>
        <w:t xml:space="preserve"> </w:t>
      </w:r>
      <w:r>
        <w:rPr>
          <w:rFonts w:ascii="Times New Roman;Times;serif" w:hAnsi="Times New Roman;Times;serif"/>
          <w:sz w:val="20"/>
        </w:rPr>
        <w:t>Cory</w:t>
      </w:r>
      <w:r>
        <w:rPr>
          <w:rFonts w:ascii="Times New Roman;Times;serif" w:hAnsi="Times New Roman;Times;serif"/>
          <w:spacing w:val="-7"/>
          <w:sz w:val="20"/>
        </w:rPr>
        <w:t xml:space="preserve"> </w:t>
      </w:r>
      <w:r>
        <w:rPr>
          <w:rFonts w:ascii="Times New Roman;Times;serif" w:hAnsi="Times New Roman;Times;serif"/>
          <w:sz w:val="20"/>
        </w:rPr>
        <w:t>Booker</w:t>
      </w:r>
      <w:r>
        <w:rPr>
          <w:rFonts w:ascii="Times New Roman;Times;serif" w:hAnsi="Times New Roman;Times;serif"/>
          <w:spacing w:val="-5"/>
          <w:sz w:val="20"/>
        </w:rPr>
        <w:t xml:space="preserve"> </w:t>
      </w:r>
      <w:r>
        <w:rPr>
          <w:rFonts w:ascii="Times New Roman;Times;serif" w:hAnsi="Times New Roman;Times;serif"/>
          <w:sz w:val="20"/>
        </w:rPr>
        <w:t>(D-NJ),</w:t>
      </w:r>
      <w:r>
        <w:rPr>
          <w:rFonts w:ascii="Times New Roman;Times;serif" w:hAnsi="Times New Roman;Times;serif"/>
          <w:spacing w:val="-5"/>
          <w:sz w:val="20"/>
        </w:rPr>
        <w:t xml:space="preserve"> </w:t>
      </w:r>
      <w:r>
        <w:rPr>
          <w:rFonts w:ascii="Times New Roman;Times;serif" w:hAnsi="Times New Roman;Times;serif"/>
          <w:sz w:val="20"/>
        </w:rPr>
        <w:t>and</w:t>
      </w:r>
      <w:r>
        <w:rPr>
          <w:rFonts w:ascii="Times New Roman;Times;serif" w:hAnsi="Times New Roman;Times;serif"/>
          <w:spacing w:val="-5"/>
          <w:sz w:val="20"/>
        </w:rPr>
        <w:t xml:space="preserve"> </w:t>
      </w:r>
      <w:r>
        <w:rPr>
          <w:rFonts w:ascii="Times New Roman;Times;serif" w:hAnsi="Times New Roman;Times;serif"/>
          <w:sz w:val="20"/>
        </w:rPr>
        <w:t>Ron</w:t>
      </w:r>
      <w:r>
        <w:rPr>
          <w:rFonts w:ascii="Times New Roman;Times;serif" w:hAnsi="Times New Roman;Times;serif"/>
          <w:spacing w:val="-7"/>
          <w:sz w:val="20"/>
        </w:rPr>
        <w:t xml:space="preserve"> </w:t>
      </w:r>
      <w:r>
        <w:rPr>
          <w:rFonts w:ascii="Times New Roman;Times;serif" w:hAnsi="Times New Roman;Times;serif"/>
          <w:sz w:val="20"/>
        </w:rPr>
        <w:t>Wyden</w:t>
      </w:r>
      <w:r>
        <w:rPr>
          <w:rFonts w:ascii="Times New Roman;Times;serif" w:hAnsi="Times New Roman;Times;serif"/>
          <w:spacing w:val="-5"/>
          <w:sz w:val="20"/>
        </w:rPr>
        <w:t xml:space="preserve"> </w:t>
      </w:r>
      <w:r>
        <w:rPr>
          <w:rFonts w:ascii="Times New Roman;Times;serif" w:hAnsi="Times New Roman;Times;serif"/>
          <w:sz w:val="20"/>
        </w:rPr>
        <w:t>(D-OR)</w:t>
      </w:r>
      <w:r>
        <w:rPr>
          <w:rFonts w:ascii="Times New Roman;Times;serif" w:hAnsi="Times New Roman;Times;serif"/>
          <w:spacing w:val="-5"/>
          <w:sz w:val="20"/>
        </w:rPr>
        <w:t xml:space="preserve"> </w:t>
      </w:r>
      <w:r>
        <w:rPr>
          <w:rFonts w:ascii="Times New Roman;Times;serif" w:hAnsi="Times New Roman;Times;serif"/>
          <w:sz w:val="20"/>
        </w:rPr>
        <w:t>when</w:t>
      </w:r>
      <w:r>
        <w:rPr>
          <w:rFonts w:ascii="Times New Roman;Times;serif" w:hAnsi="Times New Roman;Times;serif"/>
          <w:spacing w:val="-5"/>
          <w:sz w:val="20"/>
        </w:rPr>
        <w:t xml:space="preserve"> </w:t>
      </w:r>
      <w:r>
        <w:rPr>
          <w:rFonts w:ascii="Times New Roman;Times;serif" w:hAnsi="Times New Roman;Times;serif"/>
          <w:sz w:val="20"/>
        </w:rPr>
        <w:t>they</w:t>
      </w:r>
      <w:r>
        <w:rPr>
          <w:rFonts w:ascii="Times New Roman;Times;serif" w:hAnsi="Times New Roman;Times;serif"/>
          <w:spacing w:val="-7"/>
          <w:sz w:val="20"/>
        </w:rPr>
        <w:t xml:space="preserve"> </w:t>
      </w:r>
      <w:r>
        <w:rPr>
          <w:rFonts w:ascii="Times New Roman;Times;serif" w:hAnsi="Times New Roman;Times;serif"/>
          <w:sz w:val="20"/>
        </w:rPr>
        <w:t>released</w:t>
      </w:r>
      <w:r>
        <w:rPr>
          <w:rFonts w:ascii="Times New Roman;Times;serif" w:hAnsi="Times New Roman;Times;serif"/>
          <w:spacing w:val="-5"/>
          <w:sz w:val="20"/>
        </w:rPr>
        <w:t xml:space="preserve"> </w:t>
      </w:r>
      <w:r>
        <w:rPr>
          <w:rFonts w:ascii="Times New Roman;Times;serif" w:hAnsi="Times New Roman;Times;serif"/>
          <w:sz w:val="20"/>
        </w:rPr>
        <w:t>draft</w:t>
      </w:r>
      <w:r>
        <w:rPr>
          <w:rFonts w:ascii="Times New Roman;Times;serif" w:hAnsi="Times New Roman;Times;serif"/>
          <w:spacing w:val="-6"/>
          <w:sz w:val="20"/>
        </w:rPr>
        <w:t xml:space="preserve"> </w:t>
      </w:r>
      <w:r>
        <w:rPr>
          <w:rFonts w:ascii="Times New Roman;Times;serif" w:hAnsi="Times New Roman;Times;serif"/>
          <w:sz w:val="20"/>
        </w:rPr>
        <w:t>legislation</w:t>
      </w:r>
      <w:r>
        <w:rPr>
          <w:rFonts w:ascii="Times New Roman;Times;serif" w:hAnsi="Times New Roman;Times;serif"/>
          <w:spacing w:val="-2"/>
          <w:sz w:val="20"/>
        </w:rPr>
        <w:t xml:space="preserve"> </w:t>
      </w:r>
      <w:r>
        <w:rPr>
          <w:rFonts w:ascii="Times New Roman;Times;serif" w:hAnsi="Times New Roman;Times;serif"/>
          <w:sz w:val="20"/>
        </w:rPr>
        <w:t>titled</w:t>
      </w:r>
      <w:r>
        <w:rPr>
          <w:rFonts w:ascii="Times New Roman;Times;serif" w:hAnsi="Times New Roman;Times;serif"/>
          <w:spacing w:val="-12"/>
          <w:sz w:val="20"/>
        </w:rPr>
        <w:t xml:space="preserve"> </w:t>
      </w:r>
      <w:r>
        <w:rPr>
          <w:rFonts w:ascii="Times New Roman;Times;serif" w:hAnsi="Times New Roman;Times;serif"/>
          <w:sz w:val="20"/>
        </w:rPr>
        <w:t>the</w:t>
      </w:r>
      <w:r>
        <w:rPr>
          <w:rFonts w:ascii="Times New Roman;Times;serif" w:hAnsi="Times New Roman;Times;serif"/>
          <w:spacing w:val="-13"/>
          <w:sz w:val="20"/>
        </w:rPr>
        <w:t xml:space="preserve"> </w:t>
      </w:r>
      <w:r>
        <w:rPr>
          <w:rFonts w:ascii="Times New Roman;Times;serif" w:hAnsi="Times New Roman;Times;serif"/>
          <w:sz w:val="20"/>
        </w:rPr>
        <w:t>Cannabis</w:t>
      </w:r>
      <w:r>
        <w:rPr>
          <w:rFonts w:ascii="Times New Roman;Times;serif" w:hAnsi="Times New Roman;Times;serif"/>
          <w:spacing w:val="-13"/>
          <w:sz w:val="20"/>
        </w:rPr>
        <w:t xml:space="preserve"> </w:t>
      </w:r>
      <w:r>
        <w:rPr>
          <w:rFonts w:ascii="Times New Roman;Times;serif" w:hAnsi="Times New Roman;Times;serif"/>
          <w:sz w:val="20"/>
        </w:rPr>
        <w:t>Administration</w:t>
      </w:r>
      <w:r>
        <w:rPr>
          <w:rFonts w:ascii="Times New Roman;Times;serif" w:hAnsi="Times New Roman;Times;serif"/>
          <w:spacing w:val="-12"/>
          <w:sz w:val="20"/>
        </w:rPr>
        <w:t xml:space="preserve"> </w:t>
      </w:r>
      <w:r>
        <w:rPr>
          <w:rFonts w:ascii="Times New Roman;Times;serif" w:hAnsi="Times New Roman;Times;serif"/>
          <w:sz w:val="20"/>
        </w:rPr>
        <w:t>and</w:t>
      </w:r>
      <w:r>
        <w:rPr>
          <w:rFonts w:ascii="Times New Roman;Times;serif" w:hAnsi="Times New Roman;Times;serif"/>
          <w:spacing w:val="-12"/>
          <w:sz w:val="20"/>
        </w:rPr>
        <w:t xml:space="preserve"> </w:t>
      </w:r>
      <w:r>
        <w:rPr>
          <w:rFonts w:ascii="Times New Roman;Times;serif" w:hAnsi="Times New Roman;Times;serif"/>
          <w:sz w:val="20"/>
        </w:rPr>
        <w:t>Opportunity</w:t>
      </w:r>
      <w:r>
        <w:rPr>
          <w:rFonts w:ascii="Times New Roman;Times;serif" w:hAnsi="Times New Roman;Times;serif"/>
          <w:spacing w:val="-12"/>
          <w:sz w:val="20"/>
        </w:rPr>
        <w:t xml:space="preserve"> </w:t>
      </w:r>
      <w:r>
        <w:rPr>
          <w:rFonts w:ascii="Times New Roman;Times;serif" w:hAnsi="Times New Roman;Times;serif"/>
          <w:sz w:val="20"/>
        </w:rPr>
        <w:t>Act</w:t>
      </w:r>
      <w:r>
        <w:rPr>
          <w:rFonts w:ascii="Times New Roman;Times;serif" w:hAnsi="Times New Roman;Times;serif"/>
          <w:spacing w:val="-13"/>
          <w:sz w:val="20"/>
        </w:rPr>
        <w:t xml:space="preserve"> </w:t>
      </w:r>
      <w:r>
        <w:rPr>
          <w:rFonts w:ascii="Times New Roman;Times;serif" w:hAnsi="Times New Roman;Times;serif"/>
          <w:sz w:val="20"/>
        </w:rPr>
        <w:t>(the</w:t>
      </w:r>
      <w:r>
        <w:rPr>
          <w:rFonts w:ascii="Times New Roman;Times;serif" w:hAnsi="Times New Roman;Times;serif"/>
          <w:spacing w:val="-14"/>
          <w:sz w:val="20"/>
        </w:rPr>
        <w:t xml:space="preserve"> </w:t>
      </w:r>
      <w:r>
        <w:rPr>
          <w:rFonts w:ascii="Times New Roman;Times;serif" w:hAnsi="Times New Roman;Times;serif"/>
          <w:sz w:val="20"/>
        </w:rPr>
        <w:t>“CAOA”).</w:t>
      </w:r>
      <w:r>
        <w:rPr>
          <w:rFonts w:ascii="Times New Roman;Times;serif" w:hAnsi="Times New Roman;Times;serif"/>
          <w:spacing w:val="-12"/>
          <w:sz w:val="20"/>
        </w:rPr>
        <w:t xml:space="preserve"> </w:t>
      </w:r>
      <w:r>
        <w:rPr>
          <w:rFonts w:ascii="Times New Roman;Times;serif" w:hAnsi="Times New Roman;Times;serif"/>
          <w:sz w:val="20"/>
        </w:rPr>
        <w:t>The</w:t>
      </w:r>
      <w:r>
        <w:rPr>
          <w:rFonts w:ascii="Times New Roman;Times;serif" w:hAnsi="Times New Roman;Times;serif"/>
          <w:spacing w:val="-13"/>
          <w:sz w:val="20"/>
        </w:rPr>
        <w:t xml:space="preserve"> </w:t>
      </w:r>
      <w:r>
        <w:rPr>
          <w:rFonts w:ascii="Times New Roman;Times;serif" w:hAnsi="Times New Roman;Times;serif"/>
          <w:sz w:val="20"/>
        </w:rPr>
        <w:t>CAOA</w:t>
      </w:r>
      <w:r>
        <w:rPr>
          <w:rFonts w:ascii="Times New Roman;Times;serif" w:hAnsi="Times New Roman;Times;serif"/>
          <w:spacing w:val="-12"/>
          <w:sz w:val="20"/>
        </w:rPr>
        <w:t xml:space="preserve"> </w:t>
      </w:r>
      <w:r>
        <w:rPr>
          <w:rFonts w:ascii="Times New Roman;Times;serif" w:hAnsi="Times New Roman;Times;serif"/>
          <w:sz w:val="20"/>
        </w:rPr>
        <w:t>removes</w:t>
      </w:r>
      <w:r>
        <w:rPr>
          <w:rFonts w:ascii="Times New Roman;Times;serif" w:hAnsi="Times New Roman;Times;serif"/>
          <w:spacing w:val="-13"/>
          <w:sz w:val="20"/>
        </w:rPr>
        <w:t xml:space="preserve"> </w:t>
      </w:r>
      <w:r>
        <w:rPr>
          <w:rFonts w:ascii="Times New Roman;Times;serif" w:hAnsi="Times New Roman;Times;serif"/>
          <w:sz w:val="20"/>
        </w:rPr>
        <w:t>cannabis</w:t>
      </w:r>
      <w:r>
        <w:rPr>
          <w:rFonts w:ascii="Times New Roman;Times;serif" w:hAnsi="Times New Roman;Times;serif"/>
          <w:spacing w:val="-13"/>
          <w:sz w:val="20"/>
        </w:rPr>
        <w:t xml:space="preserve"> </w:t>
      </w:r>
      <w:r>
        <w:rPr>
          <w:rFonts w:ascii="Times New Roman;Times;serif" w:hAnsi="Times New Roman;Times;serif"/>
          <w:sz w:val="20"/>
        </w:rPr>
        <w:t>from</w:t>
      </w:r>
      <w:r>
        <w:rPr>
          <w:rFonts w:ascii="Times New Roman;Times;serif" w:hAnsi="Times New Roman;Times;serif"/>
          <w:spacing w:val="-12"/>
          <w:sz w:val="20"/>
        </w:rPr>
        <w:t xml:space="preserve"> </w:t>
      </w:r>
      <w:r>
        <w:rPr>
          <w:rFonts w:ascii="Times New Roman;Times;serif" w:hAnsi="Times New Roman;Times;serif"/>
          <w:sz w:val="20"/>
        </w:rPr>
        <w:t>Schedule</w:t>
      </w:r>
      <w:r>
        <w:rPr>
          <w:rFonts w:ascii="Times New Roman;Times;serif" w:hAnsi="Times New Roman;Times;serif"/>
          <w:spacing w:val="-13"/>
          <w:sz w:val="20"/>
        </w:rPr>
        <w:t xml:space="preserve"> </w:t>
      </w:r>
      <w:r>
        <w:rPr>
          <w:rFonts w:ascii="Times New Roman;Times;serif" w:hAnsi="Times New Roman;Times;serif"/>
          <w:sz w:val="20"/>
        </w:rPr>
        <w:t>I</w:t>
      </w:r>
      <w:r>
        <w:rPr>
          <w:rFonts w:ascii="Times New Roman;Times;serif" w:hAnsi="Times New Roman;Times;serif"/>
          <w:spacing w:val="-13"/>
          <w:sz w:val="20"/>
        </w:rPr>
        <w:t xml:space="preserve"> </w:t>
      </w:r>
      <w:r>
        <w:rPr>
          <w:rFonts w:ascii="Times New Roman;Times;serif" w:hAnsi="Times New Roman;Times;serif"/>
          <w:sz w:val="20"/>
        </w:rPr>
        <w:t>of</w:t>
      </w:r>
      <w:r>
        <w:rPr>
          <w:rFonts w:ascii="Times New Roman;Times;serif" w:hAnsi="Times New Roman;Times;serif"/>
          <w:spacing w:val="-14"/>
          <w:sz w:val="20"/>
        </w:rPr>
        <w:t xml:space="preserve"> </w:t>
      </w:r>
      <w:r>
        <w:rPr>
          <w:rFonts w:ascii="Times New Roman;Times;serif" w:hAnsi="Times New Roman;Times;serif"/>
          <w:sz w:val="20"/>
        </w:rPr>
        <w:t>the</w:t>
      </w:r>
      <w:r>
        <w:rPr>
          <w:rFonts w:ascii="Times New Roman;Times;serif" w:hAnsi="Times New Roman;Times;serif"/>
          <w:spacing w:val="-12"/>
          <w:sz w:val="20"/>
        </w:rPr>
        <w:t xml:space="preserve"> </w:t>
      </w:r>
      <w:r>
        <w:rPr>
          <w:rFonts w:ascii="Times New Roman;Times;serif" w:hAnsi="Times New Roman;Times;serif"/>
          <w:sz w:val="20"/>
        </w:rPr>
        <w:t>Controlled</w:t>
      </w:r>
      <w:r>
        <w:rPr>
          <w:rFonts w:ascii="Times New Roman;Times;serif" w:hAnsi="Times New Roman;Times;serif"/>
          <w:spacing w:val="-2"/>
          <w:sz w:val="20"/>
        </w:rPr>
        <w:t xml:space="preserve"> </w:t>
      </w:r>
      <w:r>
        <w:rPr>
          <w:rFonts w:ascii="Times New Roman;Times;serif" w:hAnsi="Times New Roman;Times;serif"/>
          <w:sz w:val="20"/>
        </w:rPr>
        <w:t>Substances</w:t>
      </w:r>
      <w:r>
        <w:rPr>
          <w:rFonts w:ascii="Times New Roman;Times;serif" w:hAnsi="Times New Roman;Times;serif"/>
          <w:spacing w:val="19"/>
          <w:sz w:val="20"/>
        </w:rPr>
        <w:t xml:space="preserve"> </w:t>
      </w:r>
      <w:r>
        <w:rPr>
          <w:rFonts w:ascii="Times New Roman;Times;serif" w:hAnsi="Times New Roman;Times;serif"/>
          <w:sz w:val="20"/>
        </w:rPr>
        <w:t>Act</w:t>
      </w:r>
      <w:r>
        <w:rPr>
          <w:rFonts w:ascii="Times New Roman;Times;serif" w:hAnsi="Times New Roman;Times;serif"/>
          <w:spacing w:val="19"/>
          <w:sz w:val="20"/>
        </w:rPr>
        <w:t xml:space="preserve"> </w:t>
      </w:r>
      <w:r>
        <w:rPr>
          <w:rFonts w:ascii="Times New Roman;Times;serif" w:hAnsi="Times New Roman;Times;serif"/>
          <w:sz w:val="20"/>
        </w:rPr>
        <w:t>which</w:t>
      </w:r>
      <w:r>
        <w:rPr>
          <w:rFonts w:ascii="Times New Roman;Times;serif" w:hAnsi="Times New Roman;Times;serif"/>
          <w:spacing w:val="21"/>
          <w:sz w:val="20"/>
        </w:rPr>
        <w:t xml:space="preserve"> </w:t>
      </w:r>
      <w:r>
        <w:rPr>
          <w:rFonts w:ascii="Times New Roman;Times;serif" w:hAnsi="Times New Roman;Times;serif"/>
          <w:sz w:val="20"/>
        </w:rPr>
        <w:t>would</w:t>
      </w:r>
      <w:r>
        <w:rPr>
          <w:rFonts w:ascii="Times New Roman;Times;serif" w:hAnsi="Times New Roman;Times;serif"/>
          <w:spacing w:val="18"/>
          <w:sz w:val="20"/>
        </w:rPr>
        <w:t xml:space="preserve"> </w:t>
      </w:r>
      <w:r>
        <w:rPr>
          <w:rFonts w:ascii="Times New Roman;Times;serif" w:hAnsi="Times New Roman;Times;serif"/>
          <w:sz w:val="20"/>
        </w:rPr>
        <w:t>permit</w:t>
      </w:r>
      <w:r>
        <w:rPr>
          <w:rFonts w:ascii="Times New Roman;Times;serif" w:hAnsi="Times New Roman;Times;serif"/>
          <w:spacing w:val="19"/>
          <w:sz w:val="20"/>
        </w:rPr>
        <w:t xml:space="preserve"> </w:t>
      </w:r>
      <w:r>
        <w:rPr>
          <w:rFonts w:ascii="Times New Roman;Times;serif" w:hAnsi="Times New Roman;Times;serif"/>
          <w:sz w:val="20"/>
        </w:rPr>
        <w:t>its</w:t>
      </w:r>
      <w:r>
        <w:rPr>
          <w:rFonts w:ascii="Times New Roman;Times;serif" w:hAnsi="Times New Roman;Times;serif"/>
          <w:spacing w:val="19"/>
          <w:sz w:val="20"/>
        </w:rPr>
        <w:t xml:space="preserve"> </w:t>
      </w:r>
      <w:r>
        <w:rPr>
          <w:rFonts w:ascii="Times New Roman;Times;serif" w:hAnsi="Times New Roman;Times;serif"/>
          <w:sz w:val="20"/>
        </w:rPr>
        <w:t>decriminalization</w:t>
      </w:r>
      <w:r>
        <w:rPr>
          <w:rFonts w:ascii="Times New Roman;Times;serif" w:hAnsi="Times New Roman;Times;serif"/>
          <w:spacing w:val="21"/>
          <w:sz w:val="20"/>
        </w:rPr>
        <w:t xml:space="preserve"> </w:t>
      </w:r>
      <w:r>
        <w:rPr>
          <w:rFonts w:ascii="Times New Roman;Times;serif" w:hAnsi="Times New Roman;Times;serif"/>
          <w:sz w:val="20"/>
        </w:rPr>
        <w:t>and</w:t>
      </w:r>
      <w:r>
        <w:rPr>
          <w:rFonts w:ascii="Times New Roman;Times;serif" w:hAnsi="Times New Roman;Times;serif"/>
          <w:spacing w:val="21"/>
          <w:sz w:val="20"/>
        </w:rPr>
        <w:t xml:space="preserve"> </w:t>
      </w:r>
      <w:r>
        <w:rPr>
          <w:rFonts w:ascii="Times New Roman;Times;serif" w:hAnsi="Times New Roman;Times;serif"/>
          <w:sz w:val="20"/>
        </w:rPr>
        <w:t>allow</w:t>
      </w:r>
      <w:r>
        <w:rPr>
          <w:rFonts w:ascii="Times New Roman;Times;serif" w:hAnsi="Times New Roman;Times;serif"/>
          <w:spacing w:val="17"/>
          <w:sz w:val="20"/>
        </w:rPr>
        <w:t xml:space="preserve"> </w:t>
      </w:r>
      <w:r>
        <w:rPr>
          <w:rFonts w:ascii="Times New Roman;Times;serif" w:hAnsi="Times New Roman;Times;serif"/>
          <w:sz w:val="20"/>
        </w:rPr>
        <w:t>the</w:t>
      </w:r>
      <w:r>
        <w:rPr>
          <w:rFonts w:ascii="Times New Roman;Times;serif" w:hAnsi="Times New Roman;Times;serif"/>
          <w:spacing w:val="20"/>
          <w:sz w:val="20"/>
        </w:rPr>
        <w:t xml:space="preserve"> </w:t>
      </w:r>
      <w:r>
        <w:rPr>
          <w:rFonts w:ascii="Times New Roman;Times;serif" w:hAnsi="Times New Roman;Times;serif"/>
          <w:sz w:val="20"/>
        </w:rPr>
        <w:t>expungement</w:t>
      </w:r>
      <w:r>
        <w:rPr>
          <w:rFonts w:ascii="Times New Roman;Times;serif" w:hAnsi="Times New Roman;Times;serif"/>
          <w:spacing w:val="19"/>
          <w:sz w:val="20"/>
        </w:rPr>
        <w:t xml:space="preserve"> </w:t>
      </w:r>
      <w:r>
        <w:rPr>
          <w:rFonts w:ascii="Times New Roman;Times;serif" w:hAnsi="Times New Roman;Times;serif"/>
          <w:sz w:val="20"/>
        </w:rPr>
        <w:t>of</w:t>
      </w:r>
      <w:r>
        <w:rPr>
          <w:rFonts w:ascii="Times New Roman;Times;serif" w:hAnsi="Times New Roman;Times;serif"/>
          <w:spacing w:val="18"/>
          <w:sz w:val="20"/>
        </w:rPr>
        <w:t xml:space="preserve"> </w:t>
      </w:r>
      <w:r>
        <w:rPr>
          <w:rFonts w:ascii="Times New Roman;Times;serif" w:hAnsi="Times New Roman;Times;serif"/>
          <w:sz w:val="20"/>
        </w:rPr>
        <w:t>federal</w:t>
      </w:r>
      <w:r>
        <w:rPr>
          <w:rFonts w:ascii="Times New Roman;Times;serif" w:hAnsi="Times New Roman;Times;serif"/>
          <w:spacing w:val="17"/>
          <w:sz w:val="20"/>
        </w:rPr>
        <w:t xml:space="preserve"> </w:t>
      </w:r>
      <w:r>
        <w:rPr>
          <w:rFonts w:ascii="Times New Roman;Times;serif" w:hAnsi="Times New Roman;Times;serif"/>
          <w:sz w:val="20"/>
        </w:rPr>
        <w:t>non-violent</w:t>
      </w:r>
      <w:r>
        <w:rPr>
          <w:rFonts w:ascii="Times New Roman;Times;serif" w:hAnsi="Times New Roman;Times;serif"/>
          <w:spacing w:val="19"/>
          <w:sz w:val="20"/>
        </w:rPr>
        <w:t xml:space="preserve"> </w:t>
      </w:r>
      <w:r>
        <w:rPr>
          <w:rFonts w:ascii="Times New Roman;Times;serif" w:hAnsi="Times New Roman;Times;serif"/>
          <w:sz w:val="20"/>
        </w:rPr>
        <w:t>marijuana</w:t>
      </w:r>
      <w:r>
        <w:rPr>
          <w:rFonts w:ascii="Times New Roman;Times;serif" w:hAnsi="Times New Roman;Times;serif"/>
          <w:spacing w:val="20"/>
          <w:sz w:val="20"/>
        </w:rPr>
        <w:t xml:space="preserve"> </w:t>
      </w:r>
      <w:r>
        <w:rPr>
          <w:rFonts w:ascii="Times New Roman;Times;serif" w:hAnsi="Times New Roman;Times;serif"/>
          <w:sz w:val="20"/>
        </w:rPr>
        <w:t>crimes.</w:t>
      </w:r>
      <w:r>
        <w:rPr>
          <w:rFonts w:ascii="Times New Roman;Times;serif" w:hAnsi="Times New Roman;Times;serif"/>
          <w:spacing w:val="20"/>
          <w:sz w:val="20"/>
        </w:rPr>
        <w:t xml:space="preserve"> </w:t>
      </w:r>
      <w:r>
        <w:rPr>
          <w:rFonts w:ascii="Times New Roman;Times;serif" w:hAnsi="Times New Roman;Times;serif"/>
          <w:sz w:val="20"/>
        </w:rPr>
        <w:t>The</w:t>
      </w:r>
      <w:r>
        <w:rPr>
          <w:rFonts w:ascii="Times New Roman;Times;serif" w:hAnsi="Times New Roman;Times;serif"/>
          <w:spacing w:val="-2"/>
          <w:sz w:val="20"/>
        </w:rPr>
        <w:t xml:space="preserve"> </w:t>
      </w:r>
      <w:r>
        <w:rPr>
          <w:rFonts w:ascii="Times New Roman;Times;serif" w:hAnsi="Times New Roman;Times;serif"/>
          <w:sz w:val="20"/>
        </w:rPr>
        <w:t>CAOA</w:t>
      </w:r>
      <w:r>
        <w:rPr>
          <w:rFonts w:ascii="Times New Roman;Times;serif" w:hAnsi="Times New Roman;Times;serif"/>
          <w:spacing w:val="5"/>
          <w:sz w:val="20"/>
        </w:rPr>
        <w:t xml:space="preserve"> </w:t>
      </w:r>
      <w:r>
        <w:rPr>
          <w:rFonts w:ascii="Times New Roman;Times;serif" w:hAnsi="Times New Roman;Times;serif"/>
          <w:sz w:val="20"/>
        </w:rPr>
        <w:t>would</w:t>
      </w:r>
      <w:r>
        <w:rPr>
          <w:rFonts w:ascii="Times New Roman;Times;serif" w:hAnsi="Times New Roman;Times;serif"/>
          <w:spacing w:val="6"/>
          <w:sz w:val="20"/>
        </w:rPr>
        <w:t xml:space="preserve"> </w:t>
      </w:r>
      <w:r>
        <w:rPr>
          <w:rFonts w:ascii="Times New Roman;Times;serif" w:hAnsi="Times New Roman;Times;serif"/>
          <w:sz w:val="20"/>
        </w:rPr>
        <w:t>impose</w:t>
      </w:r>
      <w:r>
        <w:rPr>
          <w:rFonts w:ascii="Times New Roman;Times;serif" w:hAnsi="Times New Roman;Times;serif"/>
          <w:spacing w:val="5"/>
          <w:sz w:val="20"/>
        </w:rPr>
        <w:t xml:space="preserve"> </w:t>
      </w:r>
      <w:r>
        <w:rPr>
          <w:rFonts w:ascii="Times New Roman;Times;serif" w:hAnsi="Times New Roman;Times;serif"/>
          <w:sz w:val="20"/>
        </w:rPr>
        <w:t>a</w:t>
      </w:r>
      <w:r>
        <w:rPr>
          <w:rFonts w:ascii="Times New Roman;Times;serif" w:hAnsi="Times New Roman;Times;serif"/>
          <w:spacing w:val="5"/>
          <w:sz w:val="20"/>
        </w:rPr>
        <w:t xml:space="preserve"> </w:t>
      </w:r>
      <w:r>
        <w:rPr>
          <w:rFonts w:ascii="Times New Roman;Times;serif" w:hAnsi="Times New Roman;Times;serif"/>
          <w:sz w:val="20"/>
        </w:rPr>
        <w:t>federal</w:t>
      </w:r>
      <w:r>
        <w:rPr>
          <w:rFonts w:ascii="Times New Roman;Times;serif" w:hAnsi="Times New Roman;Times;serif"/>
          <w:spacing w:val="5"/>
          <w:sz w:val="20"/>
        </w:rPr>
        <w:t xml:space="preserve"> </w:t>
      </w:r>
      <w:r>
        <w:rPr>
          <w:rFonts w:ascii="Times New Roman;Times;serif" w:hAnsi="Times New Roman;Times;serif"/>
          <w:sz w:val="20"/>
        </w:rPr>
        <w:t>tax</w:t>
      </w:r>
      <w:r>
        <w:rPr>
          <w:rFonts w:ascii="Times New Roman;Times;serif" w:hAnsi="Times New Roman;Times;serif"/>
          <w:spacing w:val="6"/>
          <w:sz w:val="20"/>
        </w:rPr>
        <w:t xml:space="preserve"> </w:t>
      </w:r>
      <w:r>
        <w:rPr>
          <w:rFonts w:ascii="Times New Roman;Times;serif" w:hAnsi="Times New Roman;Times;serif"/>
          <w:sz w:val="20"/>
        </w:rPr>
        <w:t>on</w:t>
      </w:r>
      <w:r>
        <w:rPr>
          <w:rFonts w:ascii="Times New Roman;Times;serif" w:hAnsi="Times New Roman;Times;serif"/>
          <w:spacing w:val="6"/>
          <w:sz w:val="20"/>
        </w:rPr>
        <w:t xml:space="preserve"> </w:t>
      </w:r>
      <w:r>
        <w:rPr>
          <w:rFonts w:ascii="Times New Roman;Times;serif" w:hAnsi="Times New Roman;Times;serif"/>
          <w:sz w:val="20"/>
        </w:rPr>
        <w:t>cannabis</w:t>
      </w:r>
      <w:r>
        <w:rPr>
          <w:rFonts w:ascii="Times New Roman;Times;serif" w:hAnsi="Times New Roman;Times;serif"/>
          <w:spacing w:val="4"/>
          <w:sz w:val="20"/>
        </w:rPr>
        <w:t xml:space="preserve"> </w:t>
      </w:r>
      <w:r>
        <w:rPr>
          <w:rFonts w:ascii="Times New Roman;Times;serif" w:hAnsi="Times New Roman;Times;serif"/>
          <w:sz w:val="20"/>
        </w:rPr>
        <w:t>of</w:t>
      </w:r>
      <w:r>
        <w:rPr>
          <w:rFonts w:ascii="Times New Roman;Times;serif" w:hAnsi="Times New Roman;Times;serif"/>
          <w:spacing w:val="4"/>
          <w:sz w:val="20"/>
        </w:rPr>
        <w:t xml:space="preserve"> </w:t>
      </w:r>
      <w:r>
        <w:rPr>
          <w:rFonts w:ascii="Times New Roman;Times;serif" w:hAnsi="Times New Roman;Times;serif"/>
          <w:sz w:val="20"/>
        </w:rPr>
        <w:t>10%</w:t>
      </w:r>
      <w:r>
        <w:rPr>
          <w:rFonts w:ascii="Times New Roman;Times;serif" w:hAnsi="Times New Roman;Times;serif"/>
          <w:spacing w:val="5"/>
          <w:sz w:val="20"/>
        </w:rPr>
        <w:t xml:space="preserve"> </w:t>
      </w:r>
      <w:r>
        <w:rPr>
          <w:rFonts w:ascii="Times New Roman;Times;serif" w:hAnsi="Times New Roman;Times;serif"/>
          <w:sz w:val="20"/>
        </w:rPr>
        <w:t>in</w:t>
      </w:r>
      <w:r>
        <w:rPr>
          <w:rFonts w:ascii="Times New Roman;Times;serif" w:hAnsi="Times New Roman;Times;serif"/>
          <w:spacing w:val="6"/>
          <w:sz w:val="20"/>
        </w:rPr>
        <w:t xml:space="preserve"> </w:t>
      </w:r>
      <w:r>
        <w:rPr>
          <w:rFonts w:ascii="Times New Roman;Times;serif" w:hAnsi="Times New Roman;Times;serif"/>
          <w:sz w:val="20"/>
        </w:rPr>
        <w:t>its</w:t>
      </w:r>
      <w:r>
        <w:rPr>
          <w:rFonts w:ascii="Times New Roman;Times;serif" w:hAnsi="Times New Roman;Times;serif"/>
          <w:spacing w:val="4"/>
          <w:sz w:val="20"/>
        </w:rPr>
        <w:t xml:space="preserve"> </w:t>
      </w:r>
      <w:r>
        <w:rPr>
          <w:rFonts w:ascii="Times New Roman;Times;serif" w:hAnsi="Times New Roman;Times;serif"/>
          <w:sz w:val="20"/>
        </w:rPr>
        <w:t>first</w:t>
      </w:r>
      <w:r>
        <w:rPr>
          <w:rFonts w:ascii="Times New Roman;Times;serif" w:hAnsi="Times New Roman;Times;serif"/>
          <w:spacing w:val="5"/>
          <w:sz w:val="20"/>
        </w:rPr>
        <w:t xml:space="preserve"> </w:t>
      </w:r>
      <w:r>
        <w:rPr>
          <w:rFonts w:ascii="Times New Roman;Times;serif" w:hAnsi="Times New Roman;Times;serif"/>
          <w:sz w:val="20"/>
        </w:rPr>
        <w:t>year</w:t>
      </w:r>
      <w:r>
        <w:rPr>
          <w:rFonts w:ascii="Times New Roman;Times;serif" w:hAnsi="Times New Roman;Times;serif"/>
          <w:spacing w:val="6"/>
          <w:sz w:val="20"/>
        </w:rPr>
        <w:t xml:space="preserve"> </w:t>
      </w:r>
      <w:r>
        <w:rPr>
          <w:rFonts w:ascii="Times New Roman;Times;serif" w:hAnsi="Times New Roman;Times;serif"/>
          <w:sz w:val="20"/>
        </w:rPr>
        <w:t>of</w:t>
      </w:r>
      <w:r>
        <w:rPr>
          <w:rFonts w:ascii="Times New Roman;Times;serif" w:hAnsi="Times New Roman;Times;serif"/>
          <w:spacing w:val="6"/>
          <w:sz w:val="20"/>
        </w:rPr>
        <w:t xml:space="preserve"> </w:t>
      </w:r>
      <w:r>
        <w:rPr>
          <w:rFonts w:ascii="Times New Roman;Times;serif" w:hAnsi="Times New Roman;Times;serif"/>
          <w:sz w:val="20"/>
        </w:rPr>
        <w:t>enactment,</w:t>
      </w:r>
      <w:r>
        <w:rPr>
          <w:rFonts w:ascii="Times New Roman;Times;serif" w:hAnsi="Times New Roman;Times;serif"/>
          <w:spacing w:val="6"/>
          <w:sz w:val="20"/>
        </w:rPr>
        <w:t xml:space="preserve"> </w:t>
      </w:r>
      <w:r>
        <w:rPr>
          <w:rFonts w:ascii="Times New Roman;Times;serif" w:hAnsi="Times New Roman;Times;serif"/>
          <w:sz w:val="20"/>
        </w:rPr>
        <w:t>eventually</w:t>
      </w:r>
      <w:r>
        <w:rPr>
          <w:rFonts w:ascii="Times New Roman;Times;serif" w:hAnsi="Times New Roman;Times;serif"/>
          <w:spacing w:val="6"/>
          <w:sz w:val="20"/>
        </w:rPr>
        <w:t xml:space="preserve"> </w:t>
      </w:r>
      <w:r>
        <w:rPr>
          <w:rFonts w:ascii="Times New Roman;Times;serif" w:hAnsi="Times New Roman;Times;serif"/>
          <w:sz w:val="20"/>
        </w:rPr>
        <w:t>increasing</w:t>
      </w:r>
      <w:r>
        <w:rPr>
          <w:rFonts w:ascii="Times New Roman;Times;serif" w:hAnsi="Times New Roman;Times;serif"/>
          <w:spacing w:val="6"/>
          <w:sz w:val="20"/>
        </w:rPr>
        <w:t xml:space="preserve"> </w:t>
      </w:r>
      <w:r>
        <w:rPr>
          <w:rFonts w:ascii="Times New Roman;Times;serif" w:hAnsi="Times New Roman;Times;serif"/>
          <w:sz w:val="20"/>
        </w:rPr>
        <w:t>to</w:t>
      </w:r>
      <w:r>
        <w:rPr>
          <w:rFonts w:ascii="Times New Roman;Times;serif" w:hAnsi="Times New Roman;Times;serif"/>
          <w:spacing w:val="6"/>
          <w:sz w:val="20"/>
        </w:rPr>
        <w:t xml:space="preserve"> </w:t>
      </w:r>
      <w:r>
        <w:rPr>
          <w:rFonts w:ascii="Times New Roman;Times;serif" w:hAnsi="Times New Roman;Times;serif"/>
          <w:sz w:val="20"/>
        </w:rPr>
        <w:t>25%</w:t>
      </w:r>
      <w:r>
        <w:rPr>
          <w:rFonts w:ascii="Times New Roman;Times;serif" w:hAnsi="Times New Roman;Times;serif"/>
          <w:spacing w:val="5"/>
          <w:sz w:val="20"/>
        </w:rPr>
        <w:t xml:space="preserve"> </w:t>
      </w:r>
      <w:r>
        <w:rPr>
          <w:rFonts w:ascii="Times New Roman;Times;serif" w:hAnsi="Times New Roman;Times;serif"/>
          <w:sz w:val="20"/>
        </w:rPr>
        <w:t>in</w:t>
      </w:r>
      <w:r>
        <w:rPr>
          <w:rFonts w:ascii="Times New Roman;Times;serif" w:hAnsi="Times New Roman;Times;serif"/>
          <w:spacing w:val="4"/>
          <w:sz w:val="20"/>
        </w:rPr>
        <w:t xml:space="preserve"> </w:t>
      </w:r>
      <w:r>
        <w:rPr>
          <w:rFonts w:ascii="Times New Roman;Times;serif" w:hAnsi="Times New Roman;Times;serif"/>
          <w:sz w:val="20"/>
        </w:rPr>
        <w:t>5%</w:t>
      </w:r>
      <w:r>
        <w:rPr>
          <w:rFonts w:ascii="Times New Roman;Times;serif" w:hAnsi="Times New Roman;Times;serif"/>
          <w:spacing w:val="5"/>
          <w:sz w:val="20"/>
        </w:rPr>
        <w:t xml:space="preserve"> </w:t>
      </w:r>
      <w:r>
        <w:rPr>
          <w:rFonts w:ascii="Times New Roman;Times;serif" w:hAnsi="Times New Roman;Times;serif"/>
          <w:sz w:val="20"/>
        </w:rPr>
        <w:t>increments.</w:t>
      </w:r>
      <w:r>
        <w:rPr>
          <w:rFonts w:ascii="Times New Roman;Times;serif" w:hAnsi="Times New Roman;Times;serif"/>
          <w:spacing w:val="-2"/>
          <w:sz w:val="20"/>
        </w:rPr>
        <w:t xml:space="preserve"> </w:t>
      </w:r>
      <w:r>
        <w:rPr>
          <w:rFonts w:ascii="Times New Roman;Times;serif" w:hAnsi="Times New Roman;Times;serif"/>
          <w:sz w:val="20"/>
        </w:rPr>
        <w:t>The</w:t>
      </w:r>
      <w:r>
        <w:rPr>
          <w:rFonts w:ascii="Times New Roman;Times;serif" w:hAnsi="Times New Roman;Times;serif"/>
          <w:spacing w:val="-1"/>
          <w:sz w:val="20"/>
        </w:rPr>
        <w:t xml:space="preserve"> </w:t>
      </w:r>
      <w:r>
        <w:rPr>
          <w:rFonts w:ascii="Times New Roman;Times;serif" w:hAnsi="Times New Roman;Times;serif"/>
          <w:sz w:val="20"/>
        </w:rPr>
        <w:t>taxes</w:t>
      </w:r>
      <w:r>
        <w:rPr>
          <w:rFonts w:ascii="Times New Roman;Times;serif" w:hAnsi="Times New Roman;Times;serif"/>
          <w:spacing w:val="-2"/>
          <w:sz w:val="20"/>
        </w:rPr>
        <w:t xml:space="preserve"> </w:t>
      </w:r>
      <w:r>
        <w:rPr>
          <w:rFonts w:ascii="Times New Roman;Times;serif" w:hAnsi="Times New Roman;Times;serif"/>
          <w:sz w:val="20"/>
        </w:rPr>
        <w:t>raised</w:t>
      </w:r>
      <w:r>
        <w:rPr>
          <w:rFonts w:ascii="Times New Roman;Times;serif" w:hAnsi="Times New Roman;Times;serif"/>
          <w:spacing w:val="-1"/>
          <w:sz w:val="20"/>
        </w:rPr>
        <w:t xml:space="preserve"> </w:t>
      </w:r>
      <w:r>
        <w:rPr>
          <w:rFonts w:ascii="Times New Roman;Times;serif" w:hAnsi="Times New Roman;Times;serif"/>
          <w:sz w:val="20"/>
        </w:rPr>
        <w:t>would</w:t>
      </w:r>
      <w:r>
        <w:rPr>
          <w:rFonts w:ascii="Times New Roman;Times;serif" w:hAnsi="Times New Roman;Times;serif"/>
          <w:spacing w:val="-2"/>
          <w:sz w:val="20"/>
        </w:rPr>
        <w:t xml:space="preserve"> </w:t>
      </w:r>
      <w:r>
        <w:rPr>
          <w:rFonts w:ascii="Times New Roman;Times;serif" w:hAnsi="Times New Roman;Times;serif"/>
          <w:sz w:val="20"/>
        </w:rPr>
        <w:t>be</w:t>
      </w:r>
      <w:r>
        <w:rPr>
          <w:rFonts w:ascii="Times New Roman;Times;serif" w:hAnsi="Times New Roman;Times;serif"/>
          <w:spacing w:val="-1"/>
          <w:sz w:val="20"/>
        </w:rPr>
        <w:t xml:space="preserve"> </w:t>
      </w:r>
      <w:r>
        <w:rPr>
          <w:rFonts w:ascii="Times New Roman;Times;serif" w:hAnsi="Times New Roman;Times;serif"/>
          <w:sz w:val="20"/>
        </w:rPr>
        <w:t>used</w:t>
      </w:r>
      <w:r>
        <w:rPr>
          <w:rFonts w:ascii="Times New Roman;Times;serif" w:hAnsi="Times New Roman;Times;serif"/>
          <w:spacing w:val="-1"/>
          <w:sz w:val="20"/>
        </w:rPr>
        <w:t xml:space="preserve"> </w:t>
      </w:r>
      <w:r>
        <w:rPr>
          <w:rFonts w:ascii="Times New Roman;Times;serif" w:hAnsi="Times New Roman;Times;serif"/>
          <w:sz w:val="20"/>
        </w:rPr>
        <w:t>to</w:t>
      </w:r>
      <w:r>
        <w:rPr>
          <w:rFonts w:ascii="Times New Roman;Times;serif" w:hAnsi="Times New Roman;Times;serif"/>
          <w:spacing w:val="-1"/>
          <w:sz w:val="20"/>
        </w:rPr>
        <w:t xml:space="preserve"> </w:t>
      </w:r>
      <w:r>
        <w:rPr>
          <w:rFonts w:ascii="Times New Roman;Times;serif" w:hAnsi="Times New Roman;Times;serif"/>
          <w:sz w:val="20"/>
        </w:rPr>
        <w:t>petition</w:t>
      </w:r>
      <w:r>
        <w:rPr>
          <w:rFonts w:ascii="Times New Roman;Times;serif" w:hAnsi="Times New Roman;Times;serif"/>
          <w:spacing w:val="-2"/>
          <w:sz w:val="20"/>
        </w:rPr>
        <w:t xml:space="preserve"> </w:t>
      </w:r>
      <w:r>
        <w:rPr>
          <w:rFonts w:ascii="Times New Roman;Times;serif" w:hAnsi="Times New Roman;Times;serif"/>
          <w:sz w:val="20"/>
        </w:rPr>
        <w:t>fund</w:t>
      </w:r>
      <w:r>
        <w:rPr>
          <w:rFonts w:ascii="Times New Roman;Times;serif" w:hAnsi="Times New Roman;Times;serif"/>
          <w:spacing w:val="-1"/>
          <w:sz w:val="20"/>
        </w:rPr>
        <w:t xml:space="preserve"> </w:t>
      </w:r>
      <w:r>
        <w:rPr>
          <w:rFonts w:ascii="Times New Roman;Times;serif" w:hAnsi="Times New Roman;Times;serif"/>
          <w:sz w:val="20"/>
        </w:rPr>
        <w:t>programs</w:t>
      </w:r>
      <w:r>
        <w:rPr>
          <w:rFonts w:ascii="Times New Roman;Times;serif" w:hAnsi="Times New Roman;Times;serif"/>
          <w:spacing w:val="-2"/>
          <w:sz w:val="20"/>
        </w:rPr>
        <w:t xml:space="preserve"> </w:t>
      </w:r>
      <w:r>
        <w:rPr>
          <w:rFonts w:ascii="Times New Roman;Times;serif" w:hAnsi="Times New Roman;Times;serif"/>
          <w:sz w:val="20"/>
        </w:rPr>
        <w:t>to</w:t>
      </w:r>
      <w:r>
        <w:rPr>
          <w:rFonts w:ascii="Times New Roman;Times;serif" w:hAnsi="Times New Roman;Times;serif"/>
          <w:spacing w:val="-5"/>
          <w:sz w:val="20"/>
        </w:rPr>
        <w:t xml:space="preserve"> </w:t>
      </w:r>
      <w:r>
        <w:rPr>
          <w:rFonts w:ascii="Times New Roman;Times;serif" w:hAnsi="Times New Roman;Times;serif"/>
          <w:sz w:val="20"/>
        </w:rPr>
        <w:t>benefit</w:t>
      </w:r>
      <w:r>
        <w:rPr>
          <w:rFonts w:ascii="Times New Roman;Times;serif" w:hAnsi="Times New Roman;Times;serif"/>
          <w:spacing w:val="-1"/>
          <w:sz w:val="20"/>
        </w:rPr>
        <w:t xml:space="preserve"> </w:t>
      </w:r>
      <w:r>
        <w:rPr>
          <w:rFonts w:ascii="Times New Roman;Times;serif" w:hAnsi="Times New Roman;Times;serif"/>
          <w:sz w:val="20"/>
        </w:rPr>
        <w:t>communities</w:t>
      </w:r>
      <w:r>
        <w:rPr>
          <w:rFonts w:ascii="Times New Roman;Times;serif" w:hAnsi="Times New Roman;Times;serif"/>
          <w:spacing w:val="-2"/>
          <w:sz w:val="20"/>
        </w:rPr>
        <w:t xml:space="preserve"> </w:t>
      </w:r>
      <w:r>
        <w:rPr>
          <w:rFonts w:ascii="Times New Roman;Times;serif" w:hAnsi="Times New Roman;Times;serif"/>
          <w:sz w:val="20"/>
        </w:rPr>
        <w:t>disproportionately</w:t>
      </w:r>
      <w:r>
        <w:rPr>
          <w:rFonts w:ascii="Times New Roman;Times;serif" w:hAnsi="Times New Roman;Times;serif"/>
          <w:spacing w:val="-1"/>
          <w:sz w:val="20"/>
        </w:rPr>
        <w:t xml:space="preserve"> </w:t>
      </w:r>
      <w:r>
        <w:rPr>
          <w:rFonts w:ascii="Times New Roman;Times;serif" w:hAnsi="Times New Roman;Times;serif"/>
          <w:sz w:val="20"/>
        </w:rPr>
        <w:t>impacted</w:t>
      </w:r>
      <w:r>
        <w:rPr>
          <w:rFonts w:ascii="Times New Roman;Times;serif" w:hAnsi="Times New Roman;Times;serif"/>
          <w:spacing w:val="-2"/>
          <w:sz w:val="20"/>
        </w:rPr>
        <w:t xml:space="preserve"> </w:t>
      </w:r>
      <w:r>
        <w:rPr>
          <w:rFonts w:ascii="Times New Roman;Times;serif" w:hAnsi="Times New Roman;Times;serif"/>
          <w:sz w:val="20"/>
        </w:rPr>
        <w:t>by</w:t>
      </w:r>
      <w:r>
        <w:rPr>
          <w:rFonts w:ascii="Times New Roman;Times;serif" w:hAnsi="Times New Roman;Times;serif"/>
          <w:spacing w:val="-1"/>
          <w:sz w:val="20"/>
        </w:rPr>
        <w:t xml:space="preserve"> </w:t>
      </w:r>
      <w:r>
        <w:rPr>
          <w:rFonts w:ascii="Times New Roman;Times;serif" w:hAnsi="Times New Roman;Times;serif"/>
          <w:sz w:val="20"/>
        </w:rPr>
        <w:t>the</w:t>
      </w:r>
      <w:r>
        <w:rPr>
          <w:rFonts w:ascii="Times New Roman;Times;serif" w:hAnsi="Times New Roman;Times;serif"/>
          <w:spacing w:val="-1"/>
          <w:sz w:val="20"/>
        </w:rPr>
        <w:t xml:space="preserve"> </w:t>
      </w:r>
      <w:r>
        <w:rPr>
          <w:rFonts w:ascii="Times New Roman;Times;serif" w:hAnsi="Times New Roman;Times;serif"/>
          <w:sz w:val="20"/>
        </w:rPr>
        <w:t>“War</w:t>
      </w:r>
      <w:r>
        <w:rPr>
          <w:rFonts w:ascii="Times New Roman;Times;serif" w:hAnsi="Times New Roman;Times;serif"/>
          <w:spacing w:val="-1"/>
          <w:sz w:val="20"/>
        </w:rPr>
        <w:t xml:space="preserve"> </w:t>
      </w:r>
      <w:r>
        <w:rPr>
          <w:rFonts w:ascii="Times New Roman;Times;serif" w:hAnsi="Times New Roman;Times;serif"/>
          <w:sz w:val="20"/>
        </w:rPr>
        <w:t>on</w:t>
      </w:r>
      <w:r>
        <w:rPr>
          <w:rFonts w:ascii="Times New Roman;Times;serif" w:hAnsi="Times New Roman;Times;serif"/>
          <w:spacing w:val="-1"/>
          <w:sz w:val="20"/>
        </w:rPr>
        <w:t xml:space="preserve"> </w:t>
      </w:r>
      <w:r>
        <w:rPr>
          <w:rFonts w:ascii="Times New Roman;Times;serif" w:hAnsi="Times New Roman;Times;serif"/>
          <w:sz w:val="20"/>
        </w:rPr>
        <w:t>Drugs”.</w:t>
      </w:r>
    </w:p>
    <w:p>
      <w:pPr>
        <w:pStyle w:val="TextBody"/>
        <w:spacing w:lineRule="atLeast" w:line="221" w:before="0" w:after="240"/>
        <w:ind w:left="0" w:right="117" w:hanging="0"/>
        <w:jc w:val="both"/>
        <w:rPr>
          <w:rFonts w:ascii="Times New Roman;Times;serif" w:hAnsi="Times New Roman;Times;serif"/>
          <w:sz w:val="20"/>
        </w:rPr>
      </w:pPr>
      <w:r>
        <w:rPr>
          <w:rFonts w:ascii="Times New Roman;Times;serif" w:hAnsi="Times New Roman;Times;serif"/>
          <w:sz w:val="20"/>
        </w:rPr>
        <w:t>The</w:t>
      </w:r>
      <w:r>
        <w:rPr>
          <w:rFonts w:ascii="Times New Roman;Times;serif" w:hAnsi="Times New Roman;Times;serif"/>
          <w:spacing w:val="21"/>
          <w:sz w:val="20"/>
        </w:rPr>
        <w:t xml:space="preserve"> </w:t>
      </w:r>
      <w:r>
        <w:rPr>
          <w:rFonts w:ascii="Times New Roman;Times;serif" w:hAnsi="Times New Roman;Times;serif"/>
          <w:sz w:val="20"/>
        </w:rPr>
        <w:t>CAOA</w:t>
      </w:r>
      <w:r>
        <w:rPr>
          <w:rFonts w:ascii="Times New Roman;Times;serif" w:hAnsi="Times New Roman;Times;serif"/>
          <w:spacing w:val="21"/>
          <w:sz w:val="20"/>
        </w:rPr>
        <w:t xml:space="preserve"> </w:t>
      </w:r>
      <w:r>
        <w:rPr>
          <w:rFonts w:ascii="Times New Roman;Times;serif" w:hAnsi="Times New Roman;Times;serif"/>
          <w:sz w:val="20"/>
        </w:rPr>
        <w:t>enshrines</w:t>
      </w:r>
      <w:r>
        <w:rPr>
          <w:rFonts w:ascii="Times New Roman;Times;serif" w:hAnsi="Times New Roman;Times;serif"/>
          <w:spacing w:val="20"/>
          <w:sz w:val="20"/>
        </w:rPr>
        <w:t xml:space="preserve"> </w:t>
      </w:r>
      <w:r>
        <w:rPr>
          <w:rFonts w:ascii="Times New Roman;Times;serif" w:hAnsi="Times New Roman;Times;serif"/>
          <w:sz w:val="20"/>
        </w:rPr>
        <w:t>the</w:t>
      </w:r>
      <w:r>
        <w:rPr>
          <w:rFonts w:ascii="Times New Roman;Times;serif" w:hAnsi="Times New Roman;Times;serif"/>
          <w:spacing w:val="21"/>
          <w:sz w:val="20"/>
        </w:rPr>
        <w:t xml:space="preserve"> </w:t>
      </w:r>
      <w:r>
        <w:rPr>
          <w:rFonts w:ascii="Times New Roman;Times;serif" w:hAnsi="Times New Roman;Times;serif"/>
          <w:sz w:val="20"/>
        </w:rPr>
        <w:t>current</w:t>
      </w:r>
      <w:r>
        <w:rPr>
          <w:rFonts w:ascii="Times New Roman;Times;serif" w:hAnsi="Times New Roman;Times;serif"/>
          <w:spacing w:val="20"/>
          <w:sz w:val="20"/>
        </w:rPr>
        <w:t xml:space="preserve"> </w:t>
      </w:r>
      <w:r>
        <w:rPr>
          <w:rFonts w:ascii="Times New Roman;Times;serif" w:hAnsi="Times New Roman;Times;serif"/>
          <w:sz w:val="20"/>
        </w:rPr>
        <w:t>state</w:t>
      </w:r>
      <w:r>
        <w:rPr>
          <w:rFonts w:ascii="Times New Roman;Times;serif" w:hAnsi="Times New Roman;Times;serif"/>
          <w:spacing w:val="21"/>
          <w:sz w:val="20"/>
        </w:rPr>
        <w:t xml:space="preserve"> </w:t>
      </w:r>
      <w:r>
        <w:rPr>
          <w:rFonts w:ascii="Times New Roman;Times;serif" w:hAnsi="Times New Roman;Times;serif"/>
          <w:sz w:val="20"/>
        </w:rPr>
        <w:t>cannabis</w:t>
      </w:r>
      <w:r>
        <w:rPr>
          <w:rFonts w:ascii="Times New Roman;Times;serif" w:hAnsi="Times New Roman;Times;serif"/>
          <w:spacing w:val="20"/>
          <w:sz w:val="20"/>
        </w:rPr>
        <w:t xml:space="preserve"> </w:t>
      </w:r>
      <w:r>
        <w:rPr>
          <w:rFonts w:ascii="Times New Roman;Times;serif" w:hAnsi="Times New Roman;Times;serif"/>
          <w:sz w:val="20"/>
        </w:rPr>
        <w:t>licensing</w:t>
      </w:r>
      <w:r>
        <w:rPr>
          <w:rFonts w:ascii="Times New Roman;Times;serif" w:hAnsi="Times New Roman;Times;serif"/>
          <w:spacing w:val="22"/>
          <w:sz w:val="20"/>
        </w:rPr>
        <w:t xml:space="preserve"> </w:t>
      </w:r>
      <w:r>
        <w:rPr>
          <w:rFonts w:ascii="Times New Roman;Times;serif" w:hAnsi="Times New Roman;Times;serif"/>
          <w:sz w:val="20"/>
        </w:rPr>
        <w:t>regimes</w:t>
      </w:r>
      <w:r>
        <w:rPr>
          <w:rFonts w:ascii="Times New Roman;Times;serif" w:hAnsi="Times New Roman;Times;serif"/>
          <w:spacing w:val="20"/>
          <w:sz w:val="20"/>
        </w:rPr>
        <w:t xml:space="preserve"> </w:t>
      </w:r>
      <w:r>
        <w:rPr>
          <w:rFonts w:ascii="Times New Roman;Times;serif" w:hAnsi="Times New Roman;Times;serif"/>
          <w:sz w:val="20"/>
        </w:rPr>
        <w:t>but</w:t>
      </w:r>
      <w:r>
        <w:rPr>
          <w:rFonts w:ascii="Times New Roman;Times;serif" w:hAnsi="Times New Roman;Times;serif"/>
          <w:spacing w:val="20"/>
          <w:sz w:val="20"/>
        </w:rPr>
        <w:t xml:space="preserve"> </w:t>
      </w:r>
      <w:r>
        <w:rPr>
          <w:rFonts w:ascii="Times New Roman;Times;serif" w:hAnsi="Times New Roman;Times;serif"/>
          <w:sz w:val="20"/>
        </w:rPr>
        <w:t>introduces</w:t>
      </w:r>
      <w:r>
        <w:rPr>
          <w:rFonts w:ascii="Times New Roman;Times;serif" w:hAnsi="Times New Roman;Times;serif"/>
          <w:spacing w:val="20"/>
          <w:sz w:val="20"/>
        </w:rPr>
        <w:t xml:space="preserve"> </w:t>
      </w:r>
      <w:r>
        <w:rPr>
          <w:rFonts w:ascii="Times New Roman;Times;serif" w:hAnsi="Times New Roman;Times;serif"/>
          <w:sz w:val="20"/>
        </w:rPr>
        <w:t>additional</w:t>
      </w:r>
      <w:r>
        <w:rPr>
          <w:rFonts w:ascii="Times New Roman;Times;serif" w:hAnsi="Times New Roman;Times;serif"/>
          <w:spacing w:val="20"/>
          <w:sz w:val="20"/>
        </w:rPr>
        <w:t xml:space="preserve"> </w:t>
      </w:r>
      <w:r>
        <w:rPr>
          <w:rFonts w:ascii="Times New Roman;Times;serif" w:hAnsi="Times New Roman;Times;serif"/>
          <w:sz w:val="20"/>
        </w:rPr>
        <w:t>federal</w:t>
      </w:r>
      <w:r>
        <w:rPr>
          <w:rFonts w:ascii="Times New Roman;Times;serif" w:hAnsi="Times New Roman;Times;serif"/>
          <w:spacing w:val="18"/>
          <w:sz w:val="20"/>
        </w:rPr>
        <w:t xml:space="preserve"> </w:t>
      </w:r>
      <w:r>
        <w:rPr>
          <w:rFonts w:ascii="Times New Roman;Times;serif" w:hAnsi="Times New Roman;Times;serif"/>
          <w:sz w:val="20"/>
        </w:rPr>
        <w:t>permitting</w:t>
      </w:r>
      <w:r>
        <w:rPr>
          <w:rFonts w:ascii="Times New Roman;Times;serif" w:hAnsi="Times New Roman;Times;serif"/>
          <w:spacing w:val="19"/>
          <w:sz w:val="20"/>
        </w:rPr>
        <w:t xml:space="preserve"> </w:t>
      </w:r>
      <w:r>
        <w:rPr>
          <w:rFonts w:ascii="Times New Roman;Times;serif" w:hAnsi="Times New Roman;Times;serif"/>
          <w:sz w:val="20"/>
        </w:rPr>
        <w:t>of cannabis</w:t>
      </w:r>
      <w:r>
        <w:rPr>
          <w:rFonts w:ascii="Times New Roman;Times;serif" w:hAnsi="Times New Roman;Times;serif"/>
          <w:spacing w:val="-1"/>
          <w:sz w:val="20"/>
        </w:rPr>
        <w:t xml:space="preserve"> </w:t>
      </w:r>
      <w:r>
        <w:rPr>
          <w:rFonts w:ascii="Times New Roman;Times;serif" w:hAnsi="Times New Roman;Times;serif"/>
          <w:sz w:val="20"/>
        </w:rPr>
        <w:t>wholesalers. Regulatory responsibility for cannabis control</w:t>
      </w:r>
      <w:r>
        <w:rPr>
          <w:rFonts w:ascii="Times New Roman;Times;serif" w:hAnsi="Times New Roman;Times;serif"/>
          <w:spacing w:val="-1"/>
          <w:sz w:val="20"/>
        </w:rPr>
        <w:t xml:space="preserve"> </w:t>
      </w:r>
      <w:r>
        <w:rPr>
          <w:rFonts w:ascii="Times New Roman;Times;serif" w:hAnsi="Times New Roman;Times;serif"/>
          <w:sz w:val="20"/>
        </w:rPr>
        <w:t>would be</w:t>
      </w:r>
      <w:r>
        <w:rPr>
          <w:rFonts w:ascii="Times New Roman;Times;serif" w:hAnsi="Times New Roman;Times;serif"/>
          <w:spacing w:val="-1"/>
          <w:sz w:val="20"/>
        </w:rPr>
        <w:t xml:space="preserve"> </w:t>
      </w:r>
      <w:r>
        <w:rPr>
          <w:rFonts w:ascii="Times New Roman;Times;serif" w:hAnsi="Times New Roman;Times;serif"/>
          <w:sz w:val="20"/>
        </w:rPr>
        <w:t>transferred from the</w:t>
      </w:r>
      <w:r>
        <w:rPr>
          <w:rFonts w:ascii="Times New Roman;Times;serif" w:hAnsi="Times New Roman;Times;serif"/>
          <w:spacing w:val="-1"/>
          <w:sz w:val="20"/>
        </w:rPr>
        <w:t xml:space="preserve"> </w:t>
      </w:r>
      <w:r>
        <w:rPr>
          <w:rFonts w:ascii="Times New Roman;Times;serif" w:hAnsi="Times New Roman;Times;serif"/>
          <w:sz w:val="20"/>
        </w:rPr>
        <w:t>DEA to</w:t>
      </w:r>
      <w:r>
        <w:rPr>
          <w:rFonts w:ascii="Times New Roman;Times;serif" w:hAnsi="Times New Roman;Times;serif"/>
          <w:spacing w:val="-1"/>
          <w:sz w:val="20"/>
        </w:rPr>
        <w:t xml:space="preserve"> </w:t>
      </w:r>
      <w:r>
        <w:rPr>
          <w:rFonts w:ascii="Times New Roman;Times;serif" w:hAnsi="Times New Roman;Times;serif"/>
          <w:sz w:val="20"/>
        </w:rPr>
        <w:t>the</w:t>
      </w:r>
      <w:r>
        <w:rPr>
          <w:rFonts w:ascii="Times New Roman;Times;serif" w:hAnsi="Times New Roman;Times;serif"/>
          <w:spacing w:val="18"/>
          <w:sz w:val="20"/>
        </w:rPr>
        <w:t xml:space="preserve"> </w:t>
      </w:r>
      <w:r>
        <w:rPr>
          <w:rFonts w:ascii="Times New Roman;Times;serif" w:hAnsi="Times New Roman;Times;serif"/>
          <w:sz w:val="20"/>
        </w:rPr>
        <w:t>Alcohol</w:t>
      </w:r>
      <w:r>
        <w:rPr>
          <w:rFonts w:ascii="Times New Roman;Times;serif" w:hAnsi="Times New Roman;Times;serif"/>
          <w:spacing w:val="18"/>
          <w:sz w:val="20"/>
        </w:rPr>
        <w:t xml:space="preserve"> </w:t>
      </w:r>
      <w:r>
        <w:rPr>
          <w:rFonts w:ascii="Times New Roman;Times;serif" w:hAnsi="Times New Roman;Times;serif"/>
          <w:sz w:val="20"/>
        </w:rPr>
        <w:t>and</w:t>
      </w:r>
      <w:r>
        <w:rPr>
          <w:rFonts w:ascii="Times New Roman;Times;serif" w:hAnsi="Times New Roman;Times;serif"/>
          <w:spacing w:val="19"/>
          <w:sz w:val="20"/>
        </w:rPr>
        <w:t xml:space="preserve"> </w:t>
      </w:r>
      <w:r>
        <w:rPr>
          <w:rFonts w:ascii="Times New Roman;Times;serif" w:hAnsi="Times New Roman;Times;serif"/>
          <w:sz w:val="20"/>
        </w:rPr>
        <w:t>Tobacco</w:t>
      </w:r>
      <w:r>
        <w:rPr>
          <w:rFonts w:ascii="Times New Roman;Times;serif" w:hAnsi="Times New Roman;Times;serif"/>
          <w:spacing w:val="19"/>
          <w:sz w:val="20"/>
        </w:rPr>
        <w:t xml:space="preserve"> </w:t>
      </w:r>
      <w:r>
        <w:rPr>
          <w:rFonts w:ascii="Times New Roman;Times;serif" w:hAnsi="Times New Roman;Times;serif"/>
          <w:sz w:val="20"/>
        </w:rPr>
        <w:t>Tax</w:t>
      </w:r>
      <w:r>
        <w:rPr>
          <w:rFonts w:ascii="Times New Roman;Times;serif" w:hAnsi="Times New Roman;Times;serif"/>
          <w:spacing w:val="19"/>
          <w:sz w:val="20"/>
        </w:rPr>
        <w:t xml:space="preserve"> </w:t>
      </w:r>
      <w:r>
        <w:rPr>
          <w:rFonts w:ascii="Times New Roman;Times;serif" w:hAnsi="Times New Roman;Times;serif"/>
          <w:sz w:val="20"/>
        </w:rPr>
        <w:t>and</w:t>
      </w:r>
      <w:r>
        <w:rPr>
          <w:rFonts w:ascii="Times New Roman;Times;serif" w:hAnsi="Times New Roman;Times;serif"/>
          <w:spacing w:val="19"/>
          <w:sz w:val="20"/>
        </w:rPr>
        <w:t xml:space="preserve"> </w:t>
      </w:r>
      <w:r>
        <w:rPr>
          <w:rFonts w:ascii="Times New Roman;Times;serif" w:hAnsi="Times New Roman;Times;serif"/>
          <w:sz w:val="20"/>
        </w:rPr>
        <w:t>Trade</w:t>
      </w:r>
      <w:r>
        <w:rPr>
          <w:rFonts w:ascii="Times New Roman;Times;serif" w:hAnsi="Times New Roman;Times;serif"/>
          <w:spacing w:val="18"/>
          <w:sz w:val="20"/>
        </w:rPr>
        <w:t xml:space="preserve"> </w:t>
      </w:r>
      <w:r>
        <w:rPr>
          <w:rFonts w:ascii="Times New Roman;Times;serif" w:hAnsi="Times New Roman;Times;serif"/>
          <w:sz w:val="20"/>
        </w:rPr>
        <w:t>Bureau</w:t>
      </w:r>
      <w:r>
        <w:rPr>
          <w:rFonts w:ascii="Times New Roman;Times;serif" w:hAnsi="Times New Roman;Times;serif"/>
          <w:spacing w:val="19"/>
          <w:sz w:val="20"/>
        </w:rPr>
        <w:t xml:space="preserve"> </w:t>
      </w:r>
      <w:r>
        <w:rPr>
          <w:rFonts w:ascii="Times New Roman;Times;serif" w:hAnsi="Times New Roman;Times;serif"/>
          <w:sz w:val="20"/>
        </w:rPr>
        <w:t>(“TTB”) or</w:t>
      </w:r>
      <w:r>
        <w:rPr>
          <w:rFonts w:ascii="Times New Roman;Times;serif" w:hAnsi="Times New Roman;Times;serif"/>
          <w:spacing w:val="19"/>
          <w:sz w:val="20"/>
        </w:rPr>
        <w:t xml:space="preserve"> </w:t>
      </w:r>
      <w:r>
        <w:rPr>
          <w:rFonts w:ascii="Times New Roman;Times;serif" w:hAnsi="Times New Roman;Times;serif"/>
          <w:sz w:val="20"/>
        </w:rPr>
        <w:t>the</w:t>
      </w:r>
      <w:r>
        <w:rPr>
          <w:rFonts w:ascii="Times New Roman;Times;serif" w:hAnsi="Times New Roman;Times;serif"/>
          <w:spacing w:val="18"/>
          <w:sz w:val="20"/>
        </w:rPr>
        <w:t xml:space="preserve"> </w:t>
      </w:r>
      <w:r>
        <w:rPr>
          <w:rFonts w:ascii="Times New Roman;Times;serif" w:hAnsi="Times New Roman;Times;serif"/>
          <w:sz w:val="20"/>
        </w:rPr>
        <w:t>Bureau</w:t>
      </w:r>
      <w:r>
        <w:rPr>
          <w:rFonts w:ascii="Times New Roman;Times;serif" w:hAnsi="Times New Roman;Times;serif"/>
          <w:spacing w:val="19"/>
          <w:sz w:val="20"/>
        </w:rPr>
        <w:t xml:space="preserve"> </w:t>
      </w:r>
      <w:r>
        <w:rPr>
          <w:rFonts w:ascii="Times New Roman;Times;serif" w:hAnsi="Times New Roman;Times;serif"/>
          <w:sz w:val="20"/>
        </w:rPr>
        <w:t>of</w:t>
      </w:r>
      <w:r>
        <w:rPr>
          <w:rFonts w:ascii="Times New Roman;Times;serif" w:hAnsi="Times New Roman;Times;serif"/>
          <w:spacing w:val="19"/>
          <w:sz w:val="20"/>
        </w:rPr>
        <w:t xml:space="preserve"> </w:t>
      </w:r>
      <w:r>
        <w:rPr>
          <w:rFonts w:ascii="Times New Roman;Times;serif" w:hAnsi="Times New Roman;Times;serif"/>
          <w:sz w:val="20"/>
        </w:rPr>
        <w:t>Alcohol,</w:t>
      </w:r>
      <w:r>
        <w:rPr>
          <w:rFonts w:ascii="Times New Roman;Times;serif" w:hAnsi="Times New Roman;Times;serif"/>
          <w:spacing w:val="18"/>
          <w:sz w:val="20"/>
        </w:rPr>
        <w:t xml:space="preserve"> </w:t>
      </w:r>
      <w:r>
        <w:rPr>
          <w:rFonts w:ascii="Times New Roman;Times;serif" w:hAnsi="Times New Roman;Times;serif"/>
          <w:sz w:val="20"/>
        </w:rPr>
        <w:t>Tobacco,</w:t>
      </w:r>
      <w:r>
        <w:rPr>
          <w:rFonts w:ascii="Times New Roman;Times;serif" w:hAnsi="Times New Roman;Times;serif"/>
          <w:spacing w:val="19"/>
          <w:sz w:val="20"/>
        </w:rPr>
        <w:t xml:space="preserve"> </w:t>
      </w:r>
      <w:r>
        <w:rPr>
          <w:rFonts w:ascii="Times New Roman;Times;serif" w:hAnsi="Times New Roman;Times;serif"/>
          <w:sz w:val="20"/>
        </w:rPr>
        <w:t>Firearms,</w:t>
      </w:r>
      <w:r>
        <w:rPr>
          <w:rFonts w:ascii="Times New Roman;Times;serif" w:hAnsi="Times New Roman;Times;serif"/>
          <w:spacing w:val="17"/>
          <w:sz w:val="20"/>
        </w:rPr>
        <w:t xml:space="preserve"> </w:t>
      </w:r>
      <w:r>
        <w:rPr>
          <w:rFonts w:ascii="Times New Roman;Times;serif" w:hAnsi="Times New Roman;Times;serif"/>
          <w:sz w:val="20"/>
        </w:rPr>
        <w:t>and</w:t>
      </w:r>
      <w:r>
        <w:rPr>
          <w:rFonts w:ascii="Times New Roman;Times;serif" w:hAnsi="Times New Roman;Times;serif"/>
          <w:spacing w:val="19"/>
          <w:sz w:val="20"/>
        </w:rPr>
        <w:t xml:space="preserve"> </w:t>
      </w:r>
      <w:r>
        <w:rPr>
          <w:rFonts w:ascii="Times New Roman;Times;serif" w:hAnsi="Times New Roman;Times;serif"/>
          <w:sz w:val="20"/>
        </w:rPr>
        <w:t>Explosives</w:t>
      </w:r>
      <w:r>
        <w:rPr>
          <w:rFonts w:ascii="Times New Roman;Times;serif" w:hAnsi="Times New Roman;Times;serif"/>
          <w:spacing w:val="17"/>
          <w:sz w:val="20"/>
        </w:rPr>
        <w:t xml:space="preserve"> </w:t>
      </w:r>
      <w:r>
        <w:rPr>
          <w:rFonts w:ascii="Times New Roman;Times;serif" w:hAnsi="Times New Roman;Times;serif"/>
          <w:sz w:val="20"/>
        </w:rPr>
        <w:t>(“ATF”).</w:t>
      </w:r>
      <w:r>
        <w:rPr>
          <w:rFonts w:ascii="Times New Roman;Times;serif" w:hAnsi="Times New Roman;Times;serif"/>
          <w:spacing w:val="19"/>
          <w:sz w:val="20"/>
        </w:rPr>
        <w:t xml:space="preserve"> </w:t>
      </w:r>
      <w:r>
        <w:rPr>
          <w:rFonts w:ascii="Times New Roman;Times;serif" w:hAnsi="Times New Roman;Times;serif"/>
          <w:spacing w:val="-4"/>
          <w:sz w:val="20"/>
        </w:rPr>
        <w:t>The</w:t>
      </w:r>
      <w:r>
        <w:rPr>
          <w:rFonts w:ascii="Times New Roman;Times;serif" w:hAnsi="Times New Roman;Times;serif"/>
          <w:sz w:val="20"/>
        </w:rPr>
        <w:t xml:space="preserve"> publication</w:t>
      </w:r>
      <w:r>
        <w:rPr>
          <w:rFonts w:ascii="Times New Roman;Times;serif" w:hAnsi="Times New Roman;Times;serif"/>
          <w:spacing w:val="-9"/>
          <w:sz w:val="20"/>
        </w:rPr>
        <w:t xml:space="preserve"> </w:t>
      </w:r>
      <w:r>
        <w:rPr>
          <w:rFonts w:ascii="Times New Roman;Times;serif" w:hAnsi="Times New Roman;Times;serif"/>
          <w:sz w:val="20"/>
        </w:rPr>
        <w:t>of</w:t>
      </w:r>
      <w:r>
        <w:rPr>
          <w:rFonts w:ascii="Times New Roman;Times;serif" w:hAnsi="Times New Roman;Times;serif"/>
          <w:spacing w:val="-10"/>
          <w:sz w:val="20"/>
        </w:rPr>
        <w:t xml:space="preserve"> </w:t>
      </w:r>
      <w:r>
        <w:rPr>
          <w:rFonts w:ascii="Times New Roman;Times;serif" w:hAnsi="Times New Roman;Times;serif"/>
          <w:sz w:val="20"/>
        </w:rPr>
        <w:t>the</w:t>
      </w:r>
      <w:r>
        <w:rPr>
          <w:rFonts w:ascii="Times New Roman;Times;serif" w:hAnsi="Times New Roman;Times;serif"/>
          <w:spacing w:val="-8"/>
          <w:sz w:val="20"/>
        </w:rPr>
        <w:t xml:space="preserve"> </w:t>
      </w:r>
      <w:r>
        <w:rPr>
          <w:rFonts w:ascii="Times New Roman;Times;serif" w:hAnsi="Times New Roman;Times;serif"/>
          <w:sz w:val="20"/>
        </w:rPr>
        <w:t>CAOA</w:t>
      </w:r>
      <w:r>
        <w:rPr>
          <w:rFonts w:ascii="Times New Roman;Times;serif" w:hAnsi="Times New Roman;Times;serif"/>
          <w:spacing w:val="-8"/>
          <w:sz w:val="20"/>
        </w:rPr>
        <w:t xml:space="preserve"> </w:t>
      </w:r>
      <w:r>
        <w:rPr>
          <w:rFonts w:ascii="Times New Roman;Times;serif" w:hAnsi="Times New Roman;Times;serif"/>
          <w:sz w:val="20"/>
        </w:rPr>
        <w:t>by</w:t>
      </w:r>
      <w:r>
        <w:rPr>
          <w:rFonts w:ascii="Times New Roman;Times;serif" w:hAnsi="Times New Roman;Times;serif"/>
          <w:spacing w:val="-9"/>
          <w:sz w:val="20"/>
        </w:rPr>
        <w:t xml:space="preserve"> </w:t>
      </w:r>
      <w:r>
        <w:rPr>
          <w:rFonts w:ascii="Times New Roman;Times;serif" w:hAnsi="Times New Roman;Times;serif"/>
          <w:sz w:val="20"/>
        </w:rPr>
        <w:t>Democratic</w:t>
      </w:r>
      <w:r>
        <w:rPr>
          <w:rFonts w:ascii="Times New Roman;Times;serif" w:hAnsi="Times New Roman;Times;serif"/>
          <w:spacing w:val="-8"/>
          <w:sz w:val="20"/>
        </w:rPr>
        <w:t xml:space="preserve"> </w:t>
      </w:r>
      <w:r>
        <w:rPr>
          <w:rFonts w:ascii="Times New Roman;Times;serif" w:hAnsi="Times New Roman;Times;serif"/>
          <w:sz w:val="20"/>
        </w:rPr>
        <w:t>congressional</w:t>
      </w:r>
      <w:r>
        <w:rPr>
          <w:rFonts w:ascii="Times New Roman;Times;serif" w:hAnsi="Times New Roman;Times;serif"/>
          <w:spacing w:val="-8"/>
          <w:sz w:val="20"/>
        </w:rPr>
        <w:t xml:space="preserve"> </w:t>
      </w:r>
      <w:r>
        <w:rPr>
          <w:rFonts w:ascii="Times New Roman;Times;serif" w:hAnsi="Times New Roman;Times;serif"/>
          <w:sz w:val="20"/>
        </w:rPr>
        <w:t>leaders</w:t>
      </w:r>
      <w:r>
        <w:rPr>
          <w:rFonts w:ascii="Times New Roman;Times;serif" w:hAnsi="Times New Roman;Times;serif"/>
          <w:spacing w:val="-9"/>
          <w:sz w:val="20"/>
        </w:rPr>
        <w:t xml:space="preserve"> </w:t>
      </w:r>
      <w:r>
        <w:rPr>
          <w:rFonts w:ascii="Times New Roman;Times;serif" w:hAnsi="Times New Roman;Times;serif"/>
          <w:sz w:val="20"/>
        </w:rPr>
        <w:t>represents</w:t>
      </w:r>
      <w:r>
        <w:rPr>
          <w:rFonts w:ascii="Times New Roman;Times;serif" w:hAnsi="Times New Roman;Times;serif"/>
          <w:spacing w:val="-9"/>
          <w:sz w:val="20"/>
        </w:rPr>
        <w:t xml:space="preserve"> </w:t>
      </w:r>
      <w:r>
        <w:rPr>
          <w:rFonts w:ascii="Times New Roman;Times;serif" w:hAnsi="Times New Roman;Times;serif"/>
          <w:sz w:val="20"/>
        </w:rPr>
        <w:t>a</w:t>
      </w:r>
      <w:r>
        <w:rPr>
          <w:rFonts w:ascii="Times New Roman;Times;serif" w:hAnsi="Times New Roman;Times;serif"/>
          <w:spacing w:val="-8"/>
          <w:sz w:val="20"/>
        </w:rPr>
        <w:t xml:space="preserve"> </w:t>
      </w:r>
      <w:r>
        <w:rPr>
          <w:rFonts w:ascii="Times New Roman;Times;serif" w:hAnsi="Times New Roman;Times;serif"/>
          <w:sz w:val="20"/>
        </w:rPr>
        <w:t>significant</w:t>
      </w:r>
      <w:r>
        <w:rPr>
          <w:rFonts w:ascii="Times New Roman;Times;serif" w:hAnsi="Times New Roman;Times;serif"/>
          <w:spacing w:val="-8"/>
          <w:sz w:val="20"/>
        </w:rPr>
        <w:t xml:space="preserve"> </w:t>
      </w:r>
      <w:r>
        <w:rPr>
          <w:rFonts w:ascii="Times New Roman;Times;serif" w:hAnsi="Times New Roman;Times;serif"/>
          <w:sz w:val="20"/>
        </w:rPr>
        <w:t>milestone</w:t>
      </w:r>
      <w:r>
        <w:rPr>
          <w:rFonts w:ascii="Times New Roman;Times;serif" w:hAnsi="Times New Roman;Times;serif"/>
          <w:spacing w:val="-8"/>
          <w:sz w:val="20"/>
        </w:rPr>
        <w:t xml:space="preserve"> </w:t>
      </w:r>
      <w:r>
        <w:rPr>
          <w:rFonts w:ascii="Times New Roman;Times;serif" w:hAnsi="Times New Roman;Times;serif"/>
          <w:sz w:val="20"/>
        </w:rPr>
        <w:t>in</w:t>
      </w:r>
      <w:r>
        <w:rPr>
          <w:rFonts w:ascii="Times New Roman;Times;serif" w:hAnsi="Times New Roman;Times;serif"/>
          <w:spacing w:val="-7"/>
          <w:sz w:val="20"/>
        </w:rPr>
        <w:t xml:space="preserve"> </w:t>
      </w:r>
      <w:r>
        <w:rPr>
          <w:rFonts w:ascii="Times New Roman;Times;serif" w:hAnsi="Times New Roman;Times;serif"/>
          <w:sz w:val="20"/>
        </w:rPr>
        <w:t>the</w:t>
      </w:r>
      <w:r>
        <w:rPr>
          <w:rFonts w:ascii="Times New Roman;Times;serif" w:hAnsi="Times New Roman;Times;serif"/>
          <w:spacing w:val="-10"/>
          <w:sz w:val="20"/>
        </w:rPr>
        <w:t xml:space="preserve"> </w:t>
      </w:r>
      <w:r>
        <w:rPr>
          <w:rFonts w:ascii="Times New Roman;Times;serif" w:hAnsi="Times New Roman;Times;serif"/>
          <w:sz w:val="20"/>
        </w:rPr>
        <w:t>move</w:t>
      </w:r>
      <w:r>
        <w:rPr>
          <w:rFonts w:ascii="Times New Roman;Times;serif" w:hAnsi="Times New Roman;Times;serif"/>
          <w:spacing w:val="-8"/>
          <w:sz w:val="20"/>
        </w:rPr>
        <w:t xml:space="preserve"> </w:t>
      </w:r>
      <w:r>
        <w:rPr>
          <w:rFonts w:ascii="Times New Roman;Times;serif" w:hAnsi="Times New Roman;Times;serif"/>
          <w:sz w:val="20"/>
        </w:rPr>
        <w:t>toward</w:t>
      </w:r>
      <w:r>
        <w:rPr>
          <w:rFonts w:ascii="Times New Roman;Times;serif" w:hAnsi="Times New Roman;Times;serif"/>
          <w:spacing w:val="-9"/>
          <w:sz w:val="20"/>
        </w:rPr>
        <w:t xml:space="preserve"> </w:t>
      </w:r>
      <w:r>
        <w:rPr>
          <w:rFonts w:ascii="Times New Roman;Times;serif" w:hAnsi="Times New Roman;Times;serif"/>
          <w:sz w:val="20"/>
        </w:rPr>
        <w:t>federal</w:t>
      </w:r>
      <w:r>
        <w:rPr>
          <w:rFonts w:ascii="Times New Roman;Times;serif" w:hAnsi="Times New Roman;Times;serif"/>
          <w:spacing w:val="-8"/>
          <w:sz w:val="20"/>
        </w:rPr>
        <w:t xml:space="preserve"> </w:t>
      </w:r>
      <w:r>
        <w:rPr>
          <w:rFonts w:ascii="Times New Roman;Times;serif" w:hAnsi="Times New Roman;Times;serif"/>
          <w:sz w:val="20"/>
        </w:rPr>
        <w:t>legalization</w:t>
      </w:r>
      <w:r>
        <w:rPr>
          <w:rFonts w:ascii="Times New Roman;Times;serif" w:hAnsi="Times New Roman;Times;serif"/>
          <w:spacing w:val="-2"/>
          <w:sz w:val="20"/>
        </w:rPr>
        <w:t xml:space="preserve"> </w:t>
      </w:r>
      <w:r>
        <w:rPr>
          <w:rFonts w:ascii="Times New Roman;Times;serif" w:hAnsi="Times New Roman;Times;serif"/>
          <w:sz w:val="20"/>
        </w:rPr>
        <w:t>of</w:t>
      </w:r>
      <w:r>
        <w:rPr>
          <w:rFonts w:ascii="Times New Roman;Times;serif" w:hAnsi="Times New Roman;Times;serif"/>
          <w:spacing w:val="12"/>
          <w:sz w:val="20"/>
        </w:rPr>
        <w:t xml:space="preserve"> </w:t>
      </w:r>
      <w:r>
        <w:rPr>
          <w:rFonts w:ascii="Times New Roman;Times;serif" w:hAnsi="Times New Roman;Times;serif"/>
          <w:sz w:val="20"/>
        </w:rPr>
        <w:t>cannabis.</w:t>
      </w:r>
      <w:r>
        <w:rPr>
          <w:rFonts w:ascii="Times New Roman;Times;serif" w:hAnsi="Times New Roman;Times;serif"/>
          <w:spacing w:val="11"/>
          <w:sz w:val="20"/>
        </w:rPr>
        <w:t xml:space="preserve"> </w:t>
      </w:r>
      <w:r>
        <w:rPr>
          <w:rFonts w:ascii="Times New Roman;Times;serif" w:hAnsi="Times New Roman;Times;serif"/>
          <w:sz w:val="20"/>
        </w:rPr>
        <w:t>While</w:t>
      </w:r>
      <w:r>
        <w:rPr>
          <w:rFonts w:ascii="Times New Roman;Times;serif" w:hAnsi="Times New Roman;Times;serif"/>
          <w:spacing w:val="11"/>
          <w:sz w:val="20"/>
        </w:rPr>
        <w:t xml:space="preserve"> </w:t>
      </w:r>
      <w:r>
        <w:rPr>
          <w:rFonts w:ascii="Times New Roman;Times;serif" w:hAnsi="Times New Roman;Times;serif"/>
          <w:sz w:val="20"/>
        </w:rPr>
        <w:t>the</w:t>
      </w:r>
      <w:r>
        <w:rPr>
          <w:rFonts w:ascii="Times New Roman;Times;serif" w:hAnsi="Times New Roman;Times;serif"/>
          <w:spacing w:val="11"/>
          <w:sz w:val="20"/>
        </w:rPr>
        <w:t xml:space="preserve"> </w:t>
      </w:r>
      <w:r>
        <w:rPr>
          <w:rFonts w:ascii="Times New Roman;Times;serif" w:hAnsi="Times New Roman;Times;serif"/>
          <w:sz w:val="20"/>
        </w:rPr>
        <w:t>CAOA</w:t>
      </w:r>
      <w:r>
        <w:rPr>
          <w:rFonts w:ascii="Times New Roman;Times;serif" w:hAnsi="Times New Roman;Times;serif"/>
          <w:spacing w:val="11"/>
          <w:sz w:val="20"/>
        </w:rPr>
        <w:t xml:space="preserve"> </w:t>
      </w:r>
      <w:r>
        <w:rPr>
          <w:rFonts w:ascii="Times New Roman;Times;serif" w:hAnsi="Times New Roman;Times;serif"/>
          <w:sz w:val="20"/>
        </w:rPr>
        <w:t>indicates</w:t>
      </w:r>
      <w:r>
        <w:rPr>
          <w:rFonts w:ascii="Times New Roman;Times;serif" w:hAnsi="Times New Roman;Times;serif"/>
          <w:spacing w:val="10"/>
          <w:sz w:val="20"/>
        </w:rPr>
        <w:t xml:space="preserve"> </w:t>
      </w:r>
      <w:r>
        <w:rPr>
          <w:rFonts w:ascii="Times New Roman;Times;serif" w:hAnsi="Times New Roman;Times;serif"/>
          <w:sz w:val="20"/>
        </w:rPr>
        <w:t>that</w:t>
      </w:r>
      <w:r>
        <w:rPr>
          <w:rFonts w:ascii="Times New Roman;Times;serif" w:hAnsi="Times New Roman;Times;serif"/>
          <w:spacing w:val="11"/>
          <w:sz w:val="20"/>
        </w:rPr>
        <w:t xml:space="preserve"> </w:t>
      </w:r>
      <w:r>
        <w:rPr>
          <w:rFonts w:ascii="Times New Roman;Times;serif" w:hAnsi="Times New Roman;Times;serif"/>
          <w:sz w:val="20"/>
        </w:rPr>
        <w:t>legalization</w:t>
      </w:r>
      <w:r>
        <w:rPr>
          <w:rFonts w:ascii="Times New Roman;Times;serif" w:hAnsi="Times New Roman;Times;serif"/>
          <w:spacing w:val="12"/>
          <w:sz w:val="20"/>
        </w:rPr>
        <w:t xml:space="preserve"> </w:t>
      </w:r>
      <w:r>
        <w:rPr>
          <w:rFonts w:ascii="Times New Roman;Times;serif" w:hAnsi="Times New Roman;Times;serif"/>
          <w:sz w:val="20"/>
        </w:rPr>
        <w:t>may</w:t>
      </w:r>
      <w:r>
        <w:rPr>
          <w:rFonts w:ascii="Times New Roman;Times;serif" w:hAnsi="Times New Roman;Times;serif"/>
          <w:spacing w:val="12"/>
          <w:sz w:val="20"/>
        </w:rPr>
        <w:t xml:space="preserve"> </w:t>
      </w:r>
      <w:r>
        <w:rPr>
          <w:rFonts w:ascii="Times New Roman;Times;serif" w:hAnsi="Times New Roman;Times;serif"/>
          <w:sz w:val="20"/>
        </w:rPr>
        <w:t>come</w:t>
      </w:r>
      <w:r>
        <w:rPr>
          <w:rFonts w:ascii="Times New Roman;Times;serif" w:hAnsi="Times New Roman;Times;serif"/>
          <w:spacing w:val="11"/>
          <w:sz w:val="20"/>
        </w:rPr>
        <w:t xml:space="preserve"> </w:t>
      </w:r>
      <w:r>
        <w:rPr>
          <w:rFonts w:ascii="Times New Roman;Times;serif" w:hAnsi="Times New Roman;Times;serif"/>
          <w:sz w:val="20"/>
        </w:rPr>
        <w:t>with</w:t>
      </w:r>
      <w:r>
        <w:rPr>
          <w:rFonts w:ascii="Times New Roman;Times;serif" w:hAnsi="Times New Roman;Times;serif"/>
          <w:spacing w:val="12"/>
          <w:sz w:val="20"/>
        </w:rPr>
        <w:t xml:space="preserve"> </w:t>
      </w:r>
      <w:r>
        <w:rPr>
          <w:rFonts w:ascii="Times New Roman;Times;serif" w:hAnsi="Times New Roman;Times;serif"/>
          <w:sz w:val="20"/>
        </w:rPr>
        <w:t>significant</w:t>
      </w:r>
      <w:r>
        <w:rPr>
          <w:rFonts w:ascii="Times New Roman;Times;serif" w:hAnsi="Times New Roman;Times;serif"/>
          <w:spacing w:val="11"/>
          <w:sz w:val="20"/>
        </w:rPr>
        <w:t xml:space="preserve"> </w:t>
      </w:r>
      <w:r>
        <w:rPr>
          <w:rFonts w:ascii="Times New Roman;Times;serif" w:hAnsi="Times New Roman;Times;serif"/>
          <w:sz w:val="20"/>
        </w:rPr>
        <w:t>federal</w:t>
      </w:r>
      <w:r>
        <w:rPr>
          <w:rFonts w:ascii="Times New Roman;Times;serif" w:hAnsi="Times New Roman;Times;serif"/>
          <w:spacing w:val="11"/>
          <w:sz w:val="20"/>
        </w:rPr>
        <w:t xml:space="preserve"> </w:t>
      </w:r>
      <w:r>
        <w:rPr>
          <w:rFonts w:ascii="Times New Roman;Times;serif" w:hAnsi="Times New Roman;Times;serif"/>
          <w:sz w:val="20"/>
        </w:rPr>
        <w:t>tax</w:t>
      </w:r>
      <w:r>
        <w:rPr>
          <w:rFonts w:ascii="Times New Roman;Times;serif" w:hAnsi="Times New Roman;Times;serif"/>
          <w:spacing w:val="12"/>
          <w:sz w:val="20"/>
        </w:rPr>
        <w:t xml:space="preserve"> </w:t>
      </w:r>
      <w:r>
        <w:rPr>
          <w:rFonts w:ascii="Times New Roman;Times;serif" w:hAnsi="Times New Roman;Times;serif"/>
          <w:sz w:val="20"/>
        </w:rPr>
        <w:t>burden,</w:t>
      </w:r>
      <w:r>
        <w:rPr>
          <w:rFonts w:ascii="Times New Roman;Times;serif" w:hAnsi="Times New Roman;Times;serif"/>
          <w:spacing w:val="11"/>
          <w:sz w:val="20"/>
        </w:rPr>
        <w:t xml:space="preserve"> </w:t>
      </w:r>
      <w:r>
        <w:rPr>
          <w:rFonts w:ascii="Times New Roman;Times;serif" w:hAnsi="Times New Roman;Times;serif"/>
          <w:sz w:val="20"/>
        </w:rPr>
        <w:t>federal</w:t>
      </w:r>
      <w:r>
        <w:rPr>
          <w:rFonts w:ascii="Times New Roman;Times;serif" w:hAnsi="Times New Roman;Times;serif"/>
          <w:spacing w:val="11"/>
          <w:sz w:val="20"/>
        </w:rPr>
        <w:t xml:space="preserve"> </w:t>
      </w:r>
      <w:r>
        <w:rPr>
          <w:rFonts w:ascii="Times New Roman;Times;serif" w:hAnsi="Times New Roman;Times;serif"/>
          <w:sz w:val="20"/>
        </w:rPr>
        <w:t>legalization</w:t>
      </w:r>
      <w:r>
        <w:rPr>
          <w:rFonts w:ascii="Times New Roman;Times;serif" w:hAnsi="Times New Roman;Times;serif"/>
          <w:spacing w:val="12"/>
          <w:sz w:val="20"/>
        </w:rPr>
        <w:t xml:space="preserve"> </w:t>
      </w:r>
      <w:r>
        <w:rPr>
          <w:rFonts w:ascii="Times New Roman;Times;serif" w:hAnsi="Times New Roman;Times;serif"/>
          <w:sz w:val="20"/>
        </w:rPr>
        <w:t>will</w:t>
      </w:r>
      <w:r>
        <w:rPr>
          <w:rFonts w:ascii="Times New Roman;Times;serif" w:hAnsi="Times New Roman;Times;serif"/>
          <w:spacing w:val="11"/>
          <w:sz w:val="20"/>
        </w:rPr>
        <w:t xml:space="preserve"> </w:t>
      </w:r>
      <w:r>
        <w:rPr>
          <w:rFonts w:ascii="Times New Roman;Times;serif" w:hAnsi="Times New Roman;Times;serif"/>
          <w:sz w:val="20"/>
        </w:rPr>
        <w:t>also</w:t>
      </w:r>
      <w:r>
        <w:rPr>
          <w:rFonts w:ascii="Times New Roman;Times;serif" w:hAnsi="Times New Roman;Times;serif"/>
          <w:spacing w:val="-2"/>
          <w:sz w:val="20"/>
        </w:rPr>
        <w:t xml:space="preserve"> </w:t>
      </w:r>
      <w:r>
        <w:rPr>
          <w:rFonts w:ascii="Times New Roman;Times;serif" w:hAnsi="Times New Roman;Times;serif"/>
          <w:sz w:val="20"/>
        </w:rPr>
        <w:t>bring</w:t>
      </w:r>
      <w:r>
        <w:rPr>
          <w:rFonts w:ascii="Times New Roman;Times;serif" w:hAnsi="Times New Roman;Times;serif"/>
          <w:spacing w:val="24"/>
          <w:sz w:val="20"/>
        </w:rPr>
        <w:t xml:space="preserve"> </w:t>
      </w:r>
      <w:r>
        <w:rPr>
          <w:rFonts w:ascii="Times New Roman;Times;serif" w:hAnsi="Times New Roman;Times;serif"/>
          <w:sz w:val="20"/>
        </w:rPr>
        <w:t>long-awaited</w:t>
      </w:r>
      <w:r>
        <w:rPr>
          <w:rFonts w:ascii="Times New Roman;Times;serif" w:hAnsi="Times New Roman;Times;serif"/>
          <w:spacing w:val="24"/>
          <w:sz w:val="20"/>
        </w:rPr>
        <w:t xml:space="preserve"> </w:t>
      </w:r>
      <w:r>
        <w:rPr>
          <w:rFonts w:ascii="Times New Roman;Times;serif" w:hAnsi="Times New Roman;Times;serif"/>
          <w:sz w:val="20"/>
        </w:rPr>
        <w:t>benefits</w:t>
      </w:r>
      <w:r>
        <w:rPr>
          <w:rFonts w:ascii="Times New Roman;Times;serif" w:hAnsi="Times New Roman;Times;serif"/>
          <w:spacing w:val="22"/>
          <w:sz w:val="20"/>
        </w:rPr>
        <w:t xml:space="preserve"> </w:t>
      </w:r>
      <w:r>
        <w:rPr>
          <w:rFonts w:ascii="Times New Roman;Times;serif" w:hAnsi="Times New Roman;Times;serif"/>
          <w:sz w:val="20"/>
        </w:rPr>
        <w:t>to</w:t>
      </w:r>
      <w:r>
        <w:rPr>
          <w:rFonts w:ascii="Times New Roman;Times;serif" w:hAnsi="Times New Roman;Times;serif"/>
          <w:spacing w:val="24"/>
          <w:sz w:val="20"/>
        </w:rPr>
        <w:t xml:space="preserve"> </w:t>
      </w:r>
      <w:r>
        <w:rPr>
          <w:rFonts w:ascii="Times New Roman;Times;serif" w:hAnsi="Times New Roman;Times;serif"/>
          <w:sz w:val="20"/>
        </w:rPr>
        <w:t>the</w:t>
      </w:r>
      <w:r>
        <w:rPr>
          <w:rFonts w:ascii="Times New Roman;Times;serif" w:hAnsi="Times New Roman;Times;serif"/>
          <w:spacing w:val="23"/>
          <w:sz w:val="20"/>
        </w:rPr>
        <w:t xml:space="preserve"> </w:t>
      </w:r>
      <w:r>
        <w:rPr>
          <w:rFonts w:ascii="Times New Roman;Times;serif" w:hAnsi="Times New Roman;Times;serif"/>
          <w:sz w:val="20"/>
        </w:rPr>
        <w:t>industry</w:t>
      </w:r>
      <w:r>
        <w:rPr>
          <w:rFonts w:ascii="Times New Roman;Times;serif" w:hAnsi="Times New Roman;Times;serif"/>
          <w:spacing w:val="22"/>
          <w:sz w:val="20"/>
        </w:rPr>
        <w:t xml:space="preserve"> </w:t>
      </w:r>
      <w:r>
        <w:rPr>
          <w:rFonts w:ascii="Times New Roman;Times;serif" w:hAnsi="Times New Roman;Times;serif"/>
          <w:sz w:val="20"/>
        </w:rPr>
        <w:t>of</w:t>
      </w:r>
      <w:r>
        <w:rPr>
          <w:rFonts w:ascii="Times New Roman;Times;serif" w:hAnsi="Times New Roman;Times;serif"/>
          <w:spacing w:val="21"/>
          <w:sz w:val="20"/>
        </w:rPr>
        <w:t xml:space="preserve"> </w:t>
      </w:r>
      <w:r>
        <w:rPr>
          <w:rFonts w:ascii="Times New Roman;Times;serif" w:hAnsi="Times New Roman;Times;serif"/>
          <w:sz w:val="20"/>
        </w:rPr>
        <w:t>the</w:t>
      </w:r>
      <w:r>
        <w:rPr>
          <w:rFonts w:ascii="Times New Roman;Times;serif" w:hAnsi="Times New Roman;Times;serif"/>
          <w:spacing w:val="23"/>
          <w:sz w:val="20"/>
        </w:rPr>
        <w:t xml:space="preserve"> </w:t>
      </w:r>
      <w:r>
        <w:rPr>
          <w:rFonts w:ascii="Times New Roman;Times;serif" w:hAnsi="Times New Roman;Times;serif"/>
          <w:sz w:val="20"/>
        </w:rPr>
        <w:t>removal</w:t>
      </w:r>
      <w:r>
        <w:rPr>
          <w:rFonts w:ascii="Times New Roman;Times;serif" w:hAnsi="Times New Roman;Times;serif"/>
          <w:spacing w:val="20"/>
          <w:sz w:val="20"/>
        </w:rPr>
        <w:t xml:space="preserve"> </w:t>
      </w:r>
      <w:r>
        <w:rPr>
          <w:rFonts w:ascii="Times New Roman;Times;serif" w:hAnsi="Times New Roman;Times;serif"/>
          <w:sz w:val="20"/>
        </w:rPr>
        <w:t>of</w:t>
      </w:r>
      <w:r>
        <w:rPr>
          <w:rFonts w:ascii="Times New Roman;Times;serif" w:hAnsi="Times New Roman;Times;serif"/>
          <w:spacing w:val="24"/>
          <w:sz w:val="20"/>
        </w:rPr>
        <w:t xml:space="preserve"> </w:t>
      </w:r>
      <w:r>
        <w:rPr>
          <w:rFonts w:ascii="Times New Roman;Times;serif" w:hAnsi="Times New Roman;Times;serif"/>
          <w:sz w:val="20"/>
        </w:rPr>
        <w:t>the</w:t>
      </w:r>
      <w:r>
        <w:rPr>
          <w:rFonts w:ascii="Times New Roman;Times;serif" w:hAnsi="Times New Roman;Times;serif"/>
          <w:spacing w:val="23"/>
          <w:sz w:val="20"/>
        </w:rPr>
        <w:t xml:space="preserve"> </w:t>
      </w:r>
      <w:r>
        <w:rPr>
          <w:rFonts w:ascii="Times New Roman;Times;serif" w:hAnsi="Times New Roman;Times;serif"/>
          <w:sz w:val="20"/>
        </w:rPr>
        <w:t>Section</w:t>
      </w:r>
      <w:r>
        <w:rPr>
          <w:rFonts w:ascii="Times New Roman;Times;serif" w:hAnsi="Times New Roman;Times;serif"/>
          <w:spacing w:val="22"/>
          <w:sz w:val="20"/>
        </w:rPr>
        <w:t xml:space="preserve"> </w:t>
      </w:r>
      <w:r>
        <w:rPr>
          <w:rFonts w:ascii="Times New Roman;Times;serif" w:hAnsi="Times New Roman;Times;serif"/>
          <w:sz w:val="20"/>
        </w:rPr>
        <w:t>280E</w:t>
      </w:r>
      <w:r>
        <w:rPr>
          <w:rFonts w:ascii="Times New Roman;Times;serif" w:hAnsi="Times New Roman;Times;serif"/>
          <w:spacing w:val="21"/>
          <w:sz w:val="20"/>
        </w:rPr>
        <w:t xml:space="preserve"> </w:t>
      </w:r>
      <w:r>
        <w:rPr>
          <w:rFonts w:ascii="Times New Roman;Times;serif" w:hAnsi="Times New Roman;Times;serif"/>
          <w:sz w:val="20"/>
        </w:rPr>
        <w:t>tax</w:t>
      </w:r>
      <w:r>
        <w:rPr>
          <w:rFonts w:ascii="Times New Roman;Times;serif" w:hAnsi="Times New Roman;Times;serif"/>
          <w:spacing w:val="22"/>
          <w:sz w:val="20"/>
        </w:rPr>
        <w:t xml:space="preserve"> </w:t>
      </w:r>
      <w:r>
        <w:rPr>
          <w:rFonts w:ascii="Times New Roman;Times;serif" w:hAnsi="Times New Roman;Times;serif"/>
          <w:sz w:val="20"/>
        </w:rPr>
        <w:t>burden,</w:t>
      </w:r>
      <w:r>
        <w:rPr>
          <w:rFonts w:ascii="Times New Roman;Times;serif" w:hAnsi="Times New Roman;Times;serif"/>
          <w:spacing w:val="24"/>
          <w:sz w:val="20"/>
        </w:rPr>
        <w:t xml:space="preserve"> </w:t>
      </w:r>
      <w:r>
        <w:rPr>
          <w:rFonts w:ascii="Times New Roman;Times;serif" w:hAnsi="Times New Roman;Times;serif"/>
          <w:sz w:val="20"/>
        </w:rPr>
        <w:t>clarity</w:t>
      </w:r>
      <w:r>
        <w:rPr>
          <w:rFonts w:ascii="Times New Roman;Times;serif" w:hAnsi="Times New Roman;Times;serif"/>
          <w:spacing w:val="24"/>
          <w:sz w:val="20"/>
        </w:rPr>
        <w:t xml:space="preserve"> </w:t>
      </w:r>
      <w:r>
        <w:rPr>
          <w:rFonts w:ascii="Times New Roman;Times;serif" w:hAnsi="Times New Roman;Times;serif"/>
          <w:sz w:val="20"/>
        </w:rPr>
        <w:t>as</w:t>
      </w:r>
      <w:r>
        <w:rPr>
          <w:rFonts w:ascii="Times New Roman;Times;serif" w:hAnsi="Times New Roman;Times;serif"/>
          <w:spacing w:val="22"/>
          <w:sz w:val="20"/>
        </w:rPr>
        <w:t xml:space="preserve"> </w:t>
      </w:r>
      <w:r>
        <w:rPr>
          <w:rFonts w:ascii="Times New Roman;Times;serif" w:hAnsi="Times New Roman;Times;serif"/>
          <w:sz w:val="20"/>
        </w:rPr>
        <w:t>to</w:t>
      </w:r>
      <w:r>
        <w:rPr>
          <w:rFonts w:ascii="Times New Roman;Times;serif" w:hAnsi="Times New Roman;Times;serif"/>
          <w:spacing w:val="24"/>
          <w:sz w:val="20"/>
        </w:rPr>
        <w:t xml:space="preserve"> </w:t>
      </w:r>
      <w:r>
        <w:rPr>
          <w:rFonts w:ascii="Times New Roman;Times;serif" w:hAnsi="Times New Roman;Times;serif"/>
          <w:sz w:val="20"/>
        </w:rPr>
        <w:t>the</w:t>
      </w:r>
      <w:r>
        <w:rPr>
          <w:rFonts w:ascii="Times New Roman;Times;serif" w:hAnsi="Times New Roman;Times;serif"/>
          <w:spacing w:val="21"/>
          <w:sz w:val="20"/>
        </w:rPr>
        <w:t xml:space="preserve"> </w:t>
      </w:r>
      <w:r>
        <w:rPr>
          <w:rFonts w:ascii="Times New Roman;Times;serif" w:hAnsi="Times New Roman;Times;serif"/>
          <w:sz w:val="20"/>
        </w:rPr>
        <w:t>status</w:t>
      </w:r>
      <w:r>
        <w:rPr>
          <w:rFonts w:ascii="Times New Roman;Times;serif" w:hAnsi="Times New Roman;Times;serif"/>
          <w:spacing w:val="22"/>
          <w:sz w:val="20"/>
        </w:rPr>
        <w:t xml:space="preserve"> </w:t>
      </w:r>
      <w:r>
        <w:rPr>
          <w:rFonts w:ascii="Times New Roman;Times;serif" w:hAnsi="Times New Roman;Times;serif"/>
          <w:sz w:val="20"/>
        </w:rPr>
        <w:t>of</w:t>
      </w:r>
      <w:r>
        <w:rPr>
          <w:rFonts w:ascii="Times New Roman;Times;serif" w:hAnsi="Times New Roman;Times;serif"/>
          <w:spacing w:val="21"/>
          <w:sz w:val="20"/>
        </w:rPr>
        <w:t xml:space="preserve"> </w:t>
      </w:r>
      <w:r>
        <w:rPr>
          <w:rFonts w:ascii="Times New Roman;Times;serif" w:hAnsi="Times New Roman;Times;serif"/>
          <w:sz w:val="20"/>
        </w:rPr>
        <w:t>state-licensed</w:t>
      </w:r>
      <w:r>
        <w:rPr>
          <w:rFonts w:ascii="Times New Roman;Times;serif" w:hAnsi="Times New Roman;Times;serif"/>
          <w:spacing w:val="-2"/>
          <w:sz w:val="20"/>
        </w:rPr>
        <w:t xml:space="preserve"> </w:t>
      </w:r>
      <w:r>
        <w:rPr>
          <w:rFonts w:ascii="Times New Roman;Times;serif" w:hAnsi="Times New Roman;Times;serif"/>
          <w:sz w:val="20"/>
        </w:rPr>
        <w:t>cannabis</w:t>
      </w:r>
      <w:r>
        <w:rPr>
          <w:rFonts w:ascii="Times New Roman;Times;serif" w:hAnsi="Times New Roman;Times;serif"/>
          <w:spacing w:val="-2"/>
          <w:sz w:val="20"/>
        </w:rPr>
        <w:t xml:space="preserve"> </w:t>
      </w:r>
      <w:r>
        <w:rPr>
          <w:rFonts w:ascii="Times New Roman;Times;serif" w:hAnsi="Times New Roman;Times;serif"/>
          <w:sz w:val="20"/>
        </w:rPr>
        <w:t>businesses, broad access</w:t>
      </w:r>
      <w:r>
        <w:rPr>
          <w:rFonts w:ascii="Times New Roman;Times;serif" w:hAnsi="Times New Roman;Times;serif"/>
          <w:spacing w:val="-2"/>
          <w:sz w:val="20"/>
        </w:rPr>
        <w:t xml:space="preserve"> </w:t>
      </w:r>
      <w:r>
        <w:rPr>
          <w:rFonts w:ascii="Times New Roman;Times;serif" w:hAnsi="Times New Roman;Times;serif"/>
          <w:sz w:val="20"/>
        </w:rPr>
        <w:t>to the</w:t>
      </w:r>
      <w:r>
        <w:rPr>
          <w:rFonts w:ascii="Times New Roman;Times;serif" w:hAnsi="Times New Roman;Times;serif"/>
          <w:spacing w:val="-1"/>
          <w:sz w:val="20"/>
        </w:rPr>
        <w:t xml:space="preserve"> </w:t>
      </w:r>
      <w:r>
        <w:rPr>
          <w:rFonts w:ascii="Times New Roman;Times;serif" w:hAnsi="Times New Roman;Times;serif"/>
          <w:sz w:val="20"/>
        </w:rPr>
        <w:t>banking and</w:t>
      </w:r>
      <w:r>
        <w:rPr>
          <w:rFonts w:ascii="Times New Roman;Times;serif" w:hAnsi="Times New Roman;Times;serif"/>
          <w:spacing w:val="-2"/>
          <w:sz w:val="20"/>
        </w:rPr>
        <w:t xml:space="preserve"> </w:t>
      </w:r>
      <w:r>
        <w:rPr>
          <w:rFonts w:ascii="Times New Roman;Times;serif" w:hAnsi="Times New Roman;Times;serif"/>
          <w:sz w:val="20"/>
        </w:rPr>
        <w:t>card</w:t>
      </w:r>
      <w:r>
        <w:rPr>
          <w:rFonts w:ascii="Times New Roman;Times;serif" w:hAnsi="Times New Roman;Times;serif"/>
          <w:spacing w:val="-2"/>
          <w:sz w:val="20"/>
        </w:rPr>
        <w:t xml:space="preserve"> </w:t>
      </w:r>
      <w:r>
        <w:rPr>
          <w:rFonts w:ascii="Times New Roman;Times;serif" w:hAnsi="Times New Roman;Times;serif"/>
          <w:sz w:val="20"/>
        </w:rPr>
        <w:t>payment</w:t>
      </w:r>
      <w:r>
        <w:rPr>
          <w:rFonts w:ascii="Times New Roman;Times;serif" w:hAnsi="Times New Roman;Times;serif"/>
          <w:spacing w:val="-1"/>
          <w:sz w:val="20"/>
        </w:rPr>
        <w:t xml:space="preserve"> </w:t>
      </w:r>
      <w:r>
        <w:rPr>
          <w:rFonts w:ascii="Times New Roman;Times;serif" w:hAnsi="Times New Roman;Times;serif"/>
          <w:sz w:val="20"/>
        </w:rPr>
        <w:t>system, and increased availability, and reduced</w:t>
      </w:r>
      <w:r>
        <w:rPr>
          <w:rFonts w:ascii="Times New Roman;Times;serif" w:hAnsi="Times New Roman;Times;serif"/>
          <w:spacing w:val="-2"/>
          <w:sz w:val="20"/>
        </w:rPr>
        <w:t xml:space="preserve"> </w:t>
      </w:r>
      <w:r>
        <w:rPr>
          <w:rFonts w:ascii="Times New Roman;Times;serif" w:hAnsi="Times New Roman;Times;serif"/>
          <w:sz w:val="20"/>
        </w:rPr>
        <w:t>cost, of capital.</w:t>
      </w:r>
    </w:p>
    <w:p>
      <w:pPr>
        <w:pStyle w:val="TextBody"/>
        <w:spacing w:before="0" w:after="240"/>
        <w:ind w:left="0" w:right="117" w:hanging="0"/>
        <w:jc w:val="both"/>
        <w:rPr>
          <w:rFonts w:ascii="Times New Roman;Times;serif" w:hAnsi="Times New Roman;Times;serif"/>
          <w:sz w:val="20"/>
        </w:rPr>
      </w:pPr>
      <w:r>
        <w:rPr>
          <w:rFonts w:ascii="Times New Roman;Times;serif" w:hAnsi="Times New Roman;Times;serif"/>
          <w:sz w:val="20"/>
        </w:rPr>
        <w:t>At</w:t>
      </w:r>
      <w:r>
        <w:rPr>
          <w:rFonts w:ascii="Times New Roman;Times;serif" w:hAnsi="Times New Roman;Times;serif"/>
          <w:spacing w:val="1"/>
          <w:sz w:val="20"/>
        </w:rPr>
        <w:t xml:space="preserve"> </w:t>
      </w:r>
      <w:r>
        <w:rPr>
          <w:rFonts w:ascii="Times New Roman;Times;serif" w:hAnsi="Times New Roman;Times;serif"/>
          <w:sz w:val="20"/>
        </w:rPr>
        <w:t>the</w:t>
      </w:r>
      <w:r>
        <w:rPr>
          <w:rFonts w:ascii="Times New Roman;Times;serif" w:hAnsi="Times New Roman;Times;serif"/>
          <w:spacing w:val="5"/>
          <w:sz w:val="20"/>
        </w:rPr>
        <w:t xml:space="preserve"> </w:t>
      </w:r>
      <w:r>
        <w:rPr>
          <w:rFonts w:ascii="Times New Roman;Times;serif" w:hAnsi="Times New Roman;Times;serif"/>
          <w:sz w:val="20"/>
        </w:rPr>
        <w:t>time</w:t>
      </w:r>
      <w:r>
        <w:rPr>
          <w:rFonts w:ascii="Times New Roman;Times;serif" w:hAnsi="Times New Roman;Times;serif"/>
          <w:spacing w:val="5"/>
          <w:sz w:val="20"/>
        </w:rPr>
        <w:t xml:space="preserve"> </w:t>
      </w:r>
      <w:r>
        <w:rPr>
          <w:rFonts w:ascii="Times New Roman;Times;serif" w:hAnsi="Times New Roman;Times;serif"/>
          <w:sz w:val="20"/>
        </w:rPr>
        <w:t>of</w:t>
      </w:r>
      <w:r>
        <w:rPr>
          <w:rFonts w:ascii="Times New Roman;Times;serif" w:hAnsi="Times New Roman;Times;serif"/>
          <w:spacing w:val="4"/>
          <w:sz w:val="20"/>
        </w:rPr>
        <w:t xml:space="preserve"> </w:t>
      </w:r>
      <w:r>
        <w:rPr>
          <w:rFonts w:ascii="Times New Roman;Times;serif" w:hAnsi="Times New Roman;Times;serif"/>
          <w:sz w:val="20"/>
        </w:rPr>
        <w:t>the</w:t>
      </w:r>
      <w:r>
        <w:rPr>
          <w:rFonts w:ascii="Times New Roman;Times;serif" w:hAnsi="Times New Roman;Times;serif"/>
          <w:spacing w:val="5"/>
          <w:sz w:val="20"/>
        </w:rPr>
        <w:t xml:space="preserve"> </w:t>
      </w:r>
      <w:r>
        <w:rPr>
          <w:rFonts w:ascii="Times New Roman;Times;serif" w:hAnsi="Times New Roman;Times;serif"/>
          <w:sz w:val="20"/>
        </w:rPr>
        <w:t>CAOA</w:t>
      </w:r>
      <w:r>
        <w:rPr>
          <w:rFonts w:ascii="Times New Roman;Times;serif" w:hAnsi="Times New Roman;Times;serif"/>
          <w:spacing w:val="5"/>
          <w:sz w:val="20"/>
        </w:rPr>
        <w:t xml:space="preserve"> </w:t>
      </w:r>
      <w:r>
        <w:rPr>
          <w:rFonts w:ascii="Times New Roman;Times;serif" w:hAnsi="Times New Roman;Times;serif"/>
          <w:sz w:val="20"/>
        </w:rPr>
        <w:t>announcement,</w:t>
      </w:r>
      <w:r>
        <w:rPr>
          <w:rFonts w:ascii="Times New Roman;Times;serif" w:hAnsi="Times New Roman;Times;serif"/>
          <w:spacing w:val="6"/>
          <w:sz w:val="20"/>
        </w:rPr>
        <w:t xml:space="preserve"> </w:t>
      </w:r>
      <w:r>
        <w:rPr>
          <w:rFonts w:ascii="Times New Roman;Times;serif" w:hAnsi="Times New Roman;Times;serif"/>
          <w:sz w:val="20"/>
        </w:rPr>
        <w:t>Senator</w:t>
      </w:r>
      <w:r>
        <w:rPr>
          <w:rFonts w:ascii="Times New Roman;Times;serif" w:hAnsi="Times New Roman;Times;serif"/>
          <w:spacing w:val="4"/>
          <w:sz w:val="20"/>
        </w:rPr>
        <w:t xml:space="preserve"> </w:t>
      </w:r>
      <w:r>
        <w:rPr>
          <w:rFonts w:ascii="Times New Roman;Times;serif" w:hAnsi="Times New Roman;Times;serif"/>
          <w:sz w:val="20"/>
        </w:rPr>
        <w:t>Schumer indicated</w:t>
      </w:r>
      <w:r>
        <w:rPr>
          <w:rFonts w:ascii="Times New Roman;Times;serif" w:hAnsi="Times New Roman;Times;serif"/>
          <w:spacing w:val="6"/>
          <w:sz w:val="20"/>
        </w:rPr>
        <w:t xml:space="preserve"> </w:t>
      </w:r>
      <w:r>
        <w:rPr>
          <w:rFonts w:ascii="Times New Roman;Times;serif" w:hAnsi="Times New Roman;Times;serif"/>
          <w:sz w:val="20"/>
        </w:rPr>
        <w:t>the</w:t>
      </w:r>
      <w:r>
        <w:rPr>
          <w:rFonts w:ascii="Times New Roman;Times;serif" w:hAnsi="Times New Roman;Times;serif"/>
          <w:spacing w:val="5"/>
          <w:sz w:val="20"/>
        </w:rPr>
        <w:t xml:space="preserve"> </w:t>
      </w:r>
      <w:r>
        <w:rPr>
          <w:rFonts w:ascii="Times New Roman;Times;serif" w:hAnsi="Times New Roman;Times;serif"/>
          <w:sz w:val="20"/>
        </w:rPr>
        <w:t>bill</w:t>
      </w:r>
      <w:r>
        <w:rPr>
          <w:rFonts w:ascii="Times New Roman;Times;serif" w:hAnsi="Times New Roman;Times;serif"/>
          <w:spacing w:val="5"/>
          <w:sz w:val="20"/>
        </w:rPr>
        <w:t xml:space="preserve"> </w:t>
      </w:r>
      <w:r>
        <w:rPr>
          <w:rFonts w:ascii="Times New Roman;Times;serif" w:hAnsi="Times New Roman;Times;serif"/>
          <w:sz w:val="20"/>
        </w:rPr>
        <w:t>currently</w:t>
      </w:r>
      <w:r>
        <w:rPr>
          <w:rFonts w:ascii="Times New Roman;Times;serif" w:hAnsi="Times New Roman;Times;serif"/>
          <w:spacing w:val="4"/>
          <w:sz w:val="20"/>
        </w:rPr>
        <w:t xml:space="preserve"> </w:t>
      </w:r>
      <w:r>
        <w:rPr>
          <w:rFonts w:ascii="Times New Roman;Times;serif" w:hAnsi="Times New Roman;Times;serif"/>
          <w:sz w:val="20"/>
        </w:rPr>
        <w:t>did</w:t>
      </w:r>
      <w:r>
        <w:rPr>
          <w:rFonts w:ascii="Times New Roman;Times;serif" w:hAnsi="Times New Roman;Times;serif"/>
          <w:spacing w:val="4"/>
          <w:sz w:val="20"/>
        </w:rPr>
        <w:t xml:space="preserve"> </w:t>
      </w:r>
      <w:r>
        <w:rPr>
          <w:rFonts w:ascii="Times New Roman;Times;serif" w:hAnsi="Times New Roman;Times;serif"/>
          <w:sz w:val="20"/>
        </w:rPr>
        <w:t>not</w:t>
      </w:r>
      <w:r>
        <w:rPr>
          <w:rFonts w:ascii="Times New Roman;Times;serif" w:hAnsi="Times New Roman;Times;serif"/>
          <w:spacing w:val="5"/>
          <w:sz w:val="20"/>
        </w:rPr>
        <w:t xml:space="preserve"> </w:t>
      </w:r>
      <w:r>
        <w:rPr>
          <w:rFonts w:ascii="Times New Roman;Times;serif" w:hAnsi="Times New Roman;Times;serif"/>
          <w:sz w:val="20"/>
        </w:rPr>
        <w:t>have</w:t>
      </w:r>
      <w:r>
        <w:rPr>
          <w:rFonts w:ascii="Times New Roman;Times;serif" w:hAnsi="Times New Roman;Times;serif"/>
          <w:spacing w:val="5"/>
          <w:sz w:val="20"/>
        </w:rPr>
        <w:t xml:space="preserve"> </w:t>
      </w:r>
      <w:r>
        <w:rPr>
          <w:rFonts w:ascii="Times New Roman;Times;serif" w:hAnsi="Times New Roman;Times;serif"/>
          <w:sz w:val="20"/>
        </w:rPr>
        <w:t>sufficient</w:t>
      </w:r>
      <w:r>
        <w:rPr>
          <w:rFonts w:ascii="Times New Roman;Times;serif" w:hAnsi="Times New Roman;Times;serif"/>
          <w:spacing w:val="3"/>
          <w:sz w:val="20"/>
        </w:rPr>
        <w:t xml:space="preserve"> </w:t>
      </w:r>
      <w:r>
        <w:rPr>
          <w:rFonts w:ascii="Times New Roman;Times;serif" w:hAnsi="Times New Roman;Times;serif"/>
          <w:sz w:val="20"/>
        </w:rPr>
        <w:t>support</w:t>
      </w:r>
      <w:r>
        <w:rPr>
          <w:rFonts w:ascii="Times New Roman;Times;serif" w:hAnsi="Times New Roman;Times;serif"/>
          <w:spacing w:val="5"/>
          <w:sz w:val="20"/>
        </w:rPr>
        <w:t xml:space="preserve"> </w:t>
      </w:r>
      <w:r>
        <w:rPr>
          <w:rFonts w:ascii="Times New Roman;Times;serif" w:hAnsi="Times New Roman;Times;serif"/>
          <w:sz w:val="20"/>
        </w:rPr>
        <w:t>in</w:t>
      </w:r>
      <w:r>
        <w:rPr>
          <w:rFonts w:ascii="Times New Roman;Times;serif" w:hAnsi="Times New Roman;Times;serif"/>
          <w:spacing w:val="-2"/>
          <w:sz w:val="20"/>
        </w:rPr>
        <w:t xml:space="preserve"> </w:t>
      </w:r>
      <w:r>
        <w:rPr>
          <w:rFonts w:ascii="Times New Roman;Times;serif" w:hAnsi="Times New Roman;Times;serif"/>
          <w:sz w:val="20"/>
        </w:rPr>
        <w:t>the</w:t>
      </w:r>
      <w:r>
        <w:rPr>
          <w:rFonts w:ascii="Times New Roman;Times;serif" w:hAnsi="Times New Roman;Times;serif"/>
          <w:spacing w:val="22"/>
          <w:sz w:val="20"/>
        </w:rPr>
        <w:t xml:space="preserve"> </w:t>
      </w:r>
      <w:r>
        <w:rPr>
          <w:rFonts w:ascii="Times New Roman;Times;serif" w:hAnsi="Times New Roman;Times;serif"/>
          <w:sz w:val="20"/>
        </w:rPr>
        <w:t>Congress</w:t>
      </w:r>
      <w:r>
        <w:rPr>
          <w:rFonts w:ascii="Times New Roman;Times;serif" w:hAnsi="Times New Roman;Times;serif"/>
          <w:spacing w:val="21"/>
          <w:sz w:val="20"/>
        </w:rPr>
        <w:t xml:space="preserve"> </w:t>
      </w:r>
      <w:r>
        <w:rPr>
          <w:rFonts w:ascii="Times New Roman;Times;serif" w:hAnsi="Times New Roman;Times;serif"/>
          <w:sz w:val="20"/>
        </w:rPr>
        <w:t>to</w:t>
      </w:r>
      <w:r>
        <w:rPr>
          <w:rFonts w:ascii="Times New Roman;Times;serif" w:hAnsi="Times New Roman;Times;serif"/>
          <w:spacing w:val="23"/>
          <w:sz w:val="20"/>
        </w:rPr>
        <w:t xml:space="preserve"> </w:t>
      </w:r>
      <w:r>
        <w:rPr>
          <w:rFonts w:ascii="Times New Roman;Times;serif" w:hAnsi="Times New Roman;Times;serif"/>
          <w:sz w:val="20"/>
        </w:rPr>
        <w:t>pass.</w:t>
      </w:r>
      <w:r>
        <w:rPr>
          <w:rFonts w:ascii="Times New Roman;Times;serif" w:hAnsi="Times New Roman;Times;serif"/>
          <w:spacing w:val="23"/>
          <w:sz w:val="20"/>
        </w:rPr>
        <w:t xml:space="preserve"> </w:t>
      </w:r>
      <w:r>
        <w:rPr>
          <w:rFonts w:ascii="Times New Roman;Times;serif" w:hAnsi="Times New Roman;Times;serif"/>
          <w:sz w:val="20"/>
        </w:rPr>
        <w:t>Although</w:t>
      </w:r>
      <w:r>
        <w:rPr>
          <w:rFonts w:ascii="Times New Roman;Times;serif" w:hAnsi="Times New Roman;Times;serif"/>
          <w:spacing w:val="23"/>
          <w:sz w:val="20"/>
        </w:rPr>
        <w:t xml:space="preserve"> </w:t>
      </w:r>
      <w:r>
        <w:rPr>
          <w:rFonts w:ascii="Times New Roman;Times;serif" w:hAnsi="Times New Roman;Times;serif"/>
          <w:sz w:val="20"/>
        </w:rPr>
        <w:t>he</w:t>
      </w:r>
      <w:r>
        <w:rPr>
          <w:rFonts w:ascii="Times New Roman;Times;serif" w:hAnsi="Times New Roman;Times;serif"/>
          <w:spacing w:val="20"/>
          <w:sz w:val="20"/>
        </w:rPr>
        <w:t xml:space="preserve"> </w:t>
      </w:r>
      <w:r>
        <w:rPr>
          <w:rFonts w:ascii="Times New Roman;Times;serif" w:hAnsi="Times New Roman;Times;serif"/>
          <w:sz w:val="20"/>
        </w:rPr>
        <w:t>originally</w:t>
      </w:r>
      <w:r>
        <w:rPr>
          <w:rFonts w:ascii="Times New Roman;Times;serif" w:hAnsi="Times New Roman;Times;serif"/>
          <w:spacing w:val="23"/>
          <w:sz w:val="20"/>
        </w:rPr>
        <w:t xml:space="preserve"> </w:t>
      </w:r>
      <w:r>
        <w:rPr>
          <w:rFonts w:ascii="Times New Roman;Times;serif" w:hAnsi="Times New Roman;Times;serif"/>
          <w:sz w:val="20"/>
        </w:rPr>
        <w:t>targeted</w:t>
      </w:r>
      <w:r>
        <w:rPr>
          <w:rFonts w:ascii="Times New Roman;Times;serif" w:hAnsi="Times New Roman;Times;serif"/>
          <w:spacing w:val="23"/>
          <w:sz w:val="20"/>
        </w:rPr>
        <w:t xml:space="preserve"> </w:t>
      </w:r>
      <w:r>
        <w:rPr>
          <w:rFonts w:ascii="Times New Roman;Times;serif" w:hAnsi="Times New Roman;Times;serif"/>
          <w:sz w:val="20"/>
        </w:rPr>
        <w:t>Spring</w:t>
      </w:r>
      <w:r>
        <w:rPr>
          <w:rFonts w:ascii="Times New Roman;Times;serif" w:hAnsi="Times New Roman;Times;serif"/>
          <w:spacing w:val="23"/>
          <w:sz w:val="20"/>
        </w:rPr>
        <w:t xml:space="preserve"> </w:t>
      </w:r>
      <w:r>
        <w:rPr>
          <w:rFonts w:ascii="Times New Roman;Times;serif" w:hAnsi="Times New Roman;Times;serif"/>
          <w:sz w:val="20"/>
        </w:rPr>
        <w:t>2022</w:t>
      </w:r>
      <w:r>
        <w:rPr>
          <w:rFonts w:ascii="Times New Roman;Times;serif" w:hAnsi="Times New Roman;Times;serif"/>
          <w:spacing w:val="21"/>
          <w:sz w:val="20"/>
        </w:rPr>
        <w:t xml:space="preserve"> </w:t>
      </w:r>
      <w:r>
        <w:rPr>
          <w:rFonts w:ascii="Times New Roman;Times;serif" w:hAnsi="Times New Roman;Times;serif"/>
          <w:sz w:val="20"/>
        </w:rPr>
        <w:t>for</w:t>
      </w:r>
      <w:r>
        <w:rPr>
          <w:rFonts w:ascii="Times New Roman;Times;serif" w:hAnsi="Times New Roman;Times;serif"/>
          <w:spacing w:val="20"/>
          <w:sz w:val="20"/>
        </w:rPr>
        <w:t xml:space="preserve"> </w:t>
      </w:r>
      <w:r>
        <w:rPr>
          <w:rFonts w:ascii="Times New Roman;Times;serif" w:hAnsi="Times New Roman;Times;serif"/>
          <w:sz w:val="20"/>
        </w:rPr>
        <w:t>passage</w:t>
      </w:r>
      <w:r>
        <w:rPr>
          <w:rFonts w:ascii="Times New Roman;Times;serif" w:hAnsi="Times New Roman;Times;serif"/>
          <w:spacing w:val="22"/>
          <w:sz w:val="20"/>
        </w:rPr>
        <w:t xml:space="preserve"> </w:t>
      </w:r>
      <w:r>
        <w:rPr>
          <w:rFonts w:ascii="Times New Roman;Times;serif" w:hAnsi="Times New Roman;Times;serif"/>
          <w:sz w:val="20"/>
        </w:rPr>
        <w:t>of</w:t>
      </w:r>
      <w:r>
        <w:rPr>
          <w:rFonts w:ascii="Times New Roman;Times;serif" w:hAnsi="Times New Roman;Times;serif"/>
          <w:spacing w:val="20"/>
          <w:sz w:val="20"/>
        </w:rPr>
        <w:t xml:space="preserve"> </w:t>
      </w:r>
      <w:r>
        <w:rPr>
          <w:rFonts w:ascii="Times New Roman;Times;serif" w:hAnsi="Times New Roman;Times;serif"/>
          <w:sz w:val="20"/>
        </w:rPr>
        <w:t>legislation</w:t>
      </w:r>
      <w:r>
        <w:rPr>
          <w:rFonts w:ascii="Times New Roman;Times;serif" w:hAnsi="Times New Roman;Times;serif"/>
          <w:spacing w:val="23"/>
          <w:sz w:val="20"/>
        </w:rPr>
        <w:t xml:space="preserve"> </w:t>
      </w:r>
      <w:r>
        <w:rPr>
          <w:rFonts w:ascii="Times New Roman;Times;serif" w:hAnsi="Times New Roman;Times;serif"/>
          <w:sz w:val="20"/>
        </w:rPr>
        <w:t>based</w:t>
      </w:r>
      <w:r>
        <w:rPr>
          <w:rFonts w:ascii="Times New Roman;Times;serif" w:hAnsi="Times New Roman;Times;serif"/>
          <w:spacing w:val="21"/>
          <w:sz w:val="20"/>
        </w:rPr>
        <w:t xml:space="preserve"> </w:t>
      </w:r>
      <w:r>
        <w:rPr>
          <w:rFonts w:ascii="Times New Roman;Times;serif" w:hAnsi="Times New Roman;Times;serif"/>
          <w:sz w:val="20"/>
        </w:rPr>
        <w:t>on</w:t>
      </w:r>
      <w:r>
        <w:rPr>
          <w:rFonts w:ascii="Times New Roman;Times;serif" w:hAnsi="Times New Roman;Times;serif"/>
          <w:spacing w:val="23"/>
          <w:sz w:val="20"/>
        </w:rPr>
        <w:t xml:space="preserve"> </w:t>
      </w:r>
      <w:r>
        <w:rPr>
          <w:rFonts w:ascii="Times New Roman;Times;serif" w:hAnsi="Times New Roman;Times;serif"/>
          <w:sz w:val="20"/>
        </w:rPr>
        <w:t>the</w:t>
      </w:r>
      <w:r>
        <w:rPr>
          <w:rFonts w:ascii="Times New Roman;Times;serif" w:hAnsi="Times New Roman;Times;serif"/>
          <w:spacing w:val="20"/>
          <w:sz w:val="20"/>
        </w:rPr>
        <w:t xml:space="preserve"> </w:t>
      </w:r>
      <w:r>
        <w:rPr>
          <w:rFonts w:ascii="Times New Roman;Times;serif" w:hAnsi="Times New Roman;Times;serif"/>
          <w:sz w:val="20"/>
        </w:rPr>
        <w:t>CAOA</w:t>
      </w:r>
      <w:r>
        <w:rPr>
          <w:rFonts w:ascii="Times New Roman;Times;serif" w:hAnsi="Times New Roman;Times;serif"/>
          <w:spacing w:val="22"/>
          <w:sz w:val="20"/>
        </w:rPr>
        <w:t xml:space="preserve"> </w:t>
      </w:r>
      <w:r>
        <w:rPr>
          <w:rFonts w:ascii="Times New Roman;Times;serif" w:hAnsi="Times New Roman;Times;serif"/>
          <w:sz w:val="20"/>
        </w:rPr>
        <w:t>draft,</w:t>
      </w:r>
      <w:r>
        <w:rPr>
          <w:rFonts w:ascii="Times New Roman;Times;serif" w:hAnsi="Times New Roman;Times;serif"/>
          <w:spacing w:val="23"/>
          <w:sz w:val="20"/>
        </w:rPr>
        <w:t xml:space="preserve"> </w:t>
      </w:r>
      <w:r>
        <w:rPr>
          <w:rFonts w:ascii="Times New Roman;Times;serif" w:hAnsi="Times New Roman;Times;serif"/>
          <w:sz w:val="20"/>
        </w:rPr>
        <w:t>he</w:t>
      </w:r>
      <w:r>
        <w:rPr>
          <w:rFonts w:ascii="Times New Roman;Times;serif" w:hAnsi="Times New Roman;Times;serif"/>
          <w:spacing w:val="22"/>
          <w:sz w:val="20"/>
        </w:rPr>
        <w:t xml:space="preserve"> </w:t>
      </w:r>
      <w:r>
        <w:rPr>
          <w:rFonts w:ascii="Times New Roman;Times;serif" w:hAnsi="Times New Roman;Times;serif"/>
          <w:sz w:val="20"/>
        </w:rPr>
        <w:t>then shifted to</w:t>
      </w:r>
      <w:r>
        <w:rPr>
          <w:rFonts w:ascii="Times New Roman;Times;serif" w:hAnsi="Times New Roman;Times;serif"/>
          <w:spacing w:val="4"/>
          <w:sz w:val="20"/>
        </w:rPr>
        <w:t xml:space="preserve"> </w:t>
      </w:r>
      <w:r>
        <w:rPr>
          <w:rFonts w:ascii="Times New Roman;Times;serif" w:hAnsi="Times New Roman;Times;serif"/>
          <w:sz w:val="20"/>
        </w:rPr>
        <w:t>introducing</w:t>
      </w:r>
      <w:r>
        <w:rPr>
          <w:rFonts w:ascii="Times New Roman;Times;serif" w:hAnsi="Times New Roman;Times;serif"/>
          <w:spacing w:val="4"/>
          <w:sz w:val="20"/>
        </w:rPr>
        <w:t xml:space="preserve"> </w:t>
      </w:r>
      <w:r>
        <w:rPr>
          <w:rFonts w:ascii="Times New Roman;Times;serif" w:hAnsi="Times New Roman;Times;serif"/>
          <w:sz w:val="20"/>
        </w:rPr>
        <w:t>of</w:t>
      </w:r>
      <w:r>
        <w:rPr>
          <w:rFonts w:ascii="Times New Roman;Times;serif" w:hAnsi="Times New Roman;Times;serif"/>
          <w:spacing w:val="4"/>
          <w:sz w:val="20"/>
        </w:rPr>
        <w:t xml:space="preserve"> </w:t>
      </w:r>
      <w:r>
        <w:rPr>
          <w:rFonts w:ascii="Times New Roman;Times;serif" w:hAnsi="Times New Roman;Times;serif"/>
          <w:sz w:val="20"/>
        </w:rPr>
        <w:t>a</w:t>
      </w:r>
      <w:r>
        <w:rPr>
          <w:rFonts w:ascii="Times New Roman;Times;serif" w:hAnsi="Times New Roman;Times;serif"/>
          <w:spacing w:val="3"/>
          <w:sz w:val="20"/>
        </w:rPr>
        <w:t xml:space="preserve"> </w:t>
      </w:r>
      <w:r>
        <w:rPr>
          <w:rFonts w:ascii="Times New Roman;Times;serif" w:hAnsi="Times New Roman;Times;serif"/>
          <w:sz w:val="20"/>
        </w:rPr>
        <w:t>revised</w:t>
      </w:r>
      <w:r>
        <w:rPr>
          <w:rFonts w:ascii="Times New Roman;Times;serif" w:hAnsi="Times New Roman;Times;serif"/>
          <w:spacing w:val="4"/>
          <w:sz w:val="20"/>
        </w:rPr>
        <w:t xml:space="preserve"> </w:t>
      </w:r>
      <w:r>
        <w:rPr>
          <w:rFonts w:ascii="Times New Roman;Times;serif" w:hAnsi="Times New Roman;Times;serif"/>
          <w:sz w:val="20"/>
        </w:rPr>
        <w:t>draft</w:t>
      </w:r>
      <w:r>
        <w:rPr>
          <w:rFonts w:ascii="Times New Roman;Times;serif" w:hAnsi="Times New Roman;Times;serif"/>
          <w:spacing w:val="3"/>
          <w:sz w:val="20"/>
        </w:rPr>
        <w:t xml:space="preserve"> </w:t>
      </w:r>
      <w:r>
        <w:rPr>
          <w:rFonts w:ascii="Times New Roman;Times;serif" w:hAnsi="Times New Roman;Times;serif"/>
          <w:sz w:val="20"/>
        </w:rPr>
        <w:t>of</w:t>
      </w:r>
      <w:r>
        <w:rPr>
          <w:rFonts w:ascii="Times New Roman;Times;serif" w:hAnsi="Times New Roman;Times;serif"/>
          <w:spacing w:val="4"/>
          <w:sz w:val="20"/>
        </w:rPr>
        <w:t xml:space="preserve"> </w:t>
      </w:r>
      <w:r>
        <w:rPr>
          <w:rFonts w:ascii="Times New Roman;Times;serif" w:hAnsi="Times New Roman;Times;serif"/>
          <w:sz w:val="20"/>
        </w:rPr>
        <w:t>the</w:t>
      </w:r>
      <w:r>
        <w:rPr>
          <w:rFonts w:ascii="Times New Roman;Times;serif" w:hAnsi="Times New Roman;Times;serif"/>
          <w:spacing w:val="3"/>
          <w:sz w:val="20"/>
        </w:rPr>
        <w:t xml:space="preserve"> </w:t>
      </w:r>
      <w:r>
        <w:rPr>
          <w:rFonts w:ascii="Times New Roman;Times;serif" w:hAnsi="Times New Roman;Times;serif"/>
          <w:sz w:val="20"/>
        </w:rPr>
        <w:t>CAOA</w:t>
      </w:r>
      <w:r>
        <w:rPr>
          <w:rFonts w:ascii="Times New Roman;Times;serif" w:hAnsi="Times New Roman;Times;serif"/>
          <w:spacing w:val="3"/>
          <w:sz w:val="20"/>
        </w:rPr>
        <w:t xml:space="preserve"> </w:t>
      </w:r>
      <w:r>
        <w:rPr>
          <w:rFonts w:ascii="Times New Roman;Times;serif" w:hAnsi="Times New Roman;Times;serif"/>
          <w:sz w:val="20"/>
        </w:rPr>
        <w:t>in</w:t>
      </w:r>
      <w:r>
        <w:rPr>
          <w:rFonts w:ascii="Times New Roman;Times;serif" w:hAnsi="Times New Roman;Times;serif"/>
          <w:spacing w:val="4"/>
          <w:sz w:val="20"/>
        </w:rPr>
        <w:t xml:space="preserve"> </w:t>
      </w:r>
      <w:r>
        <w:rPr>
          <w:rFonts w:ascii="Times New Roman;Times;serif" w:hAnsi="Times New Roman;Times;serif"/>
          <w:sz w:val="20"/>
        </w:rPr>
        <w:t>the</w:t>
      </w:r>
      <w:r>
        <w:rPr>
          <w:rFonts w:ascii="Times New Roman;Times;serif" w:hAnsi="Times New Roman;Times;serif"/>
          <w:spacing w:val="3"/>
          <w:sz w:val="20"/>
        </w:rPr>
        <w:t xml:space="preserve"> </w:t>
      </w:r>
      <w:r>
        <w:rPr>
          <w:rFonts w:ascii="Times New Roman;Times;serif" w:hAnsi="Times New Roman;Times;serif"/>
          <w:sz w:val="20"/>
        </w:rPr>
        <w:t>Senate</w:t>
      </w:r>
      <w:r>
        <w:rPr>
          <w:rFonts w:ascii="Times New Roman;Times;serif" w:hAnsi="Times New Roman;Times;serif"/>
          <w:spacing w:val="3"/>
          <w:sz w:val="20"/>
        </w:rPr>
        <w:t xml:space="preserve"> </w:t>
      </w:r>
      <w:r>
        <w:rPr>
          <w:rFonts w:ascii="Times New Roman;Times;serif" w:hAnsi="Times New Roman;Times;serif"/>
          <w:sz w:val="20"/>
        </w:rPr>
        <w:t>in</w:t>
      </w:r>
      <w:r>
        <w:rPr>
          <w:rFonts w:ascii="Times New Roman;Times;serif" w:hAnsi="Times New Roman;Times;serif"/>
          <w:spacing w:val="4"/>
          <w:sz w:val="20"/>
        </w:rPr>
        <w:t xml:space="preserve"> </w:t>
      </w:r>
      <w:r>
        <w:rPr>
          <w:rFonts w:ascii="Times New Roman;Times;serif" w:hAnsi="Times New Roman;Times;serif"/>
          <w:sz w:val="20"/>
        </w:rPr>
        <w:t>April</w:t>
      </w:r>
      <w:r>
        <w:rPr>
          <w:rFonts w:ascii="Times New Roman;Times;serif" w:hAnsi="Times New Roman;Times;serif"/>
          <w:spacing w:val="3"/>
          <w:sz w:val="20"/>
        </w:rPr>
        <w:t xml:space="preserve"> </w:t>
      </w:r>
      <w:r>
        <w:rPr>
          <w:rFonts w:ascii="Times New Roman;Times;serif" w:hAnsi="Times New Roman;Times;serif"/>
          <w:sz w:val="20"/>
        </w:rPr>
        <w:t>2022</w:t>
      </w:r>
      <w:r>
        <w:rPr>
          <w:rFonts w:ascii="Times New Roman;Times;serif" w:hAnsi="Times New Roman;Times;serif"/>
          <w:spacing w:val="3"/>
          <w:sz w:val="20"/>
        </w:rPr>
        <w:t xml:space="preserve">.  As introduced, </w:t>
      </w:r>
      <w:r>
        <w:rPr>
          <w:rFonts w:ascii="Times New Roman;Times;serif" w:hAnsi="Times New Roman;Times;serif"/>
          <w:sz w:val="20"/>
        </w:rPr>
        <w:t>the</w:t>
      </w:r>
      <w:r>
        <w:rPr>
          <w:rFonts w:ascii="Times New Roman;Times;serif" w:hAnsi="Times New Roman;Times;serif"/>
          <w:spacing w:val="10"/>
          <w:sz w:val="20"/>
        </w:rPr>
        <w:t xml:space="preserve"> </w:t>
      </w:r>
      <w:r>
        <w:rPr>
          <w:rFonts w:ascii="Times New Roman;Times;serif" w:hAnsi="Times New Roman;Times;serif"/>
          <w:sz w:val="20"/>
        </w:rPr>
        <w:t>CAOA</w:t>
      </w:r>
      <w:r>
        <w:rPr>
          <w:rFonts w:ascii="Times New Roman;Times;serif" w:hAnsi="Times New Roman;Times;serif"/>
          <w:spacing w:val="10"/>
          <w:sz w:val="20"/>
        </w:rPr>
        <w:t xml:space="preserve"> </w:t>
      </w:r>
      <w:r>
        <w:rPr>
          <w:rFonts w:ascii="Times New Roman;Times;serif" w:hAnsi="Times New Roman;Times;serif"/>
          <w:sz w:val="20"/>
        </w:rPr>
        <w:t>lacked</w:t>
      </w:r>
      <w:r>
        <w:rPr>
          <w:rFonts w:ascii="Times New Roman;Times;serif" w:hAnsi="Times New Roman;Times;serif"/>
          <w:spacing w:val="9"/>
          <w:sz w:val="20"/>
        </w:rPr>
        <w:t xml:space="preserve"> </w:t>
      </w:r>
      <w:r>
        <w:rPr>
          <w:rFonts w:ascii="Times New Roman;Times;serif" w:hAnsi="Times New Roman;Times;serif"/>
          <w:sz w:val="20"/>
        </w:rPr>
        <w:t>clarity</w:t>
      </w:r>
      <w:r>
        <w:rPr>
          <w:rFonts w:ascii="Times New Roman;Times;serif" w:hAnsi="Times New Roman;Times;serif"/>
          <w:spacing w:val="11"/>
          <w:sz w:val="20"/>
        </w:rPr>
        <w:t xml:space="preserve"> </w:t>
      </w:r>
      <w:r>
        <w:rPr>
          <w:rFonts w:ascii="Times New Roman;Times;serif" w:hAnsi="Times New Roman;Times;serif"/>
          <w:sz w:val="20"/>
        </w:rPr>
        <w:t>regarding</w:t>
      </w:r>
      <w:r>
        <w:rPr>
          <w:rFonts w:ascii="Times New Roman;Times;serif" w:hAnsi="Times New Roman;Times;serif"/>
          <w:spacing w:val="11"/>
          <w:sz w:val="20"/>
        </w:rPr>
        <w:t xml:space="preserve"> </w:t>
      </w:r>
      <w:r>
        <w:rPr>
          <w:rFonts w:ascii="Times New Roman;Times;serif" w:hAnsi="Times New Roman;Times;serif"/>
          <w:sz w:val="20"/>
        </w:rPr>
        <w:t>the</w:t>
      </w:r>
      <w:r>
        <w:rPr>
          <w:rFonts w:ascii="Times New Roman;Times;serif" w:hAnsi="Times New Roman;Times;serif"/>
          <w:spacing w:val="-1"/>
          <w:sz w:val="20"/>
        </w:rPr>
        <w:t xml:space="preserve"> </w:t>
      </w:r>
      <w:r>
        <w:rPr>
          <w:rFonts w:ascii="Times New Roman;Times;serif" w:hAnsi="Times New Roman;Times;serif"/>
          <w:sz w:val="20"/>
        </w:rPr>
        <w:t>transition</w:t>
      </w:r>
      <w:r>
        <w:rPr>
          <w:rFonts w:ascii="Times New Roman;Times;serif" w:hAnsi="Times New Roman;Times;serif"/>
          <w:spacing w:val="4"/>
          <w:sz w:val="20"/>
        </w:rPr>
        <w:t xml:space="preserve"> </w:t>
      </w:r>
      <w:r>
        <w:rPr>
          <w:rFonts w:ascii="Times New Roman;Times;serif" w:hAnsi="Times New Roman;Times;serif"/>
          <w:sz w:val="20"/>
        </w:rPr>
        <w:t>of cannabis</w:t>
      </w:r>
      <w:r>
        <w:rPr>
          <w:rFonts w:ascii="Times New Roman;Times;serif" w:hAnsi="Times New Roman;Times;serif"/>
          <w:spacing w:val="2"/>
          <w:sz w:val="20"/>
        </w:rPr>
        <w:t xml:space="preserve"> </w:t>
      </w:r>
      <w:r>
        <w:rPr>
          <w:rFonts w:ascii="Times New Roman;Times;serif" w:hAnsi="Times New Roman;Times;serif"/>
          <w:sz w:val="20"/>
        </w:rPr>
        <w:t>control from the</w:t>
      </w:r>
      <w:r>
        <w:rPr>
          <w:rFonts w:ascii="Times New Roman;Times;serif" w:hAnsi="Times New Roman;Times;serif"/>
          <w:spacing w:val="3"/>
          <w:sz w:val="20"/>
        </w:rPr>
        <w:t xml:space="preserve"> </w:t>
      </w:r>
      <w:r>
        <w:rPr>
          <w:rFonts w:ascii="Times New Roman;Times;serif" w:hAnsi="Times New Roman;Times;serif"/>
          <w:sz w:val="20"/>
        </w:rPr>
        <w:t>DEA</w:t>
      </w:r>
      <w:r>
        <w:rPr>
          <w:rFonts w:ascii="Times New Roman;Times;serif" w:hAnsi="Times New Roman;Times;serif"/>
          <w:spacing w:val="3"/>
          <w:sz w:val="20"/>
        </w:rPr>
        <w:t xml:space="preserve"> </w:t>
      </w:r>
      <w:r>
        <w:rPr>
          <w:rFonts w:ascii="Times New Roman;Times;serif" w:hAnsi="Times New Roman;Times;serif"/>
          <w:sz w:val="20"/>
        </w:rPr>
        <w:t>to</w:t>
      </w:r>
      <w:r>
        <w:rPr>
          <w:rFonts w:ascii="Times New Roman;Times;serif" w:hAnsi="Times New Roman;Times;serif"/>
          <w:spacing w:val="4"/>
          <w:sz w:val="20"/>
        </w:rPr>
        <w:t xml:space="preserve"> </w:t>
      </w:r>
      <w:r>
        <w:rPr>
          <w:rFonts w:ascii="Times New Roman;Times;serif" w:hAnsi="Times New Roman;Times;serif"/>
          <w:sz w:val="20"/>
        </w:rPr>
        <w:t>TTB</w:t>
      </w:r>
      <w:r>
        <w:rPr>
          <w:rFonts w:ascii="Times New Roman;Times;serif" w:hAnsi="Times New Roman;Times;serif"/>
          <w:spacing w:val="2"/>
          <w:sz w:val="20"/>
        </w:rPr>
        <w:t xml:space="preserve"> </w:t>
      </w:r>
      <w:r>
        <w:rPr>
          <w:rFonts w:ascii="Times New Roman;Times;serif" w:hAnsi="Times New Roman;Times;serif"/>
          <w:sz w:val="20"/>
        </w:rPr>
        <w:t>and</w:t>
      </w:r>
      <w:r>
        <w:rPr>
          <w:rFonts w:ascii="Times New Roman;Times;serif" w:hAnsi="Times New Roman;Times;serif"/>
          <w:spacing w:val="4"/>
          <w:sz w:val="20"/>
        </w:rPr>
        <w:t xml:space="preserve"> </w:t>
      </w:r>
      <w:r>
        <w:rPr>
          <w:rFonts w:ascii="Times New Roman;Times;serif" w:hAnsi="Times New Roman;Times;serif"/>
          <w:sz w:val="20"/>
        </w:rPr>
        <w:t>the FDA,</w:t>
      </w:r>
      <w:r>
        <w:rPr>
          <w:rFonts w:ascii="Times New Roman;Times;serif" w:hAnsi="Times New Roman;Times;serif"/>
          <w:spacing w:val="3"/>
          <w:sz w:val="20"/>
        </w:rPr>
        <w:t xml:space="preserve"> </w:t>
      </w:r>
      <w:r>
        <w:rPr>
          <w:rFonts w:ascii="Times New Roman;Times;serif" w:hAnsi="Times New Roman;Times;serif"/>
          <w:sz w:val="20"/>
        </w:rPr>
        <w:t>which</w:t>
      </w:r>
      <w:r>
        <w:rPr>
          <w:rFonts w:ascii="Times New Roman;Times;serif" w:hAnsi="Times New Roman;Times;serif"/>
          <w:spacing w:val="2"/>
          <w:sz w:val="20"/>
        </w:rPr>
        <w:t xml:space="preserve"> </w:t>
      </w:r>
      <w:r>
        <w:rPr>
          <w:rFonts w:ascii="Times New Roman;Times;serif" w:hAnsi="Times New Roman;Times;serif"/>
          <w:sz w:val="20"/>
        </w:rPr>
        <w:t>presents</w:t>
      </w:r>
      <w:r>
        <w:rPr>
          <w:rFonts w:ascii="Times New Roman;Times;serif" w:hAnsi="Times New Roman;Times;serif"/>
          <w:spacing w:val="2"/>
          <w:sz w:val="20"/>
        </w:rPr>
        <w:t xml:space="preserve"> </w:t>
      </w:r>
      <w:r>
        <w:rPr>
          <w:rFonts w:ascii="Times New Roman;Times;serif" w:hAnsi="Times New Roman;Times;serif"/>
          <w:sz w:val="20"/>
        </w:rPr>
        <w:t>the risk</w:t>
      </w:r>
      <w:r>
        <w:rPr>
          <w:rFonts w:ascii="Times New Roman;Times;serif" w:hAnsi="Times New Roman;Times;serif"/>
          <w:spacing w:val="4"/>
          <w:sz w:val="20"/>
        </w:rPr>
        <w:t xml:space="preserve"> </w:t>
      </w:r>
      <w:r>
        <w:rPr>
          <w:rFonts w:ascii="Times New Roman;Times;serif" w:hAnsi="Times New Roman;Times;serif"/>
          <w:sz w:val="20"/>
        </w:rPr>
        <w:t>that</w:t>
      </w:r>
      <w:r>
        <w:rPr>
          <w:rFonts w:ascii="Times New Roman;Times;serif" w:hAnsi="Times New Roman;Times;serif"/>
          <w:spacing w:val="3"/>
          <w:sz w:val="20"/>
        </w:rPr>
        <w:t xml:space="preserve"> </w:t>
      </w:r>
      <w:r>
        <w:rPr>
          <w:rFonts w:ascii="Times New Roman;Times;serif" w:hAnsi="Times New Roman;Times;serif"/>
          <w:sz w:val="20"/>
        </w:rPr>
        <w:t>existing operators</w:t>
      </w:r>
      <w:r>
        <w:rPr>
          <w:rFonts w:ascii="Times New Roman;Times;serif" w:hAnsi="Times New Roman;Times;serif"/>
          <w:spacing w:val="2"/>
          <w:sz w:val="20"/>
        </w:rPr>
        <w:t xml:space="preserve"> </w:t>
      </w:r>
      <w:r>
        <w:rPr>
          <w:rFonts w:ascii="Times New Roman;Times;serif" w:hAnsi="Times New Roman;Times;serif"/>
          <w:sz w:val="20"/>
        </w:rPr>
        <w:t>may</w:t>
      </w:r>
      <w:r>
        <w:rPr>
          <w:rFonts w:ascii="Times New Roman;Times;serif" w:hAnsi="Times New Roman;Times;serif"/>
          <w:spacing w:val="4"/>
          <w:sz w:val="20"/>
        </w:rPr>
        <w:t xml:space="preserve"> </w:t>
      </w:r>
      <w:r>
        <w:rPr>
          <w:rFonts w:ascii="Times New Roman;Times;serif" w:hAnsi="Times New Roman;Times;serif"/>
          <w:sz w:val="20"/>
        </w:rPr>
        <w:t>face</w:t>
      </w:r>
      <w:r>
        <w:rPr>
          <w:rFonts w:ascii="Times New Roman;Times;serif" w:hAnsi="Times New Roman;Times;serif"/>
          <w:spacing w:val="3"/>
          <w:sz w:val="20"/>
        </w:rPr>
        <w:t xml:space="preserve"> </w:t>
      </w:r>
      <w:r>
        <w:rPr>
          <w:rFonts w:ascii="Times New Roman;Times;serif" w:hAnsi="Times New Roman;Times;serif"/>
          <w:sz w:val="20"/>
        </w:rPr>
        <w:t>a</w:t>
      </w:r>
      <w:r>
        <w:rPr>
          <w:rFonts w:ascii="Times New Roman;Times;serif" w:hAnsi="Times New Roman;Times;serif"/>
          <w:spacing w:val="3"/>
          <w:sz w:val="20"/>
        </w:rPr>
        <w:t xml:space="preserve"> </w:t>
      </w:r>
      <w:r>
        <w:rPr>
          <w:rFonts w:ascii="Times New Roman;Times;serif" w:hAnsi="Times New Roman;Times;serif"/>
          <w:sz w:val="20"/>
        </w:rPr>
        <w:t>period of</w:t>
      </w:r>
      <w:r>
        <w:rPr>
          <w:rFonts w:ascii="Times New Roman;Times;serif" w:hAnsi="Times New Roman;Times;serif"/>
          <w:spacing w:val="-4"/>
          <w:sz w:val="20"/>
        </w:rPr>
        <w:t xml:space="preserve"> </w:t>
      </w:r>
      <w:r>
        <w:rPr>
          <w:rFonts w:ascii="Times New Roman;Times;serif" w:hAnsi="Times New Roman;Times;serif"/>
          <w:sz w:val="20"/>
        </w:rPr>
        <w:t>regulatory</w:t>
      </w:r>
      <w:r>
        <w:rPr>
          <w:rFonts w:ascii="Times New Roman;Times;serif" w:hAnsi="Times New Roman;Times;serif"/>
          <w:spacing w:val="-12"/>
          <w:sz w:val="20"/>
        </w:rPr>
        <w:t xml:space="preserve"> </w:t>
      </w:r>
      <w:r>
        <w:rPr>
          <w:rFonts w:ascii="Times New Roman;Times;serif" w:hAnsi="Times New Roman;Times;serif"/>
          <w:sz w:val="20"/>
        </w:rPr>
        <w:t>uncertain</w:t>
      </w:r>
      <w:r>
        <w:rPr>
          <w:rFonts w:ascii="Times New Roman;Times;serif" w:hAnsi="Times New Roman;Times;serif"/>
          <w:spacing w:val="-12"/>
          <w:sz w:val="20"/>
        </w:rPr>
        <w:t xml:space="preserve"> </w:t>
      </w:r>
      <w:r>
        <w:rPr>
          <w:rFonts w:ascii="Times New Roman;Times;serif" w:hAnsi="Times New Roman;Times;serif"/>
          <w:sz w:val="20"/>
        </w:rPr>
        <w:t>if</w:t>
      </w:r>
      <w:r>
        <w:rPr>
          <w:rFonts w:ascii="Times New Roman;Times;serif" w:hAnsi="Times New Roman;Times;serif"/>
          <w:spacing w:val="-12"/>
          <w:sz w:val="20"/>
        </w:rPr>
        <w:t xml:space="preserve"> </w:t>
      </w:r>
      <w:r>
        <w:rPr>
          <w:rFonts w:ascii="Times New Roman;Times;serif" w:hAnsi="Times New Roman;Times;serif"/>
          <w:sz w:val="20"/>
        </w:rPr>
        <w:t>legislation</w:t>
      </w:r>
      <w:r>
        <w:rPr>
          <w:rFonts w:ascii="Times New Roman;Times;serif" w:hAnsi="Times New Roman;Times;serif"/>
          <w:spacing w:val="-12"/>
          <w:sz w:val="20"/>
        </w:rPr>
        <w:t xml:space="preserve"> </w:t>
      </w:r>
      <w:r>
        <w:rPr>
          <w:rFonts w:ascii="Times New Roman;Times;serif" w:hAnsi="Times New Roman;Times;serif"/>
          <w:sz w:val="20"/>
        </w:rPr>
        <w:t>similar</w:t>
      </w:r>
      <w:r>
        <w:rPr>
          <w:rFonts w:ascii="Times New Roman;Times;serif" w:hAnsi="Times New Roman;Times;serif"/>
          <w:spacing w:val="-12"/>
          <w:sz w:val="20"/>
        </w:rPr>
        <w:t xml:space="preserve"> </w:t>
      </w:r>
      <w:r>
        <w:rPr>
          <w:rFonts w:ascii="Times New Roman;Times;serif" w:hAnsi="Times New Roman;Times;serif"/>
          <w:sz w:val="20"/>
        </w:rPr>
        <w:t>to</w:t>
      </w:r>
      <w:r>
        <w:rPr>
          <w:rFonts w:ascii="Times New Roman;Times;serif" w:hAnsi="Times New Roman;Times;serif"/>
          <w:spacing w:val="-12"/>
          <w:sz w:val="20"/>
        </w:rPr>
        <w:t xml:space="preserve"> </w:t>
      </w:r>
      <w:r>
        <w:rPr>
          <w:rFonts w:ascii="Times New Roman;Times;serif" w:hAnsi="Times New Roman;Times;serif"/>
          <w:sz w:val="20"/>
        </w:rPr>
        <w:t>the</w:t>
      </w:r>
      <w:r>
        <w:rPr>
          <w:rFonts w:ascii="Times New Roman;Times;serif" w:hAnsi="Times New Roman;Times;serif"/>
          <w:spacing w:val="-13"/>
          <w:sz w:val="20"/>
        </w:rPr>
        <w:t xml:space="preserve"> </w:t>
      </w:r>
      <w:r>
        <w:rPr>
          <w:rFonts w:ascii="Times New Roman;Times;serif" w:hAnsi="Times New Roman;Times;serif"/>
          <w:sz w:val="20"/>
        </w:rPr>
        <w:t>CAOA</w:t>
      </w:r>
      <w:r>
        <w:rPr>
          <w:rFonts w:ascii="Times New Roman;Times;serif" w:hAnsi="Times New Roman;Times;serif"/>
          <w:spacing w:val="-12"/>
          <w:sz w:val="20"/>
        </w:rPr>
        <w:t xml:space="preserve"> </w:t>
      </w:r>
      <w:r>
        <w:rPr>
          <w:rFonts w:ascii="Times New Roman;Times;serif" w:hAnsi="Times New Roman;Times;serif"/>
          <w:sz w:val="20"/>
        </w:rPr>
        <w:t>is</w:t>
      </w:r>
      <w:r>
        <w:rPr>
          <w:rFonts w:ascii="Times New Roman;Times;serif" w:hAnsi="Times New Roman;Times;serif"/>
          <w:spacing w:val="-13"/>
          <w:sz w:val="20"/>
        </w:rPr>
        <w:t xml:space="preserve"> </w:t>
      </w:r>
      <w:r>
        <w:rPr>
          <w:rFonts w:ascii="Times New Roman;Times;serif" w:hAnsi="Times New Roman;Times;serif"/>
          <w:sz w:val="20"/>
        </w:rPr>
        <w:t>enacted.</w:t>
      </w:r>
      <w:r>
        <w:rPr>
          <w:rFonts w:ascii="Times New Roman;Times;serif" w:hAnsi="Times New Roman;Times;serif"/>
          <w:spacing w:val="-12"/>
          <w:sz w:val="20"/>
        </w:rPr>
        <w:t xml:space="preserve"> </w:t>
      </w:r>
      <w:r>
        <w:rPr>
          <w:rFonts w:ascii="Times New Roman;Times;serif" w:hAnsi="Times New Roman;Times;serif"/>
          <w:sz w:val="20"/>
        </w:rPr>
        <w:t>Such</w:t>
      </w:r>
      <w:r>
        <w:rPr>
          <w:rFonts w:ascii="Times New Roman;Times;serif" w:hAnsi="Times New Roman;Times;serif"/>
          <w:spacing w:val="-12"/>
          <w:sz w:val="20"/>
        </w:rPr>
        <w:t xml:space="preserve"> </w:t>
      </w:r>
      <w:r>
        <w:rPr>
          <w:rFonts w:ascii="Times New Roman;Times;serif" w:hAnsi="Times New Roman;Times;serif"/>
          <w:sz w:val="20"/>
        </w:rPr>
        <w:t>uncertainty</w:t>
      </w:r>
      <w:r>
        <w:rPr>
          <w:rFonts w:ascii="Times New Roman;Times;serif" w:hAnsi="Times New Roman;Times;serif"/>
          <w:spacing w:val="-12"/>
          <w:sz w:val="20"/>
        </w:rPr>
        <w:t xml:space="preserve"> </w:t>
      </w:r>
      <w:r>
        <w:rPr>
          <w:rFonts w:ascii="Times New Roman;Times;serif" w:hAnsi="Times New Roman;Times;serif"/>
          <w:sz w:val="20"/>
        </w:rPr>
        <w:t>may</w:t>
      </w:r>
      <w:r>
        <w:rPr>
          <w:rFonts w:ascii="Times New Roman;Times;serif" w:hAnsi="Times New Roman;Times;serif"/>
          <w:spacing w:val="-12"/>
          <w:sz w:val="20"/>
        </w:rPr>
        <w:t xml:space="preserve"> </w:t>
      </w:r>
      <w:r>
        <w:rPr>
          <w:rFonts w:ascii="Times New Roman;Times;serif" w:hAnsi="Times New Roman;Times;serif"/>
          <w:sz w:val="20"/>
        </w:rPr>
        <w:t>impede</w:t>
      </w:r>
      <w:r>
        <w:rPr>
          <w:rFonts w:ascii="Times New Roman;Times;serif" w:hAnsi="Times New Roman;Times;serif"/>
          <w:spacing w:val="-13"/>
          <w:sz w:val="20"/>
        </w:rPr>
        <w:t xml:space="preserve"> </w:t>
      </w:r>
      <w:r>
        <w:rPr>
          <w:rFonts w:ascii="Times New Roman;Times;serif" w:hAnsi="Times New Roman;Times;serif"/>
          <w:sz w:val="20"/>
        </w:rPr>
        <w:t>growth</w:t>
      </w:r>
      <w:r>
        <w:rPr>
          <w:rFonts w:ascii="Times New Roman;Times;serif" w:hAnsi="Times New Roman;Times;serif"/>
          <w:spacing w:val="-13"/>
          <w:sz w:val="20"/>
        </w:rPr>
        <w:t xml:space="preserve"> </w:t>
      </w:r>
      <w:r>
        <w:rPr>
          <w:rFonts w:ascii="Times New Roman;Times;serif" w:hAnsi="Times New Roman;Times;serif"/>
          <w:sz w:val="20"/>
        </w:rPr>
        <w:t>of,</w:t>
      </w:r>
      <w:r>
        <w:rPr>
          <w:rFonts w:ascii="Times New Roman;Times;serif" w:hAnsi="Times New Roman;Times;serif"/>
          <w:spacing w:val="-12"/>
          <w:sz w:val="20"/>
        </w:rPr>
        <w:t xml:space="preserve"> </w:t>
      </w:r>
      <w:r>
        <w:rPr>
          <w:rFonts w:ascii="Times New Roman;Times;serif" w:hAnsi="Times New Roman;Times;serif"/>
          <w:sz w:val="20"/>
        </w:rPr>
        <w:t>and</w:t>
      </w:r>
      <w:r>
        <w:rPr>
          <w:rFonts w:ascii="Times New Roman;Times;serif" w:hAnsi="Times New Roman;Times;serif"/>
          <w:spacing w:val="-12"/>
          <w:sz w:val="20"/>
        </w:rPr>
        <w:t xml:space="preserve"> </w:t>
      </w:r>
      <w:r>
        <w:rPr>
          <w:rFonts w:ascii="Times New Roman;Times;serif" w:hAnsi="Times New Roman;Times;serif"/>
          <w:sz w:val="20"/>
        </w:rPr>
        <w:t>investment</w:t>
      </w:r>
      <w:r>
        <w:rPr>
          <w:rFonts w:ascii="Times New Roman;Times;serif" w:hAnsi="Times New Roman;Times;serif"/>
          <w:spacing w:val="-15"/>
          <w:sz w:val="20"/>
        </w:rPr>
        <w:t xml:space="preserve"> </w:t>
      </w:r>
      <w:r>
        <w:rPr>
          <w:rFonts w:ascii="Times New Roman;Times;serif" w:hAnsi="Times New Roman;Times;serif"/>
          <w:sz w:val="20"/>
        </w:rPr>
        <w:t>in,</w:t>
      </w:r>
      <w:r>
        <w:rPr>
          <w:rFonts w:ascii="Times New Roman;Times;serif" w:hAnsi="Times New Roman;Times;serif"/>
          <w:spacing w:val="-13"/>
          <w:sz w:val="20"/>
        </w:rPr>
        <w:t xml:space="preserve"> </w:t>
      </w:r>
      <w:r>
        <w:rPr>
          <w:rFonts w:ascii="Times New Roman;Times;serif" w:hAnsi="Times New Roman;Times;serif"/>
          <w:sz w:val="20"/>
        </w:rPr>
        <w:t>incumbent</w:t>
      </w:r>
      <w:r>
        <w:rPr>
          <w:rFonts w:ascii="Times New Roman;Times;serif" w:hAnsi="Times New Roman;Times;serif"/>
          <w:spacing w:val="-1"/>
          <w:sz w:val="20"/>
        </w:rPr>
        <w:t xml:space="preserve"> </w:t>
      </w:r>
      <w:r>
        <w:rPr>
          <w:rFonts w:ascii="Times New Roman;Times;serif" w:hAnsi="Times New Roman;Times;serif"/>
          <w:sz w:val="20"/>
        </w:rPr>
        <w:t>cannabis</w:t>
      </w:r>
      <w:r>
        <w:rPr>
          <w:rFonts w:ascii="Times New Roman;Times;serif" w:hAnsi="Times New Roman;Times;serif"/>
          <w:spacing w:val="-3"/>
          <w:sz w:val="20"/>
        </w:rPr>
        <w:t xml:space="preserve"> </w:t>
      </w:r>
      <w:r>
        <w:rPr>
          <w:rFonts w:ascii="Times New Roman;Times;serif" w:hAnsi="Times New Roman;Times;serif"/>
          <w:sz w:val="20"/>
        </w:rPr>
        <w:t>businesses,</w:t>
      </w:r>
      <w:r>
        <w:rPr>
          <w:rFonts w:ascii="Times New Roman;Times;serif" w:hAnsi="Times New Roman;Times;serif"/>
          <w:spacing w:val="-1"/>
          <w:sz w:val="20"/>
        </w:rPr>
        <w:t xml:space="preserve"> </w:t>
      </w:r>
      <w:r>
        <w:rPr>
          <w:rFonts w:ascii="Times New Roman;Times;serif" w:hAnsi="Times New Roman;Times;serif"/>
          <w:sz w:val="20"/>
        </w:rPr>
        <w:t>while</w:t>
      </w:r>
      <w:r>
        <w:rPr>
          <w:rFonts w:ascii="Times New Roman;Times;serif" w:hAnsi="Times New Roman;Times;serif"/>
          <w:spacing w:val="-2"/>
          <w:sz w:val="20"/>
        </w:rPr>
        <w:t xml:space="preserve"> </w:t>
      </w:r>
      <w:r>
        <w:rPr>
          <w:rFonts w:ascii="Times New Roman;Times;serif" w:hAnsi="Times New Roman;Times;serif"/>
          <w:sz w:val="20"/>
        </w:rPr>
        <w:t>exposing</w:t>
      </w:r>
      <w:r>
        <w:rPr>
          <w:rFonts w:ascii="Times New Roman;Times;serif" w:hAnsi="Times New Roman;Times;serif"/>
          <w:spacing w:val="-1"/>
          <w:sz w:val="20"/>
        </w:rPr>
        <w:t xml:space="preserve"> </w:t>
      </w:r>
      <w:r>
        <w:rPr>
          <w:rFonts w:ascii="Times New Roman;Times;serif" w:hAnsi="Times New Roman;Times;serif"/>
          <w:sz w:val="20"/>
        </w:rPr>
        <w:t>them</w:t>
      </w:r>
      <w:r>
        <w:rPr>
          <w:rFonts w:ascii="Times New Roman;Times;serif" w:hAnsi="Times New Roman;Times;serif"/>
          <w:spacing w:val="-1"/>
          <w:sz w:val="20"/>
        </w:rPr>
        <w:t xml:space="preserve"> </w:t>
      </w:r>
      <w:r>
        <w:rPr>
          <w:rFonts w:ascii="Times New Roman;Times;serif" w:hAnsi="Times New Roman;Times;serif"/>
          <w:sz w:val="20"/>
        </w:rPr>
        <w:t>to</w:t>
      </w:r>
      <w:r>
        <w:rPr>
          <w:rFonts w:ascii="Times New Roman;Times;serif" w:hAnsi="Times New Roman;Times;serif"/>
          <w:spacing w:val="-1"/>
          <w:sz w:val="20"/>
        </w:rPr>
        <w:t xml:space="preserve"> </w:t>
      </w:r>
      <w:r>
        <w:rPr>
          <w:rFonts w:ascii="Times New Roman;Times;serif" w:hAnsi="Times New Roman;Times;serif"/>
          <w:sz w:val="20"/>
        </w:rPr>
        <w:t>increased</w:t>
      </w:r>
      <w:r>
        <w:rPr>
          <w:rFonts w:ascii="Times New Roman;Times;serif" w:hAnsi="Times New Roman;Times;serif"/>
          <w:spacing w:val="-1"/>
          <w:sz w:val="20"/>
        </w:rPr>
        <w:t xml:space="preserve"> </w:t>
      </w:r>
      <w:r>
        <w:rPr>
          <w:rFonts w:ascii="Times New Roman;Times;serif" w:hAnsi="Times New Roman;Times;serif"/>
          <w:sz w:val="20"/>
        </w:rPr>
        <w:t>competition</w:t>
      </w:r>
      <w:r>
        <w:rPr>
          <w:rFonts w:ascii="Times New Roman;Times;serif" w:hAnsi="Times New Roman;Times;serif"/>
          <w:spacing w:val="-1"/>
          <w:sz w:val="20"/>
        </w:rPr>
        <w:t xml:space="preserve"> </w:t>
      </w:r>
      <w:r>
        <w:rPr>
          <w:rFonts w:ascii="Times New Roman;Times;serif" w:hAnsi="Times New Roman;Times;serif"/>
          <w:sz w:val="20"/>
        </w:rPr>
        <w:t>from</w:t>
      </w:r>
      <w:r>
        <w:rPr>
          <w:rFonts w:ascii="Times New Roman;Times;serif" w:hAnsi="Times New Roman;Times;serif"/>
          <w:spacing w:val="-1"/>
          <w:sz w:val="20"/>
        </w:rPr>
        <w:t xml:space="preserve"> </w:t>
      </w:r>
      <w:r>
        <w:rPr>
          <w:rFonts w:ascii="Times New Roman;Times;serif" w:hAnsi="Times New Roman;Times;serif"/>
          <w:sz w:val="20"/>
        </w:rPr>
        <w:t>the</w:t>
      </w:r>
      <w:r>
        <w:rPr>
          <w:rFonts w:ascii="Times New Roman;Times;serif" w:hAnsi="Times New Roman;Times;serif"/>
          <w:spacing w:val="-2"/>
          <w:sz w:val="20"/>
        </w:rPr>
        <w:t xml:space="preserve"> </w:t>
      </w:r>
      <w:r>
        <w:rPr>
          <w:rFonts w:ascii="Times New Roman;Times;serif" w:hAnsi="Times New Roman;Times;serif"/>
          <w:sz w:val="20"/>
        </w:rPr>
        <w:t>illicit</w:t>
      </w:r>
      <w:r>
        <w:rPr>
          <w:rFonts w:ascii="Times New Roman;Times;serif" w:hAnsi="Times New Roman;Times;serif"/>
          <w:spacing w:val="-2"/>
          <w:sz w:val="20"/>
        </w:rPr>
        <w:t xml:space="preserve"> </w:t>
      </w:r>
      <w:r>
        <w:rPr>
          <w:rFonts w:ascii="Times New Roman;Times;serif" w:hAnsi="Times New Roman;Times;serif"/>
          <w:sz w:val="20"/>
        </w:rPr>
        <w:t>market.</w:t>
      </w:r>
    </w:p>
    <w:p>
      <w:pPr>
        <w:pStyle w:val="TextBody"/>
        <w:spacing w:lineRule="atLeast" w:line="221" w:before="0" w:after="240"/>
        <w:ind w:left="0" w:right="0" w:hanging="0"/>
        <w:jc w:val="both"/>
        <w:rPr>
          <w:rFonts w:ascii="Times New Roman;Times;serif" w:hAnsi="Times New Roman;Times;serif"/>
          <w:sz w:val="20"/>
        </w:rPr>
      </w:pPr>
      <w:r>
        <w:rPr>
          <w:rFonts w:ascii="Times New Roman;Times;serif" w:hAnsi="Times New Roman;Times;serif"/>
          <w:sz w:val="20"/>
        </w:rPr>
        <w:t>Ultimately,</w:t>
      </w:r>
      <w:r>
        <w:rPr>
          <w:rFonts w:ascii="Times New Roman;Times;serif" w:hAnsi="Times New Roman;Times;serif"/>
          <w:spacing w:val="-9"/>
          <w:sz w:val="20"/>
        </w:rPr>
        <w:t xml:space="preserve"> </w:t>
      </w:r>
      <w:r>
        <w:rPr>
          <w:rFonts w:ascii="Times New Roman;Times;serif" w:hAnsi="Times New Roman;Times;serif"/>
          <w:sz w:val="20"/>
        </w:rPr>
        <w:t>the</w:t>
      </w:r>
      <w:r>
        <w:rPr>
          <w:rFonts w:ascii="Times New Roman;Times;serif" w:hAnsi="Times New Roman;Times;serif"/>
          <w:spacing w:val="-5"/>
          <w:sz w:val="20"/>
        </w:rPr>
        <w:t xml:space="preserve"> </w:t>
      </w:r>
      <w:r>
        <w:rPr>
          <w:rFonts w:ascii="Times New Roman;Times;serif" w:hAnsi="Times New Roman;Times;serif"/>
          <w:sz w:val="20"/>
        </w:rPr>
        <w:t>CAOA did not pass and there can be no assurance that</w:t>
      </w:r>
      <w:r>
        <w:rPr>
          <w:rFonts w:ascii="Times New Roman;Times;serif" w:hAnsi="Times New Roman;Times;serif"/>
          <w:spacing w:val="-4"/>
          <w:sz w:val="20"/>
        </w:rPr>
        <w:t xml:space="preserve"> </w:t>
      </w:r>
      <w:r>
        <w:rPr>
          <w:rFonts w:ascii="Times New Roman;Times;serif" w:hAnsi="Times New Roman;Times;serif"/>
          <w:sz w:val="20"/>
        </w:rPr>
        <w:t>similar</w:t>
      </w:r>
      <w:r>
        <w:rPr>
          <w:rFonts w:ascii="Times New Roman;Times;serif" w:hAnsi="Times New Roman;Times;serif"/>
          <w:spacing w:val="-4"/>
          <w:sz w:val="20"/>
        </w:rPr>
        <w:t xml:space="preserve"> </w:t>
      </w:r>
      <w:r>
        <w:rPr>
          <w:rFonts w:ascii="Times New Roman;Times;serif" w:hAnsi="Times New Roman;Times;serif"/>
          <w:sz w:val="20"/>
        </w:rPr>
        <w:t>comprehensive</w:t>
      </w:r>
      <w:r>
        <w:rPr>
          <w:rFonts w:ascii="Times New Roman;Times;serif" w:hAnsi="Times New Roman;Times;serif"/>
          <w:spacing w:val="-5"/>
          <w:sz w:val="20"/>
        </w:rPr>
        <w:t xml:space="preserve"> </w:t>
      </w:r>
      <w:r>
        <w:rPr>
          <w:rFonts w:ascii="Times New Roman;Times;serif" w:hAnsi="Times New Roman;Times;serif"/>
          <w:sz w:val="20"/>
        </w:rPr>
        <w:t>legislation</w:t>
      </w:r>
      <w:r>
        <w:rPr>
          <w:rFonts w:ascii="Times New Roman;Times;serif" w:hAnsi="Times New Roman;Times;serif"/>
          <w:spacing w:val="-4"/>
          <w:sz w:val="20"/>
        </w:rPr>
        <w:t xml:space="preserve"> </w:t>
      </w:r>
      <w:r>
        <w:rPr>
          <w:rFonts w:ascii="Times New Roman;Times;serif" w:hAnsi="Times New Roman;Times;serif"/>
          <w:sz w:val="20"/>
        </w:rPr>
        <w:t>that</w:t>
      </w:r>
      <w:r>
        <w:rPr>
          <w:rFonts w:ascii="Times New Roman;Times;serif" w:hAnsi="Times New Roman;Times;serif"/>
          <w:spacing w:val="-5"/>
          <w:sz w:val="20"/>
        </w:rPr>
        <w:t xml:space="preserve"> </w:t>
      </w:r>
      <w:r>
        <w:rPr>
          <w:rFonts w:ascii="Times New Roman;Times;serif" w:hAnsi="Times New Roman;Times;serif"/>
          <w:sz w:val="20"/>
        </w:rPr>
        <w:t>would</w:t>
      </w:r>
      <w:r>
        <w:rPr>
          <w:rFonts w:ascii="Times New Roman;Times;serif" w:hAnsi="Times New Roman;Times;serif"/>
          <w:spacing w:val="-7"/>
          <w:sz w:val="20"/>
        </w:rPr>
        <w:t xml:space="preserve"> </w:t>
      </w:r>
      <w:r>
        <w:rPr>
          <w:rFonts w:ascii="Times New Roman;Times;serif" w:hAnsi="Times New Roman;Times;serif"/>
          <w:sz w:val="20"/>
        </w:rPr>
        <w:t>de-schedule</w:t>
      </w:r>
      <w:r>
        <w:rPr>
          <w:rFonts w:ascii="Times New Roman;Times;serif" w:hAnsi="Times New Roman;Times;serif"/>
          <w:spacing w:val="-8"/>
          <w:sz w:val="20"/>
        </w:rPr>
        <w:t xml:space="preserve"> </w:t>
      </w:r>
      <w:r>
        <w:rPr>
          <w:rFonts w:ascii="Times New Roman;Times;serif" w:hAnsi="Times New Roman;Times;serif"/>
          <w:sz w:val="20"/>
        </w:rPr>
        <w:t>cannabis and</w:t>
      </w:r>
      <w:r>
        <w:rPr>
          <w:rFonts w:ascii="Times New Roman;Times;serif" w:hAnsi="Times New Roman;Times;serif"/>
          <w:spacing w:val="20"/>
          <w:sz w:val="20"/>
        </w:rPr>
        <w:t xml:space="preserve"> </w:t>
      </w:r>
      <w:r>
        <w:rPr>
          <w:rFonts w:ascii="Times New Roman;Times;serif" w:hAnsi="Times New Roman;Times;serif"/>
          <w:sz w:val="20"/>
        </w:rPr>
        <w:t>de-criminalize</w:t>
      </w:r>
      <w:r>
        <w:rPr>
          <w:rFonts w:ascii="Times New Roman;Times;serif" w:hAnsi="Times New Roman;Times;serif"/>
          <w:spacing w:val="19"/>
          <w:sz w:val="20"/>
        </w:rPr>
        <w:t xml:space="preserve"> </w:t>
      </w:r>
      <w:r>
        <w:rPr>
          <w:rFonts w:ascii="Times New Roman;Times;serif" w:hAnsi="Times New Roman;Times;serif"/>
          <w:sz w:val="20"/>
        </w:rPr>
        <w:t>will</w:t>
      </w:r>
      <w:r>
        <w:rPr>
          <w:rFonts w:ascii="Times New Roman;Times;serif" w:hAnsi="Times New Roman;Times;serif"/>
          <w:spacing w:val="19"/>
          <w:sz w:val="20"/>
        </w:rPr>
        <w:t xml:space="preserve"> </w:t>
      </w:r>
      <w:r>
        <w:rPr>
          <w:rFonts w:ascii="Times New Roman;Times;serif" w:hAnsi="Times New Roman;Times;serif"/>
          <w:sz w:val="20"/>
        </w:rPr>
        <w:t>be</w:t>
      </w:r>
      <w:r>
        <w:rPr>
          <w:rFonts w:ascii="Times New Roman;Times;serif" w:hAnsi="Times New Roman;Times;serif"/>
          <w:spacing w:val="19"/>
          <w:sz w:val="20"/>
        </w:rPr>
        <w:t xml:space="preserve"> </w:t>
      </w:r>
      <w:r>
        <w:rPr>
          <w:rFonts w:ascii="Times New Roman;Times;serif" w:hAnsi="Times New Roman;Times;serif"/>
          <w:sz w:val="20"/>
        </w:rPr>
        <w:t>passed</w:t>
      </w:r>
      <w:r>
        <w:rPr>
          <w:rFonts w:ascii="Times New Roman;Times;serif" w:hAnsi="Times New Roman;Times;serif"/>
          <w:spacing w:val="20"/>
          <w:sz w:val="20"/>
        </w:rPr>
        <w:t xml:space="preserve"> </w:t>
      </w:r>
      <w:r>
        <w:rPr>
          <w:rFonts w:ascii="Times New Roman;Times;serif" w:hAnsi="Times New Roman;Times;serif"/>
          <w:sz w:val="20"/>
        </w:rPr>
        <w:t>in</w:t>
      </w:r>
      <w:r>
        <w:rPr>
          <w:rFonts w:ascii="Times New Roman;Times;serif" w:hAnsi="Times New Roman;Times;serif"/>
          <w:spacing w:val="20"/>
          <w:sz w:val="20"/>
        </w:rPr>
        <w:t xml:space="preserve"> </w:t>
      </w:r>
      <w:r>
        <w:rPr>
          <w:rFonts w:ascii="Times New Roman;Times;serif" w:hAnsi="Times New Roman;Times;serif"/>
          <w:sz w:val="20"/>
        </w:rPr>
        <w:t>the</w:t>
      </w:r>
      <w:r>
        <w:rPr>
          <w:rFonts w:ascii="Times New Roman;Times;serif" w:hAnsi="Times New Roman;Times;serif"/>
          <w:spacing w:val="19"/>
          <w:sz w:val="20"/>
        </w:rPr>
        <w:t xml:space="preserve"> </w:t>
      </w:r>
      <w:r>
        <w:rPr>
          <w:rFonts w:ascii="Times New Roman;Times;serif" w:hAnsi="Times New Roman;Times;serif"/>
          <w:sz w:val="20"/>
        </w:rPr>
        <w:t>near</w:t>
      </w:r>
      <w:r>
        <w:rPr>
          <w:rFonts w:ascii="Times New Roman;Times;serif" w:hAnsi="Times New Roman;Times;serif"/>
          <w:spacing w:val="20"/>
          <w:sz w:val="20"/>
        </w:rPr>
        <w:t xml:space="preserve"> </w:t>
      </w:r>
      <w:r>
        <w:rPr>
          <w:rFonts w:ascii="Times New Roman;Times;serif" w:hAnsi="Times New Roman;Times;serif"/>
          <w:sz w:val="20"/>
        </w:rPr>
        <w:t>future</w:t>
      </w:r>
      <w:r>
        <w:rPr>
          <w:rFonts w:ascii="Times New Roman;Times;serif" w:hAnsi="Times New Roman;Times;serif"/>
          <w:spacing w:val="17"/>
          <w:sz w:val="20"/>
        </w:rPr>
        <w:t xml:space="preserve"> </w:t>
      </w:r>
      <w:r>
        <w:rPr>
          <w:rFonts w:ascii="Times New Roman;Times;serif" w:hAnsi="Times New Roman;Times;serif"/>
          <w:sz w:val="20"/>
        </w:rPr>
        <w:t>or</w:t>
      </w:r>
      <w:r>
        <w:rPr>
          <w:rFonts w:ascii="Times New Roman;Times;serif" w:hAnsi="Times New Roman;Times;serif"/>
          <w:spacing w:val="20"/>
          <w:sz w:val="20"/>
        </w:rPr>
        <w:t xml:space="preserve"> </w:t>
      </w:r>
      <w:r>
        <w:rPr>
          <w:rFonts w:ascii="Times New Roman;Times;serif" w:hAnsi="Times New Roman;Times;serif"/>
          <w:sz w:val="20"/>
        </w:rPr>
        <w:t>at</w:t>
      </w:r>
      <w:r>
        <w:rPr>
          <w:rFonts w:ascii="Times New Roman;Times;serif" w:hAnsi="Times New Roman;Times;serif"/>
          <w:spacing w:val="19"/>
          <w:sz w:val="20"/>
        </w:rPr>
        <w:t xml:space="preserve"> </w:t>
      </w:r>
      <w:r>
        <w:rPr>
          <w:rFonts w:ascii="Times New Roman;Times;serif" w:hAnsi="Times New Roman;Times;serif"/>
          <w:sz w:val="20"/>
        </w:rPr>
        <w:t>all.</w:t>
      </w:r>
      <w:r>
        <w:rPr>
          <w:rFonts w:ascii="Times New Roman;Times;serif" w:hAnsi="Times New Roman;Times;serif"/>
          <w:spacing w:val="20"/>
          <w:sz w:val="20"/>
        </w:rPr>
        <w:t xml:space="preserve"> </w:t>
      </w:r>
      <w:r>
        <w:rPr>
          <w:rFonts w:ascii="Times New Roman;Times;serif" w:hAnsi="Times New Roman;Times;serif"/>
          <w:sz w:val="20"/>
        </w:rPr>
        <w:t>If</w:t>
      </w:r>
      <w:r>
        <w:rPr>
          <w:rFonts w:ascii="Times New Roman;Times;serif" w:hAnsi="Times New Roman;Times;serif"/>
          <w:spacing w:val="20"/>
          <w:sz w:val="20"/>
        </w:rPr>
        <w:t xml:space="preserve"> </w:t>
      </w:r>
      <w:r>
        <w:rPr>
          <w:rFonts w:ascii="Times New Roman;Times;serif" w:hAnsi="Times New Roman;Times;serif"/>
          <w:sz w:val="20"/>
        </w:rPr>
        <w:t>such</w:t>
      </w:r>
      <w:r>
        <w:rPr>
          <w:rFonts w:ascii="Times New Roman;Times;serif" w:hAnsi="Times New Roman;Times;serif"/>
          <w:spacing w:val="20"/>
          <w:sz w:val="20"/>
        </w:rPr>
        <w:t xml:space="preserve"> </w:t>
      </w:r>
      <w:r>
        <w:rPr>
          <w:rFonts w:ascii="Times New Roman;Times;serif" w:hAnsi="Times New Roman;Times;serif"/>
          <w:sz w:val="20"/>
        </w:rPr>
        <w:t>legislation</w:t>
      </w:r>
      <w:r>
        <w:rPr>
          <w:rFonts w:ascii="Times New Roman;Times;serif" w:hAnsi="Times New Roman;Times;serif"/>
          <w:spacing w:val="20"/>
          <w:sz w:val="20"/>
        </w:rPr>
        <w:t xml:space="preserve"> </w:t>
      </w:r>
      <w:r>
        <w:rPr>
          <w:rFonts w:ascii="Times New Roman;Times;serif" w:hAnsi="Times New Roman;Times;serif"/>
          <w:sz w:val="20"/>
        </w:rPr>
        <w:t>is</w:t>
      </w:r>
      <w:r>
        <w:rPr>
          <w:rFonts w:ascii="Times New Roman;Times;serif" w:hAnsi="Times New Roman;Times;serif"/>
          <w:spacing w:val="18"/>
          <w:sz w:val="20"/>
        </w:rPr>
        <w:t xml:space="preserve"> </w:t>
      </w:r>
      <w:r>
        <w:rPr>
          <w:rFonts w:ascii="Times New Roman;Times;serif" w:hAnsi="Times New Roman;Times;serif"/>
          <w:sz w:val="20"/>
        </w:rPr>
        <w:t>passed,</w:t>
      </w:r>
      <w:r>
        <w:rPr>
          <w:rFonts w:ascii="Times New Roman;Times;serif" w:hAnsi="Times New Roman;Times;serif"/>
          <w:spacing w:val="20"/>
          <w:sz w:val="20"/>
        </w:rPr>
        <w:t xml:space="preserve"> </w:t>
      </w:r>
      <w:r>
        <w:rPr>
          <w:rFonts w:ascii="Times New Roman;Times;serif" w:hAnsi="Times New Roman;Times;serif"/>
          <w:sz w:val="20"/>
        </w:rPr>
        <w:t>there</w:t>
      </w:r>
      <w:r>
        <w:rPr>
          <w:rFonts w:ascii="Times New Roman;Times;serif" w:hAnsi="Times New Roman;Times;serif"/>
          <w:spacing w:val="19"/>
          <w:sz w:val="20"/>
        </w:rPr>
        <w:t xml:space="preserve"> </w:t>
      </w:r>
      <w:r>
        <w:rPr>
          <w:rFonts w:ascii="Times New Roman;Times;serif" w:hAnsi="Times New Roman;Times;serif"/>
          <w:sz w:val="20"/>
        </w:rPr>
        <w:t>is</w:t>
      </w:r>
      <w:r>
        <w:rPr>
          <w:rFonts w:ascii="Times New Roman;Times;serif" w:hAnsi="Times New Roman;Times;serif"/>
          <w:spacing w:val="18"/>
          <w:sz w:val="20"/>
        </w:rPr>
        <w:t xml:space="preserve"> </w:t>
      </w:r>
      <w:r>
        <w:rPr>
          <w:rFonts w:ascii="Times New Roman;Times;serif" w:hAnsi="Times New Roman;Times;serif"/>
          <w:sz w:val="20"/>
        </w:rPr>
        <w:t>no</w:t>
      </w:r>
      <w:r>
        <w:rPr>
          <w:rFonts w:ascii="Times New Roman;Times;serif" w:hAnsi="Times New Roman;Times;serif"/>
          <w:spacing w:val="20"/>
          <w:sz w:val="20"/>
        </w:rPr>
        <w:t xml:space="preserve"> </w:t>
      </w:r>
      <w:r>
        <w:rPr>
          <w:rFonts w:ascii="Times New Roman;Times;serif" w:hAnsi="Times New Roman;Times;serif"/>
          <w:sz w:val="20"/>
        </w:rPr>
        <w:t>guarantee</w:t>
      </w:r>
      <w:r>
        <w:rPr>
          <w:rFonts w:ascii="Times New Roman;Times;serif" w:hAnsi="Times New Roman;Times;serif"/>
          <w:spacing w:val="19"/>
          <w:sz w:val="20"/>
        </w:rPr>
        <w:t xml:space="preserve"> </w:t>
      </w:r>
      <w:r>
        <w:rPr>
          <w:rFonts w:ascii="Times New Roman;Times;serif" w:hAnsi="Times New Roman;Times;serif"/>
          <w:sz w:val="20"/>
        </w:rPr>
        <w:t>that</w:t>
      </w:r>
      <w:r>
        <w:rPr>
          <w:rFonts w:ascii="Times New Roman;Times;serif" w:hAnsi="Times New Roman;Times;serif"/>
          <w:spacing w:val="19"/>
          <w:sz w:val="20"/>
        </w:rPr>
        <w:t xml:space="preserve"> </w:t>
      </w:r>
      <w:r>
        <w:rPr>
          <w:rFonts w:ascii="Times New Roman;Times;serif" w:hAnsi="Times New Roman;Times;serif"/>
          <w:sz w:val="20"/>
        </w:rPr>
        <w:t>it</w:t>
      </w:r>
      <w:r>
        <w:rPr>
          <w:rFonts w:ascii="Times New Roman;Times;serif" w:hAnsi="Times New Roman;Times;serif"/>
          <w:spacing w:val="19"/>
          <w:sz w:val="20"/>
        </w:rPr>
        <w:t xml:space="preserve"> </w:t>
      </w:r>
      <w:r>
        <w:rPr>
          <w:rFonts w:ascii="Times New Roman;Times;serif" w:hAnsi="Times New Roman;Times;serif"/>
          <w:sz w:val="20"/>
        </w:rPr>
        <w:t>will</w:t>
      </w:r>
      <w:r>
        <w:rPr>
          <w:rFonts w:ascii="Times New Roman;Times;serif" w:hAnsi="Times New Roman;Times;serif"/>
          <w:spacing w:val="19"/>
          <w:sz w:val="20"/>
        </w:rPr>
        <w:t xml:space="preserve"> </w:t>
      </w:r>
      <w:r>
        <w:rPr>
          <w:rFonts w:ascii="Times New Roman;Times;serif" w:hAnsi="Times New Roman;Times;serif"/>
          <w:sz w:val="20"/>
        </w:rPr>
        <w:t>include provisions</w:t>
      </w:r>
      <w:r>
        <w:rPr>
          <w:rFonts w:ascii="Times New Roman;Times;serif" w:hAnsi="Times New Roman;Times;serif"/>
          <w:spacing w:val="36"/>
          <w:sz w:val="20"/>
        </w:rPr>
        <w:t xml:space="preserve"> </w:t>
      </w:r>
      <w:r>
        <w:rPr>
          <w:rFonts w:ascii="Times New Roman;Times;serif" w:hAnsi="Times New Roman;Times;serif"/>
          <w:sz w:val="20"/>
        </w:rPr>
        <w:t>that</w:t>
      </w:r>
      <w:r>
        <w:rPr>
          <w:rFonts w:ascii="Times New Roman;Times;serif" w:hAnsi="Times New Roman;Times;serif"/>
          <w:spacing w:val="37"/>
          <w:sz w:val="20"/>
        </w:rPr>
        <w:t xml:space="preserve"> </w:t>
      </w:r>
      <w:r>
        <w:rPr>
          <w:rFonts w:ascii="Times New Roman;Times;serif" w:hAnsi="Times New Roman;Times;serif"/>
          <w:sz w:val="20"/>
        </w:rPr>
        <w:t>preserve</w:t>
      </w:r>
      <w:r>
        <w:rPr>
          <w:rFonts w:ascii="Times New Roman;Times;serif" w:hAnsi="Times New Roman;Times;serif"/>
          <w:spacing w:val="37"/>
          <w:sz w:val="20"/>
        </w:rPr>
        <w:t xml:space="preserve"> </w:t>
      </w:r>
      <w:r>
        <w:rPr>
          <w:rFonts w:ascii="Times New Roman;Times;serif" w:hAnsi="Times New Roman;Times;serif"/>
          <w:sz w:val="20"/>
        </w:rPr>
        <w:t>the</w:t>
      </w:r>
      <w:r>
        <w:rPr>
          <w:rFonts w:ascii="Times New Roman;Times;serif" w:hAnsi="Times New Roman;Times;serif"/>
          <w:spacing w:val="35"/>
          <w:sz w:val="20"/>
        </w:rPr>
        <w:t xml:space="preserve"> </w:t>
      </w:r>
      <w:r>
        <w:rPr>
          <w:rFonts w:ascii="Times New Roman;Times;serif" w:hAnsi="Times New Roman;Times;serif"/>
          <w:sz w:val="20"/>
        </w:rPr>
        <w:t>current</w:t>
      </w:r>
      <w:r>
        <w:rPr>
          <w:rFonts w:ascii="Times New Roman;Times;serif" w:hAnsi="Times New Roman;Times;serif"/>
          <w:spacing w:val="34"/>
          <w:sz w:val="20"/>
        </w:rPr>
        <w:t xml:space="preserve"> </w:t>
      </w:r>
      <w:r>
        <w:rPr>
          <w:rFonts w:ascii="Times New Roman;Times;serif" w:hAnsi="Times New Roman;Times;serif"/>
          <w:sz w:val="20"/>
        </w:rPr>
        <w:t>state-based</w:t>
      </w:r>
      <w:r>
        <w:rPr>
          <w:rFonts w:ascii="Times New Roman;Times;serif" w:hAnsi="Times New Roman;Times;serif"/>
          <w:spacing w:val="38"/>
          <w:sz w:val="20"/>
        </w:rPr>
        <w:t xml:space="preserve"> </w:t>
      </w:r>
      <w:r>
        <w:rPr>
          <w:rFonts w:ascii="Times New Roman;Times;serif" w:hAnsi="Times New Roman;Times;serif"/>
          <w:sz w:val="20"/>
        </w:rPr>
        <w:t>cannabis</w:t>
      </w:r>
      <w:r>
        <w:rPr>
          <w:rFonts w:ascii="Times New Roman;Times;serif" w:hAnsi="Times New Roman;Times;serif"/>
          <w:spacing w:val="34"/>
          <w:sz w:val="20"/>
        </w:rPr>
        <w:t xml:space="preserve"> </w:t>
      </w:r>
      <w:r>
        <w:rPr>
          <w:rFonts w:ascii="Times New Roman;Times;serif" w:hAnsi="Times New Roman;Times;serif"/>
          <w:sz w:val="20"/>
        </w:rPr>
        <w:t xml:space="preserve">programs under which the Company’s subsidiaries operate or that such legislation will be otherwise favorable to the Company and its business. </w:t>
      </w:r>
    </w:p>
    <w:p>
      <w:pPr>
        <w:pStyle w:val="TextBody"/>
        <w:spacing w:lineRule="atLeast" w:line="227" w:before="0" w:after="240"/>
        <w:ind w:left="0" w:right="0" w:hanging="0"/>
        <w:rPr>
          <w:rFonts w:ascii="Times New Roman;Times;serif" w:hAnsi="Times New Roman;Times;serif"/>
          <w:b w:val="false"/>
          <w:color w:val="231F20"/>
          <w:sz w:val="20"/>
        </w:rPr>
      </w:pPr>
      <w:r>
        <w:rPr>
          <w:rFonts w:ascii="Times New Roman;Times;serif" w:hAnsi="Times New Roman;Times;serif"/>
          <w:b w:val="false"/>
          <w:color w:val="231F20"/>
          <w:sz w:val="20"/>
        </w:rPr>
        <w:t>Colorado Regulations</w:t>
      </w:r>
    </w:p>
    <w:p>
      <w:pPr>
        <w:pStyle w:val="TextBody"/>
        <w:spacing w:lineRule="auto" w:line="292" w:before="33" w:after="0"/>
        <w:ind w:left="0" w:right="157" w:hanging="0"/>
        <w:jc w:val="both"/>
        <w:rPr>
          <w:rFonts w:ascii="Times New Roman;Times;serif" w:hAnsi="Times New Roman;Times;serif"/>
          <w:sz w:val="20"/>
        </w:rPr>
      </w:pPr>
      <w:r>
        <w:rPr>
          <w:rFonts w:ascii="Times New Roman;Times;serif" w:hAnsi="Times New Roman;Times;serif"/>
          <w:color w:val="231F20"/>
          <w:sz w:val="20"/>
        </w:rPr>
        <w:t>On November 7, 2000, Colorado voters approved Amendment 20, which amended the state constitution</w:t>
      </w:r>
      <w:r>
        <w:rPr>
          <w:rFonts w:ascii="Times New Roman;Times;serif" w:hAnsi="Times New Roman;Times;serif"/>
          <w:color w:val="231F20"/>
          <w:spacing w:val="3"/>
          <w:sz w:val="20"/>
        </w:rPr>
        <w:t xml:space="preserve"> </w:t>
      </w:r>
      <w:r>
        <w:rPr>
          <w:rFonts w:ascii="Times New Roman;Times;serif" w:hAnsi="Times New Roman;Times;serif"/>
          <w:color w:val="231F20"/>
          <w:sz w:val="20"/>
        </w:rPr>
        <w:t>to allow the use of marijuana</w:t>
      </w:r>
      <w:r>
        <w:rPr>
          <w:rFonts w:ascii="Times New Roman;Times;serif" w:hAnsi="Times New Roman;Times;serif"/>
          <w:color w:val="231F20"/>
          <w:spacing w:val="3"/>
          <w:sz w:val="20"/>
        </w:rPr>
        <w:t xml:space="preserve"> </w:t>
      </w:r>
      <w:r>
        <w:rPr>
          <w:rFonts w:ascii="Times New Roman;Times;serif" w:hAnsi="Times New Roman;Times;serif"/>
          <w:color w:val="231F20"/>
          <w:sz w:val="20"/>
        </w:rPr>
        <w:t>in the state by approved patients with written medical consent. On November 6, 2012, Colorado voters approved Amendment 64, which amended the state constitution</w:t>
      </w:r>
      <w:r>
        <w:rPr>
          <w:rFonts w:ascii="Times New Roman;Times;serif" w:hAnsi="Times New Roman;Times;serif"/>
          <w:color w:val="231F20"/>
          <w:spacing w:val="3"/>
          <w:sz w:val="20"/>
        </w:rPr>
        <w:t xml:space="preserve"> </w:t>
      </w:r>
      <w:r>
        <w:rPr>
          <w:rFonts w:ascii="Times New Roman;Times;serif" w:hAnsi="Times New Roman;Times;serif"/>
          <w:color w:val="231F20"/>
          <w:sz w:val="20"/>
        </w:rPr>
        <w:t>to establish</w:t>
      </w:r>
      <w:r>
        <w:rPr>
          <w:rFonts w:ascii="Times New Roman;Times;serif" w:hAnsi="Times New Roman;Times;serif"/>
          <w:color w:val="231F20"/>
          <w:spacing w:val="3"/>
          <w:sz w:val="20"/>
        </w:rPr>
        <w:t xml:space="preserve"> </w:t>
      </w:r>
      <w:r>
        <w:rPr>
          <w:rFonts w:ascii="Times New Roman;Times;serif" w:hAnsi="Times New Roman;Times;serif"/>
          <w:color w:val="231F20"/>
          <w:sz w:val="20"/>
        </w:rPr>
        <w:t>an adult use cannabis program in Colorado and permit the commercial</w:t>
      </w:r>
      <w:r>
        <w:rPr>
          <w:rFonts w:ascii="Times New Roman;Times;serif" w:hAnsi="Times New Roman;Times;serif"/>
          <w:color w:val="231F20"/>
          <w:spacing w:val="3"/>
          <w:sz w:val="20"/>
        </w:rPr>
        <w:t xml:space="preserve"> </w:t>
      </w:r>
      <w:r>
        <w:rPr>
          <w:rFonts w:ascii="Times New Roman;Times;serif" w:hAnsi="Times New Roman;Times;serif"/>
          <w:color w:val="231F20"/>
          <w:sz w:val="20"/>
        </w:rPr>
        <w:t>cultivation,</w:t>
      </w:r>
      <w:r>
        <w:rPr>
          <w:rFonts w:ascii="Times New Roman;Times;serif" w:hAnsi="Times New Roman;Times;serif"/>
          <w:color w:val="231F20"/>
          <w:spacing w:val="3"/>
          <w:sz w:val="20"/>
        </w:rPr>
        <w:t xml:space="preserve"> </w:t>
      </w:r>
      <w:r>
        <w:rPr>
          <w:rFonts w:ascii="Times New Roman;Times;serif" w:hAnsi="Times New Roman;Times;serif"/>
          <w:color w:val="231F20"/>
          <w:sz w:val="20"/>
        </w:rPr>
        <w:t>manufacture</w:t>
      </w:r>
      <w:r>
        <w:rPr>
          <w:rFonts w:ascii="Times New Roman;Times;serif" w:hAnsi="Times New Roman;Times;serif"/>
          <w:color w:val="231F20"/>
          <w:spacing w:val="3"/>
          <w:sz w:val="20"/>
        </w:rPr>
        <w:t xml:space="preserve"> </w:t>
      </w:r>
      <w:r>
        <w:rPr>
          <w:rFonts w:ascii="Times New Roman;Times;serif" w:hAnsi="Times New Roman;Times;serif"/>
          <w:color w:val="231F20"/>
          <w:sz w:val="20"/>
        </w:rPr>
        <w:t>and sale of marijuana</w:t>
      </w:r>
      <w:r>
        <w:rPr>
          <w:rFonts w:ascii="Times New Roman;Times;serif" w:hAnsi="Times New Roman;Times;serif"/>
          <w:color w:val="231F20"/>
          <w:spacing w:val="3"/>
          <w:sz w:val="20"/>
        </w:rPr>
        <w:t xml:space="preserve"> </w:t>
      </w:r>
      <w:r>
        <w:rPr>
          <w:rFonts w:ascii="Times New Roman;Times;serif" w:hAnsi="Times New Roman;Times;serif"/>
          <w:color w:val="231F20"/>
          <w:sz w:val="20"/>
        </w:rPr>
        <w:t>to adults 21 years of age or older. The commercial</w:t>
      </w:r>
      <w:r>
        <w:rPr>
          <w:rFonts w:ascii="Times New Roman;Times;serif" w:hAnsi="Times New Roman;Times;serif"/>
          <w:color w:val="231F20"/>
          <w:spacing w:val="3"/>
          <w:sz w:val="20"/>
        </w:rPr>
        <w:t xml:space="preserve"> </w:t>
      </w:r>
      <w:r>
        <w:rPr>
          <w:rFonts w:ascii="Times New Roman;Times;serif" w:hAnsi="Times New Roman;Times;serif"/>
          <w:color w:val="231F20"/>
          <w:sz w:val="20"/>
        </w:rPr>
        <w:t>sale of marijuana</w:t>
      </w:r>
      <w:r>
        <w:rPr>
          <w:rFonts w:ascii="Times New Roman;Times;serif" w:hAnsi="Times New Roman;Times;serif"/>
          <w:color w:val="231F20"/>
          <w:spacing w:val="3"/>
          <w:sz w:val="20"/>
        </w:rPr>
        <w:t xml:space="preserve"> </w:t>
      </w:r>
      <w:r>
        <w:rPr>
          <w:rFonts w:ascii="Times New Roman;Times;serif" w:hAnsi="Times New Roman;Times;serif"/>
          <w:color w:val="231F20"/>
          <w:sz w:val="20"/>
        </w:rPr>
        <w:t xml:space="preserve">for adult use to the general public began on January 1, 2014 at cannabis businesses licensed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92" w:before="0" w:after="240"/>
        <w:ind w:left="0" w:right="157" w:hanging="0"/>
        <w:jc w:val="both"/>
        <w:rPr>
          <w:rFonts w:ascii="Times New Roman;Times;serif" w:hAnsi="Times New Roman;Times;serif"/>
          <w:sz w:val="20"/>
        </w:rPr>
      </w:pPr>
      <w:r>
        <w:rPr>
          <w:rFonts w:ascii="Times New Roman;Times;serif" w:hAnsi="Times New Roman;Times;serif"/>
          <w:color w:val="231F20"/>
          <w:sz w:val="20"/>
        </w:rPr>
        <w:t>under the regulatory</w:t>
      </w:r>
      <w:r>
        <w:rPr>
          <w:rFonts w:ascii="Times New Roman;Times;serif" w:hAnsi="Times New Roman;Times;serif"/>
          <w:color w:val="231F20"/>
          <w:spacing w:val="3"/>
          <w:sz w:val="20"/>
        </w:rPr>
        <w:t xml:space="preserve"> </w:t>
      </w:r>
      <w:r>
        <w:rPr>
          <w:rFonts w:ascii="Times New Roman;Times;serif" w:hAnsi="Times New Roman;Times;serif"/>
          <w:color w:val="231F20"/>
          <w:sz w:val="20"/>
        </w:rPr>
        <w:t>framework. As of January 1, 2020, medical and adult use marijuana</w:t>
      </w:r>
      <w:r>
        <w:rPr>
          <w:rFonts w:ascii="Times New Roman;Times;serif" w:hAnsi="Times New Roman;Times;serif"/>
          <w:color w:val="231F20"/>
          <w:spacing w:val="3"/>
          <w:sz w:val="20"/>
        </w:rPr>
        <w:t xml:space="preserve"> </w:t>
      </w:r>
      <w:r>
        <w:rPr>
          <w:rFonts w:ascii="Times New Roman;Times;serif" w:hAnsi="Times New Roman;Times;serif"/>
          <w:color w:val="231F20"/>
          <w:sz w:val="20"/>
        </w:rPr>
        <w:t>are regulated together under a single statute – the Colorado Marijuana</w:t>
      </w:r>
      <w:r>
        <w:rPr>
          <w:rFonts w:ascii="Times New Roman;Times;serif" w:hAnsi="Times New Roman;Times;serif"/>
          <w:color w:val="231F20"/>
          <w:spacing w:val="3"/>
          <w:sz w:val="20"/>
        </w:rPr>
        <w:t xml:space="preserve"> </w:t>
      </w:r>
      <w:r>
        <w:rPr>
          <w:rFonts w:ascii="Times New Roman;Times;serif" w:hAnsi="Times New Roman;Times;serif"/>
          <w:color w:val="231F20"/>
          <w:sz w:val="20"/>
        </w:rPr>
        <w:t>Code.</w:t>
      </w:r>
    </w:p>
    <w:p>
      <w:pPr>
        <w:pStyle w:val="TextBody"/>
        <w:spacing w:lineRule="auto" w:line="292" w:before="0" w:after="240"/>
        <w:ind w:left="0" w:right="151" w:hanging="0"/>
        <w:jc w:val="both"/>
        <w:rPr>
          <w:rFonts w:ascii="Times New Roman;Times;serif" w:hAnsi="Times New Roman;Times;serif"/>
          <w:color w:val="231F20"/>
          <w:sz w:val="20"/>
        </w:rPr>
      </w:pPr>
      <w:r>
        <w:rPr>
          <w:rFonts w:ascii="Times New Roman;Times;serif" w:hAnsi="Times New Roman;Times;serif"/>
          <w:color w:val="231F20"/>
          <w:sz w:val="20"/>
        </w:rPr>
        <w:t>Under the Colorado Marijuana Code, the Colorado Department of Revenue is empowered to grant licenses to both adult use and medical marijuana businesses, including cultivation facilities, products manufacturers, testing facilities, transporters, researchers and developers, and (in the adult use context) accelerator cultivators, accelerator stores, and hospitality businesses.</w:t>
      </w:r>
    </w:p>
    <w:p>
      <w:pPr>
        <w:pStyle w:val="TextBody"/>
        <w:spacing w:lineRule="auto" w:line="292" w:before="1" w:after="240"/>
        <w:ind w:left="0" w:right="157" w:hanging="0"/>
        <w:jc w:val="both"/>
        <w:rPr>
          <w:rFonts w:ascii="Times New Roman;Times;serif" w:hAnsi="Times New Roman;Times;serif"/>
          <w:color w:val="231F20"/>
          <w:sz w:val="20"/>
        </w:rPr>
      </w:pPr>
      <w:r>
        <w:rPr>
          <w:rFonts w:ascii="Times New Roman;Times;serif" w:hAnsi="Times New Roman;Times;serif"/>
          <w:color w:val="231F20"/>
          <w:sz w:val="20"/>
        </w:rPr>
        <w:t>Cannabis businesses must also comply with local licensing requirements. Colorado localities are allowed to limit or prohibit the operation of marijuana businesses.</w:t>
      </w:r>
    </w:p>
    <w:p>
      <w:pPr>
        <w:pStyle w:val="TextBody"/>
        <w:spacing w:lineRule="auto" w:line="292" w:before="0" w:after="240"/>
        <w:ind w:left="0" w:right="157" w:hanging="0"/>
        <w:jc w:val="both"/>
        <w:rPr>
          <w:rFonts w:ascii="Times New Roman;Times;serif" w:hAnsi="Times New Roman;Times;serif"/>
          <w:color w:val="231F20"/>
          <w:sz w:val="20"/>
        </w:rPr>
      </w:pPr>
      <w:r>
        <w:rPr>
          <w:rFonts w:ascii="Times New Roman;Times;serif" w:hAnsi="Times New Roman;Times;serif"/>
          <w:color w:val="231F20"/>
          <w:sz w:val="20"/>
        </w:rPr>
        <w:t>The Company in Colorado is in compliance with applicable licensing requirements and the regulatory framework enacted by the State of Colorado.</w:t>
      </w:r>
    </w:p>
    <w:p>
      <w:pPr>
        <w:pStyle w:val="TextBody"/>
        <w:spacing w:before="58" w:after="240"/>
        <w:ind w:left="0" w:right="0" w:hanging="0"/>
        <w:rPr>
          <w:rFonts w:ascii="Times New Roman;Times;serif" w:hAnsi="Times New Roman;Times;serif"/>
          <w:b w:val="false"/>
          <w:i/>
          <w:color w:val="231F20"/>
          <w:sz w:val="20"/>
        </w:rPr>
      </w:pPr>
      <w:r>
        <w:rPr>
          <w:rFonts w:ascii="Times New Roman;Times;serif" w:hAnsi="Times New Roman;Times;serif"/>
          <w:b w:val="false"/>
          <w:i/>
          <w:color w:val="231F20"/>
          <w:sz w:val="20"/>
        </w:rPr>
        <w:t>Colorado License Requirements</w:t>
      </w:r>
    </w:p>
    <w:p>
      <w:pPr>
        <w:pStyle w:val="TextBody"/>
        <w:spacing w:lineRule="auto" w:line="292" w:before="130" w:after="240"/>
        <w:ind w:left="0" w:right="105" w:hanging="0"/>
        <w:jc w:val="both"/>
        <w:rPr>
          <w:rFonts w:ascii="Times New Roman;Times;serif" w:hAnsi="Times New Roman;Times;serif"/>
          <w:sz w:val="20"/>
        </w:rPr>
      </w:pPr>
      <w:r>
        <w:rPr>
          <w:rFonts w:ascii="Times New Roman;Times;serif" w:hAnsi="Times New Roman;Times;serif"/>
          <w:color w:val="231F20"/>
          <w:sz w:val="20"/>
        </w:rPr>
        <w:t>An application</w:t>
      </w:r>
      <w:r>
        <w:rPr>
          <w:rFonts w:ascii="Times New Roman;Times;serif" w:hAnsi="Times New Roman;Times;serif"/>
          <w:color w:val="231F20"/>
          <w:spacing w:val="3"/>
          <w:sz w:val="20"/>
        </w:rPr>
        <w:t xml:space="preserve"> </w:t>
      </w:r>
      <w:r>
        <w:rPr>
          <w:rFonts w:ascii="Times New Roman;Times;serif" w:hAnsi="Times New Roman;Times;serif"/>
          <w:color w:val="231F20"/>
          <w:sz w:val="20"/>
        </w:rPr>
        <w:t>for a marijuana</w:t>
      </w:r>
      <w:r>
        <w:rPr>
          <w:rFonts w:ascii="Times New Roman;Times;serif" w:hAnsi="Times New Roman;Times;serif"/>
          <w:color w:val="231F20"/>
          <w:spacing w:val="3"/>
          <w:sz w:val="20"/>
        </w:rPr>
        <w:t xml:space="preserve"> </w:t>
      </w:r>
      <w:r>
        <w:rPr>
          <w:rFonts w:ascii="Times New Roman;Times;serif" w:hAnsi="Times New Roman;Times;serif"/>
          <w:color w:val="231F20"/>
          <w:sz w:val="20"/>
        </w:rPr>
        <w:t>business in Colorado requires submission of (1) a copy of any local license required for the marijuana</w:t>
      </w:r>
      <w:r>
        <w:rPr>
          <w:rFonts w:ascii="Times New Roman;Times;serif" w:hAnsi="Times New Roman;Times;serif"/>
          <w:color w:val="231F20"/>
          <w:spacing w:val="3"/>
          <w:sz w:val="20"/>
        </w:rPr>
        <w:t xml:space="preserve"> </w:t>
      </w:r>
      <w:r>
        <w:rPr>
          <w:rFonts w:ascii="Times New Roman;Times;serif" w:hAnsi="Times New Roman;Times;serif"/>
          <w:color w:val="231F20"/>
          <w:sz w:val="20"/>
        </w:rPr>
        <w:t>business, (2) a certificate</w:t>
      </w:r>
      <w:r>
        <w:rPr>
          <w:rFonts w:ascii="Times New Roman;Times;serif" w:hAnsi="Times New Roman;Times;serif"/>
          <w:color w:val="231F20"/>
          <w:spacing w:val="4"/>
          <w:sz w:val="20"/>
        </w:rPr>
        <w:t xml:space="preserve"> </w:t>
      </w:r>
      <w:r>
        <w:rPr>
          <w:rFonts w:ascii="Times New Roman;Times;serif" w:hAnsi="Times New Roman;Times;serif"/>
          <w:color w:val="231F20"/>
          <w:sz w:val="20"/>
        </w:rPr>
        <w:t>of good standing from the jurisdiction</w:t>
      </w:r>
      <w:r>
        <w:rPr>
          <w:rFonts w:ascii="Times New Roman;Times;serif" w:hAnsi="Times New Roman;Times;serif"/>
          <w:color w:val="231F20"/>
          <w:spacing w:val="3"/>
          <w:sz w:val="20"/>
        </w:rPr>
        <w:t xml:space="preserve"> </w:t>
      </w:r>
      <w:r>
        <w:rPr>
          <w:rFonts w:ascii="Times New Roman;Times;serif" w:hAnsi="Times New Roman;Times;serif"/>
          <w:color w:val="231F20"/>
          <w:sz w:val="20"/>
        </w:rPr>
        <w:t>in which the business was formed, (3) the identity and address of the registered</w:t>
      </w:r>
      <w:r>
        <w:rPr>
          <w:rFonts w:ascii="Times New Roman;Times;serif" w:hAnsi="Times New Roman;Times;serif"/>
          <w:color w:val="231F20"/>
          <w:spacing w:val="3"/>
          <w:sz w:val="20"/>
        </w:rPr>
        <w:t xml:space="preserve"> </w:t>
      </w:r>
      <w:r>
        <w:rPr>
          <w:rFonts w:ascii="Times New Roman;Times;serif" w:hAnsi="Times New Roman;Times;serif"/>
          <w:color w:val="231F20"/>
          <w:sz w:val="20"/>
        </w:rPr>
        <w:t>agent in Colorado, (4) organizational</w:t>
      </w:r>
      <w:r>
        <w:rPr>
          <w:rFonts w:ascii="Times New Roman;Times;serif" w:hAnsi="Times New Roman;Times;serif"/>
          <w:color w:val="231F20"/>
          <w:spacing w:val="3"/>
          <w:sz w:val="20"/>
        </w:rPr>
        <w:t xml:space="preserve"> </w:t>
      </w:r>
      <w:r>
        <w:rPr>
          <w:rFonts w:ascii="Times New Roman;Times;serif" w:hAnsi="Times New Roman;Times;serif"/>
          <w:color w:val="231F20"/>
          <w:sz w:val="20"/>
        </w:rPr>
        <w:t>documents such as articles</w:t>
      </w:r>
      <w:r>
        <w:rPr>
          <w:rFonts w:ascii="Times New Roman;Times;serif" w:hAnsi="Times New Roman;Times;serif"/>
          <w:color w:val="231F20"/>
          <w:spacing w:val="3"/>
          <w:sz w:val="20"/>
        </w:rPr>
        <w:t xml:space="preserve"> </w:t>
      </w:r>
      <w:r>
        <w:rPr>
          <w:rFonts w:ascii="Times New Roman;Times;serif" w:hAnsi="Times New Roman;Times;serif"/>
          <w:color w:val="231F20"/>
          <w:sz w:val="20"/>
        </w:rPr>
        <w:t>of incorporation,</w:t>
      </w:r>
      <w:r>
        <w:rPr>
          <w:rFonts w:ascii="Times New Roman;Times;serif" w:hAnsi="Times New Roman;Times;serif"/>
          <w:color w:val="231F20"/>
          <w:spacing w:val="3"/>
          <w:sz w:val="20"/>
        </w:rPr>
        <w:t xml:space="preserve"> </w:t>
      </w:r>
      <w:r>
        <w:rPr>
          <w:rFonts w:ascii="Times New Roman;Times;serif" w:hAnsi="Times New Roman;Times;serif"/>
          <w:color w:val="231F20"/>
          <w:sz w:val="20"/>
        </w:rPr>
        <w:t>bylaws, articles</w:t>
      </w:r>
      <w:r>
        <w:rPr>
          <w:rFonts w:ascii="Times New Roman;Times;serif" w:hAnsi="Times New Roman;Times;serif"/>
          <w:color w:val="231F20"/>
          <w:spacing w:val="3"/>
          <w:sz w:val="20"/>
        </w:rPr>
        <w:t xml:space="preserve"> </w:t>
      </w:r>
      <w:r>
        <w:rPr>
          <w:rFonts w:ascii="Times New Roman;Times;serif" w:hAnsi="Times New Roman;Times;serif"/>
          <w:color w:val="231F20"/>
          <w:sz w:val="20"/>
        </w:rPr>
        <w:t>of organization,</w:t>
      </w:r>
      <w:r>
        <w:rPr>
          <w:rFonts w:ascii="Times New Roman;Times;serif" w:hAnsi="Times New Roman;Times;serif"/>
          <w:color w:val="231F20"/>
          <w:spacing w:val="3"/>
          <w:sz w:val="20"/>
        </w:rPr>
        <w:t xml:space="preserve"> </w:t>
      </w:r>
      <w:r>
        <w:rPr>
          <w:rFonts w:ascii="Times New Roman;Times;serif" w:hAnsi="Times New Roman;Times;serif"/>
          <w:color w:val="231F20"/>
          <w:sz w:val="20"/>
        </w:rPr>
        <w:t>and similar</w:t>
      </w:r>
      <w:r>
        <w:rPr>
          <w:rFonts w:ascii="Times New Roman;Times;serif" w:hAnsi="Times New Roman;Times;serif"/>
          <w:color w:val="231F20"/>
          <w:spacing w:val="3"/>
          <w:sz w:val="20"/>
        </w:rPr>
        <w:t xml:space="preserve"> </w:t>
      </w:r>
      <w:r>
        <w:rPr>
          <w:rFonts w:ascii="Times New Roman;Times;serif" w:hAnsi="Times New Roman;Times;serif"/>
          <w:color w:val="231F20"/>
          <w:sz w:val="20"/>
        </w:rPr>
        <w:t>documents, (5) corporate governance documents, (6) a deed, lease, or similar</w:t>
      </w:r>
      <w:r>
        <w:rPr>
          <w:rFonts w:ascii="Times New Roman;Times;serif" w:hAnsi="Times New Roman;Times;serif"/>
          <w:color w:val="231F20"/>
          <w:spacing w:val="3"/>
          <w:sz w:val="20"/>
        </w:rPr>
        <w:t xml:space="preserve"> </w:t>
      </w:r>
      <w:r>
        <w:rPr>
          <w:rFonts w:ascii="Times New Roman;Times;serif" w:hAnsi="Times New Roman;Times;serif"/>
          <w:color w:val="231F20"/>
          <w:sz w:val="20"/>
        </w:rPr>
        <w:t>document establishing</w:t>
      </w:r>
      <w:r>
        <w:rPr>
          <w:rFonts w:ascii="Times New Roman;Times;serif" w:hAnsi="Times New Roman;Times;serif"/>
          <w:color w:val="231F20"/>
          <w:spacing w:val="3"/>
          <w:sz w:val="20"/>
        </w:rPr>
        <w:t xml:space="preserve"> </w:t>
      </w:r>
      <w:r>
        <w:rPr>
          <w:rFonts w:ascii="Times New Roman;Times;serif" w:hAnsi="Times New Roman;Times;serif"/>
          <w:color w:val="231F20"/>
          <w:sz w:val="20"/>
        </w:rPr>
        <w:t>the applicant’s</w:t>
      </w:r>
      <w:r>
        <w:rPr>
          <w:rFonts w:ascii="Times New Roman;Times;serif" w:hAnsi="Times New Roman;Times;serif"/>
          <w:color w:val="231F20"/>
          <w:spacing w:val="3"/>
          <w:sz w:val="20"/>
        </w:rPr>
        <w:t xml:space="preserve"> </w:t>
      </w:r>
      <w:r>
        <w:rPr>
          <w:rFonts w:ascii="Times New Roman;Times;serif" w:hAnsi="Times New Roman;Times;serif"/>
          <w:color w:val="231F20"/>
          <w:sz w:val="20"/>
        </w:rPr>
        <w:t>ability to use the proposed premises,</w:t>
      </w:r>
      <w:r>
        <w:rPr>
          <w:rFonts w:ascii="Times New Roman;Times;serif" w:hAnsi="Times New Roman;Times;serif"/>
          <w:color w:val="231F20"/>
          <w:spacing w:val="3"/>
          <w:sz w:val="20"/>
        </w:rPr>
        <w:t xml:space="preserve"> </w:t>
      </w:r>
      <w:r>
        <w:rPr>
          <w:rFonts w:ascii="Times New Roman;Times;serif" w:hAnsi="Times New Roman;Times;serif"/>
          <w:color w:val="231F20"/>
          <w:sz w:val="20"/>
        </w:rPr>
        <w:t>(7) a facility</w:t>
      </w:r>
      <w:r>
        <w:rPr>
          <w:rFonts w:ascii="Times New Roman;Times;serif" w:hAnsi="Times New Roman;Times;serif"/>
          <w:color w:val="231F20"/>
          <w:spacing w:val="3"/>
          <w:sz w:val="20"/>
        </w:rPr>
        <w:t xml:space="preserve"> </w:t>
      </w:r>
      <w:r>
        <w:rPr>
          <w:rFonts w:ascii="Times New Roman;Times;serif" w:hAnsi="Times New Roman;Times;serif"/>
          <w:color w:val="231F20"/>
          <w:sz w:val="20"/>
        </w:rPr>
        <w:t>diagram, (8) findings of suitability</w:t>
      </w:r>
      <w:r>
        <w:rPr>
          <w:rFonts w:ascii="Times New Roman;Times;serif" w:hAnsi="Times New Roman;Times;serif"/>
          <w:color w:val="231F20"/>
          <w:spacing w:val="3"/>
          <w:sz w:val="20"/>
        </w:rPr>
        <w:t xml:space="preserve"> </w:t>
      </w:r>
      <w:r>
        <w:rPr>
          <w:rFonts w:ascii="Times New Roman;Times;serif" w:hAnsi="Times New Roman;Times;serif"/>
          <w:color w:val="231F20"/>
          <w:sz w:val="20"/>
        </w:rPr>
        <w:t>with respect to the business’ owners, (8) information regarding securities</w:t>
      </w:r>
      <w:r>
        <w:rPr>
          <w:rFonts w:ascii="Times New Roman;Times;serif" w:hAnsi="Times New Roman;Times;serif"/>
          <w:color w:val="231F20"/>
          <w:spacing w:val="3"/>
          <w:sz w:val="20"/>
        </w:rPr>
        <w:t xml:space="preserve"> </w:t>
      </w:r>
      <w:r>
        <w:rPr>
          <w:rFonts w:ascii="Times New Roman;Times;serif" w:hAnsi="Times New Roman;Times;serif"/>
          <w:color w:val="231F20"/>
          <w:sz w:val="20"/>
        </w:rPr>
        <w:t>listings</w:t>
      </w:r>
      <w:r>
        <w:rPr>
          <w:rFonts w:ascii="Times New Roman;Times;serif" w:hAnsi="Times New Roman;Times;serif"/>
          <w:color w:val="231F20"/>
          <w:spacing w:val="3"/>
          <w:sz w:val="20"/>
        </w:rPr>
        <w:t xml:space="preserve"> </w:t>
      </w:r>
      <w:r>
        <w:rPr>
          <w:rFonts w:ascii="Times New Roman;Times;serif" w:hAnsi="Times New Roman;Times;serif"/>
          <w:color w:val="231F20"/>
          <w:sz w:val="20"/>
        </w:rPr>
        <w:t>(if the business is publicly traded), (9) financial</w:t>
      </w:r>
      <w:r>
        <w:rPr>
          <w:rFonts w:ascii="Times New Roman;Times;serif" w:hAnsi="Times New Roman;Times;serif"/>
          <w:color w:val="231F20"/>
          <w:spacing w:val="3"/>
          <w:sz w:val="20"/>
        </w:rPr>
        <w:t xml:space="preserve"> </w:t>
      </w:r>
      <w:r>
        <w:rPr>
          <w:rFonts w:ascii="Times New Roman;Times;serif" w:hAnsi="Times New Roman;Times;serif"/>
          <w:color w:val="231F20"/>
          <w:sz w:val="20"/>
        </w:rPr>
        <w:t>statements,</w:t>
      </w:r>
      <w:r>
        <w:rPr>
          <w:rFonts w:ascii="Times New Roman;Times;serif" w:hAnsi="Times New Roman;Times;serif"/>
          <w:color w:val="231F20"/>
          <w:spacing w:val="3"/>
          <w:sz w:val="20"/>
        </w:rPr>
        <w:t xml:space="preserve"> </w:t>
      </w:r>
      <w:r>
        <w:rPr>
          <w:rFonts w:ascii="Times New Roman;Times;serif" w:hAnsi="Times New Roman;Times;serif"/>
          <w:color w:val="231F20"/>
          <w:sz w:val="20"/>
        </w:rPr>
        <w:t>and documents related to payments of taxes. A business is required to obtain permission</w:t>
      </w:r>
      <w:r>
        <w:rPr>
          <w:rFonts w:ascii="Times New Roman;Times;serif" w:hAnsi="Times New Roman;Times;serif"/>
          <w:color w:val="231F20"/>
          <w:spacing w:val="3"/>
          <w:sz w:val="20"/>
        </w:rPr>
        <w:t xml:space="preserve"> </w:t>
      </w:r>
      <w:r>
        <w:rPr>
          <w:rFonts w:ascii="Times New Roman;Times;serif" w:hAnsi="Times New Roman;Times;serif"/>
          <w:color w:val="231F20"/>
          <w:sz w:val="20"/>
        </w:rPr>
        <w:t>from its locality</w:t>
      </w:r>
      <w:r>
        <w:rPr>
          <w:rFonts w:ascii="Times New Roman;Times;serif" w:hAnsi="Times New Roman;Times;serif"/>
          <w:color w:val="231F20"/>
          <w:spacing w:val="3"/>
          <w:sz w:val="20"/>
        </w:rPr>
        <w:t xml:space="preserve"> </w:t>
      </w:r>
      <w:r>
        <w:rPr>
          <w:rFonts w:ascii="Times New Roman;Times;serif" w:hAnsi="Times New Roman;Times;serif"/>
          <w:color w:val="231F20"/>
          <w:sz w:val="20"/>
        </w:rPr>
        <w:t>as part of the licensing process.</w:t>
      </w:r>
    </w:p>
    <w:p>
      <w:pPr>
        <w:pStyle w:val="TextBody"/>
        <w:spacing w:lineRule="auto" w:line="292" w:before="0" w:after="240"/>
        <w:ind w:left="0" w:right="0" w:hanging="0"/>
        <w:jc w:val="both"/>
        <w:rPr>
          <w:rFonts w:ascii="Times New Roman;Times;serif" w:hAnsi="Times New Roman;Times;serif"/>
          <w:color w:val="231F20"/>
          <w:sz w:val="20"/>
        </w:rPr>
      </w:pPr>
      <w:r>
        <w:rPr>
          <w:rFonts w:ascii="Times New Roman;Times;serif" w:hAnsi="Times New Roman;Times;serif"/>
          <w:color w:val="231F20"/>
          <w:sz w:val="20"/>
        </w:rPr>
        <w:t>With respect to the renewal process, provided that the requisite renewal fees are paid, the renewal application is submitted in a timely manner, the Company has no reason to believe it wouldn’t receive an applicable renewed licenses in the ordinary course of business.</w:t>
      </w:r>
    </w:p>
    <w:p>
      <w:pPr>
        <w:pStyle w:val="TextBody"/>
        <w:spacing w:lineRule="atLeast" w:line="220" w:before="0" w:after="240"/>
        <w:ind w:left="0" w:right="0" w:hanging="0"/>
        <w:jc w:val="both"/>
        <w:rPr>
          <w:rFonts w:ascii="Times New Roman;Times;serif" w:hAnsi="Times New Roman;Times;serif"/>
          <w:i/>
          <w:color w:val="231F20"/>
          <w:sz w:val="20"/>
        </w:rPr>
      </w:pPr>
      <w:r>
        <w:rPr>
          <w:rFonts w:ascii="Times New Roman;Times;serif" w:hAnsi="Times New Roman;Times;serif"/>
          <w:i/>
          <w:color w:val="231F20"/>
          <w:sz w:val="20"/>
        </w:rPr>
        <w:t>Regulatory Requirements</w:t>
      </w:r>
    </w:p>
    <w:p>
      <w:pPr>
        <w:pStyle w:val="TextBody"/>
        <w:spacing w:lineRule="auto" w:line="292" w:before="33" w:after="240"/>
        <w:ind w:left="0" w:right="189" w:hanging="0"/>
        <w:jc w:val="both"/>
        <w:rPr>
          <w:rFonts w:ascii="Times New Roman;Times;serif" w:hAnsi="Times New Roman;Times;serif"/>
          <w:color w:val="231F20"/>
          <w:sz w:val="20"/>
        </w:rPr>
      </w:pPr>
      <w:r>
        <w:rPr>
          <w:rFonts w:ascii="Times New Roman;Times;serif" w:hAnsi="Times New Roman;Times;serif"/>
          <w:color w:val="231F20"/>
          <w:sz w:val="20"/>
        </w:rPr>
        <w:t>The regulations establish requirements applicable to all marijuana businesses, along with specific requirements for each type of business.</w:t>
      </w:r>
    </w:p>
    <w:p>
      <w:pPr>
        <w:pStyle w:val="TextBody"/>
        <w:spacing w:lineRule="auto" w:line="292" w:before="0" w:after="240"/>
        <w:ind w:left="0" w:right="142" w:hanging="0"/>
        <w:jc w:val="both"/>
        <w:rPr>
          <w:rFonts w:ascii="Times New Roman;Times;serif" w:hAnsi="Times New Roman;Times;serif"/>
          <w:sz w:val="20"/>
        </w:rPr>
      </w:pPr>
      <w:r>
        <w:rPr>
          <w:rFonts w:ascii="Times New Roman;Times;serif" w:hAnsi="Times New Roman;Times;serif"/>
          <w:color w:val="231F20"/>
          <w:sz w:val="20"/>
        </w:rPr>
        <w:t>All marijuana</w:t>
      </w:r>
      <w:r>
        <w:rPr>
          <w:rFonts w:ascii="Times New Roman;Times;serif" w:hAnsi="Times New Roman;Times;serif"/>
          <w:color w:val="231F20"/>
          <w:spacing w:val="3"/>
          <w:sz w:val="20"/>
        </w:rPr>
        <w:t xml:space="preserve"> </w:t>
      </w:r>
      <w:r>
        <w:rPr>
          <w:rFonts w:ascii="Times New Roman;Times;serif" w:hAnsi="Times New Roman;Times;serif"/>
          <w:color w:val="231F20"/>
          <w:sz w:val="20"/>
        </w:rPr>
        <w:t>businesses in Colorado are required to (1) create and enforce limited</w:t>
      </w:r>
      <w:r>
        <w:rPr>
          <w:rFonts w:ascii="Times New Roman;Times;serif" w:hAnsi="Times New Roman;Times;serif"/>
          <w:color w:val="231F20"/>
          <w:spacing w:val="3"/>
          <w:sz w:val="20"/>
        </w:rPr>
        <w:t xml:space="preserve"> </w:t>
      </w:r>
      <w:r>
        <w:rPr>
          <w:rFonts w:ascii="Times New Roman;Times;serif" w:hAnsi="Times New Roman;Times;serif"/>
          <w:color w:val="231F20"/>
          <w:sz w:val="20"/>
        </w:rPr>
        <w:t>access areas for the protection of marijuana</w:t>
      </w:r>
      <w:r>
        <w:rPr>
          <w:rFonts w:ascii="Times New Roman;Times;serif" w:hAnsi="Times New Roman;Times;serif"/>
          <w:color w:val="231F20"/>
          <w:spacing w:val="3"/>
          <w:sz w:val="20"/>
        </w:rPr>
        <w:t xml:space="preserve"> </w:t>
      </w:r>
      <w:r>
        <w:rPr>
          <w:rFonts w:ascii="Times New Roman;Times;serif" w:hAnsi="Times New Roman;Times;serif"/>
          <w:color w:val="231F20"/>
          <w:sz w:val="20"/>
        </w:rPr>
        <w:t>and marijuana</w:t>
      </w:r>
      <w:r>
        <w:rPr>
          <w:rFonts w:ascii="Times New Roman;Times;serif" w:hAnsi="Times New Roman;Times;serif"/>
          <w:color w:val="231F20"/>
          <w:spacing w:val="3"/>
          <w:sz w:val="20"/>
        </w:rPr>
        <w:t xml:space="preserve"> </w:t>
      </w:r>
      <w:r>
        <w:rPr>
          <w:rFonts w:ascii="Times New Roman;Times;serif" w:hAnsi="Times New Roman;Times;serif"/>
          <w:color w:val="231F20"/>
          <w:sz w:val="20"/>
        </w:rPr>
        <w:t>products, (2) maintain</w:t>
      </w:r>
      <w:r>
        <w:rPr>
          <w:rFonts w:ascii="Times New Roman;Times;serif" w:hAnsi="Times New Roman;Times;serif"/>
          <w:color w:val="231F20"/>
          <w:spacing w:val="3"/>
          <w:sz w:val="20"/>
        </w:rPr>
        <w:t xml:space="preserve"> </w:t>
      </w:r>
      <w:r>
        <w:rPr>
          <w:rFonts w:ascii="Times New Roman;Times;serif" w:hAnsi="Times New Roman;Times;serif"/>
          <w:color w:val="231F20"/>
          <w:sz w:val="20"/>
        </w:rPr>
        <w:t>security alarm systems installed</w:t>
      </w:r>
      <w:r>
        <w:rPr>
          <w:rFonts w:ascii="Times New Roman;Times;serif" w:hAnsi="Times New Roman;Times;serif"/>
          <w:color w:val="231F20"/>
          <w:spacing w:val="3"/>
          <w:sz w:val="20"/>
        </w:rPr>
        <w:t xml:space="preserve"> </w:t>
      </w:r>
      <w:r>
        <w:rPr>
          <w:rFonts w:ascii="Times New Roman;Times;serif" w:hAnsi="Times New Roman;Times;serif"/>
          <w:color w:val="231F20"/>
          <w:sz w:val="20"/>
        </w:rPr>
        <w:t>and maintained</w:t>
      </w:r>
      <w:r>
        <w:rPr>
          <w:rFonts w:ascii="Times New Roman;Times;serif" w:hAnsi="Times New Roman;Times;serif"/>
          <w:color w:val="231F20"/>
          <w:spacing w:val="3"/>
          <w:sz w:val="20"/>
        </w:rPr>
        <w:t xml:space="preserve"> </w:t>
      </w:r>
      <w:r>
        <w:rPr>
          <w:rFonts w:ascii="Times New Roman;Times;serif" w:hAnsi="Times New Roman;Times;serif"/>
          <w:color w:val="231F20"/>
          <w:sz w:val="20"/>
        </w:rPr>
        <w:t>by a licensed alarm installation</w:t>
      </w:r>
      <w:r>
        <w:rPr>
          <w:rFonts w:ascii="Times New Roman;Times;serif" w:hAnsi="Times New Roman;Times;serif"/>
          <w:color w:val="231F20"/>
          <w:spacing w:val="4"/>
          <w:sz w:val="20"/>
        </w:rPr>
        <w:t xml:space="preserve"> </w:t>
      </w:r>
      <w:r>
        <w:rPr>
          <w:rFonts w:ascii="Times New Roman;Times;serif" w:hAnsi="Times New Roman;Times;serif"/>
          <w:color w:val="231F20"/>
          <w:sz w:val="20"/>
        </w:rPr>
        <w:t>company, as well as approved locks and surveillance</w:t>
      </w:r>
      <w:r>
        <w:rPr>
          <w:rFonts w:ascii="Times New Roman;Times;serif" w:hAnsi="Times New Roman;Times;serif"/>
          <w:color w:val="231F20"/>
          <w:spacing w:val="3"/>
          <w:sz w:val="20"/>
        </w:rPr>
        <w:t xml:space="preserve"> </w:t>
      </w:r>
      <w:r>
        <w:rPr>
          <w:rFonts w:ascii="Times New Roman;Times;serif" w:hAnsi="Times New Roman;Times;serif"/>
          <w:color w:val="231F20"/>
          <w:sz w:val="20"/>
        </w:rPr>
        <w:t>equipment, (3) follow all applicable</w:t>
      </w:r>
      <w:r>
        <w:rPr>
          <w:rFonts w:ascii="Times New Roman;Times;serif" w:hAnsi="Times New Roman;Times;serif"/>
          <w:color w:val="231F20"/>
          <w:spacing w:val="3"/>
          <w:sz w:val="20"/>
        </w:rPr>
        <w:t xml:space="preserve"> </w:t>
      </w:r>
      <w:r>
        <w:rPr>
          <w:rFonts w:ascii="Times New Roman;Times;serif" w:hAnsi="Times New Roman;Times;serif"/>
          <w:color w:val="231F20"/>
          <w:sz w:val="20"/>
        </w:rPr>
        <w:t>laws regarding waste disposal (including cannabis-containing</w:t>
      </w:r>
      <w:r>
        <w:rPr>
          <w:rFonts w:ascii="Times New Roman;Times;serif" w:hAnsi="Times New Roman;Times;serif"/>
          <w:color w:val="231F20"/>
          <w:spacing w:val="4"/>
          <w:sz w:val="20"/>
        </w:rPr>
        <w:t xml:space="preserve"> </w:t>
      </w:r>
      <w:r>
        <w:rPr>
          <w:rFonts w:ascii="Times New Roman;Times;serif" w:hAnsi="Times New Roman;Times;serif"/>
          <w:color w:val="231F20"/>
          <w:sz w:val="20"/>
        </w:rPr>
        <w:t>waste), (4) implement</w:t>
      </w:r>
      <w:r>
        <w:rPr>
          <w:rFonts w:ascii="Times New Roman;Times;serif" w:hAnsi="Times New Roman;Times;serif"/>
          <w:color w:val="231F20"/>
          <w:spacing w:val="3"/>
          <w:sz w:val="20"/>
        </w:rPr>
        <w:t xml:space="preserve"> </w:t>
      </w:r>
      <w:r>
        <w:rPr>
          <w:rFonts w:ascii="Times New Roman;Times;serif" w:hAnsi="Times New Roman;Times;serif"/>
          <w:color w:val="231F20"/>
          <w:sz w:val="20"/>
        </w:rPr>
        <w:t>an inventory tracking system used for inventory tracking and recordkeeping,</w:t>
      </w:r>
      <w:r>
        <w:rPr>
          <w:rFonts w:ascii="Times New Roman;Times;serif" w:hAnsi="Times New Roman;Times;serif"/>
          <w:color w:val="231F20"/>
          <w:spacing w:val="3"/>
          <w:sz w:val="20"/>
        </w:rPr>
        <w:t xml:space="preserve"> </w:t>
      </w:r>
      <w:r>
        <w:rPr>
          <w:rFonts w:ascii="Times New Roman;Times;serif" w:hAnsi="Times New Roman;Times;serif"/>
          <w:color w:val="231F20"/>
          <w:sz w:val="20"/>
        </w:rPr>
        <w:t>(5) comply with both state and local requirements</w:t>
      </w:r>
      <w:r>
        <w:rPr>
          <w:rFonts w:ascii="Times New Roman;Times;serif" w:hAnsi="Times New Roman;Times;serif"/>
          <w:color w:val="231F20"/>
          <w:spacing w:val="3"/>
          <w:sz w:val="20"/>
        </w:rPr>
        <w:t xml:space="preserve"> </w:t>
      </w:r>
      <w:r>
        <w:rPr>
          <w:rFonts w:ascii="Times New Roman;Times;serif" w:hAnsi="Times New Roman;Times;serif"/>
          <w:color w:val="231F20"/>
          <w:sz w:val="20"/>
        </w:rPr>
        <w:t>as to hours of operation, (6) comply with sanitary requirements</w:t>
      </w:r>
      <w:r>
        <w:rPr>
          <w:rFonts w:ascii="Times New Roman;Times;serif" w:hAnsi="Times New Roman;Times;serif"/>
          <w:color w:val="231F20"/>
          <w:spacing w:val="3"/>
          <w:sz w:val="20"/>
        </w:rPr>
        <w:t xml:space="preserve"> </w:t>
      </w:r>
      <w:r>
        <w:rPr>
          <w:rFonts w:ascii="Times New Roman;Times;serif" w:hAnsi="Times New Roman;Times;serif"/>
          <w:color w:val="231F20"/>
          <w:sz w:val="20"/>
        </w:rPr>
        <w:t>applicable</w:t>
      </w:r>
      <w:r>
        <w:rPr>
          <w:rFonts w:ascii="Times New Roman;Times;serif" w:hAnsi="Times New Roman;Times;serif"/>
          <w:color w:val="231F20"/>
          <w:spacing w:val="3"/>
          <w:sz w:val="20"/>
        </w:rPr>
        <w:t xml:space="preserve"> </w:t>
      </w:r>
      <w:r>
        <w:rPr>
          <w:rFonts w:ascii="Times New Roman;Times;serif" w:hAnsi="Times New Roman;Times;serif"/>
          <w:color w:val="231F20"/>
          <w:sz w:val="20"/>
        </w:rPr>
        <w:t>to employees and production spaces, including sanitation</w:t>
      </w:r>
      <w:r>
        <w:rPr>
          <w:rFonts w:ascii="Times New Roman;Times;serif" w:hAnsi="Times New Roman;Times;serif"/>
          <w:color w:val="231F20"/>
          <w:spacing w:val="3"/>
          <w:sz w:val="20"/>
        </w:rPr>
        <w:t xml:space="preserve"> </w:t>
      </w:r>
      <w:r>
        <w:rPr>
          <w:rFonts w:ascii="Times New Roman;Times;serif" w:hAnsi="Times New Roman;Times;serif"/>
          <w:color w:val="231F20"/>
          <w:sz w:val="20"/>
        </w:rPr>
        <w:t>audits, (7) comply with recordkeeping</w:t>
      </w:r>
      <w:r>
        <w:rPr>
          <w:rFonts w:ascii="Times New Roman;Times;serif" w:hAnsi="Times New Roman;Times;serif"/>
          <w:color w:val="231F20"/>
          <w:spacing w:val="3"/>
          <w:sz w:val="20"/>
        </w:rPr>
        <w:t xml:space="preserve"> </w:t>
      </w:r>
      <w:r>
        <w:rPr>
          <w:rFonts w:ascii="Times New Roman;Times;serif" w:hAnsi="Times New Roman;Times;serif"/>
          <w:color w:val="231F20"/>
          <w:sz w:val="20"/>
        </w:rPr>
        <w:t>requirements,</w:t>
      </w:r>
      <w:r>
        <w:rPr>
          <w:rFonts w:ascii="Times New Roman;Times;serif" w:hAnsi="Times New Roman;Times;serif"/>
          <w:color w:val="231F20"/>
          <w:spacing w:val="3"/>
          <w:sz w:val="20"/>
        </w:rPr>
        <w:t xml:space="preserve"> </w:t>
      </w:r>
      <w:r>
        <w:rPr>
          <w:rFonts w:ascii="Times New Roman;Times;serif" w:hAnsi="Times New Roman;Times;serif"/>
          <w:color w:val="231F20"/>
          <w:sz w:val="20"/>
        </w:rPr>
        <w:t>and (8) maintain</w:t>
      </w:r>
      <w:r>
        <w:rPr>
          <w:rFonts w:ascii="Times New Roman;Times;serif" w:hAnsi="Times New Roman;Times;serif"/>
          <w:color w:val="231F20"/>
          <w:spacing w:val="3"/>
          <w:sz w:val="20"/>
        </w:rPr>
        <w:t xml:space="preserve"> </w:t>
      </w:r>
      <w:r>
        <w:rPr>
          <w:rFonts w:ascii="Times New Roman;Times;serif" w:hAnsi="Times New Roman;Times;serif"/>
          <w:color w:val="231F20"/>
          <w:sz w:val="20"/>
        </w:rPr>
        <w:t>and provide procedures for dealing with product recalls.</w:t>
      </w:r>
    </w:p>
    <w:p>
      <w:pPr>
        <w:pStyle w:val="TextBody"/>
        <w:spacing w:lineRule="auto" w:line="292" w:before="0" w:after="240"/>
        <w:ind w:left="0" w:right="189" w:hanging="0"/>
        <w:jc w:val="both"/>
        <w:rPr>
          <w:rFonts w:ascii="Times New Roman;Times;serif" w:hAnsi="Times New Roman;Times;serif"/>
          <w:sz w:val="20"/>
        </w:rPr>
      </w:pPr>
      <w:r>
        <w:rPr>
          <w:rFonts w:ascii="Times New Roman;Times;serif" w:hAnsi="Times New Roman;Times;serif"/>
          <w:color w:val="231F20"/>
          <w:sz w:val="20"/>
        </w:rPr>
        <w:t>Cultivation facilities</w:t>
      </w:r>
      <w:r>
        <w:rPr>
          <w:rFonts w:ascii="Times New Roman;Times;serif" w:hAnsi="Times New Roman;Times;serif"/>
          <w:color w:val="231F20"/>
          <w:spacing w:val="4"/>
          <w:sz w:val="20"/>
        </w:rPr>
        <w:t xml:space="preserve"> </w:t>
      </w:r>
      <w:r>
        <w:rPr>
          <w:rFonts w:ascii="Times New Roman;Times;serif" w:hAnsi="Times New Roman;Times;serif"/>
          <w:color w:val="231F20"/>
          <w:sz w:val="20"/>
        </w:rPr>
        <w:t>are additionally</w:t>
      </w:r>
      <w:r>
        <w:rPr>
          <w:rFonts w:ascii="Times New Roman;Times;serif" w:hAnsi="Times New Roman;Times;serif"/>
          <w:color w:val="231F20"/>
          <w:spacing w:val="3"/>
          <w:sz w:val="20"/>
        </w:rPr>
        <w:t xml:space="preserve"> </w:t>
      </w:r>
      <w:r>
        <w:rPr>
          <w:rFonts w:ascii="Times New Roman;Times;serif" w:hAnsi="Times New Roman;Times;serif"/>
          <w:color w:val="231F20"/>
          <w:sz w:val="20"/>
        </w:rPr>
        <w:t>required to (1) provide and maintain</w:t>
      </w:r>
      <w:r>
        <w:rPr>
          <w:rFonts w:ascii="Times New Roman;Times;serif" w:hAnsi="Times New Roman;Times;serif"/>
          <w:color w:val="231F20"/>
          <w:spacing w:val="3"/>
          <w:sz w:val="20"/>
        </w:rPr>
        <w:t xml:space="preserve"> </w:t>
      </w:r>
      <w:r>
        <w:rPr>
          <w:rFonts w:ascii="Times New Roman;Times;serif" w:hAnsi="Times New Roman;Times;serif"/>
          <w:color w:val="231F20"/>
          <w:sz w:val="20"/>
        </w:rPr>
        <w:t>copies of standard operating procedures for cultivation,</w:t>
      </w:r>
      <w:r>
        <w:rPr>
          <w:rFonts w:ascii="Times New Roman;Times;serif" w:hAnsi="Times New Roman;Times;serif"/>
          <w:color w:val="231F20"/>
          <w:spacing w:val="3"/>
          <w:sz w:val="20"/>
        </w:rPr>
        <w:t xml:space="preserve"> </w:t>
      </w:r>
      <w:r>
        <w:rPr>
          <w:rFonts w:ascii="Times New Roman;Times;serif" w:hAnsi="Times New Roman;Times;serif"/>
          <w:color w:val="231F20"/>
          <w:sz w:val="20"/>
        </w:rPr>
        <w:t>harvesting, drying, curing, trimming,</w:t>
      </w:r>
      <w:r>
        <w:rPr>
          <w:rFonts w:ascii="Times New Roman;Times;serif" w:hAnsi="Times New Roman;Times;serif"/>
          <w:color w:val="231F20"/>
          <w:spacing w:val="3"/>
          <w:sz w:val="20"/>
        </w:rPr>
        <w:t xml:space="preserve"> </w:t>
      </w:r>
      <w:r>
        <w:rPr>
          <w:rFonts w:ascii="Times New Roman;Times;serif" w:hAnsi="Times New Roman;Times;serif"/>
          <w:color w:val="231F20"/>
          <w:sz w:val="20"/>
        </w:rPr>
        <w:t>packaging, storing, and sampling, (2) comply with requirements</w:t>
      </w:r>
      <w:r>
        <w:rPr>
          <w:rFonts w:ascii="Times New Roman;Times;serif" w:hAnsi="Times New Roman;Times;serif"/>
          <w:color w:val="231F20"/>
          <w:spacing w:val="3"/>
          <w:sz w:val="20"/>
        </w:rPr>
        <w:t xml:space="preserve"> </w:t>
      </w:r>
      <w:r>
        <w:rPr>
          <w:rFonts w:ascii="Times New Roman;Times;serif" w:hAnsi="Times New Roman;Times;serif"/>
          <w:color w:val="231F20"/>
          <w:sz w:val="20"/>
        </w:rPr>
        <w:t>related to pesticides,</w:t>
      </w:r>
      <w:r>
        <w:rPr>
          <w:rFonts w:ascii="Times New Roman;Times;serif" w:hAnsi="Times New Roman;Times;serif"/>
          <w:color w:val="231F20"/>
          <w:spacing w:val="3"/>
          <w:sz w:val="20"/>
        </w:rPr>
        <w:t xml:space="preserve"> </w:t>
      </w:r>
      <w:r>
        <w:rPr>
          <w:rFonts w:ascii="Times New Roman;Times;serif" w:hAnsi="Times New Roman;Times;serif"/>
          <w:color w:val="231F20"/>
          <w:sz w:val="20"/>
        </w:rPr>
        <w:t>and (3) comply with additional</w:t>
      </w:r>
      <w:r>
        <w:rPr>
          <w:rFonts w:ascii="Times New Roman;Times;serif" w:hAnsi="Times New Roman;Times;serif"/>
          <w:color w:val="231F20"/>
          <w:spacing w:val="3"/>
          <w:sz w:val="20"/>
        </w:rPr>
        <w:t xml:space="preserve"> </w:t>
      </w:r>
      <w:r>
        <w:rPr>
          <w:rFonts w:ascii="Times New Roman;Times;serif" w:hAnsi="Times New Roman;Times;serif"/>
          <w:color w:val="231F20"/>
          <w:sz w:val="20"/>
        </w:rPr>
        <w:t>sanitary and product safety requirements. Marijuana</w:t>
      </w:r>
      <w:r>
        <w:rPr>
          <w:rFonts w:ascii="Times New Roman;Times;serif" w:hAnsi="Times New Roman;Times;serif"/>
          <w:color w:val="231F20"/>
          <w:spacing w:val="3"/>
          <w:sz w:val="20"/>
        </w:rPr>
        <w:t xml:space="preserve"> </w:t>
      </w:r>
      <w:r>
        <w:rPr>
          <w:rFonts w:ascii="Times New Roman;Times;serif" w:hAnsi="Times New Roman;Times;serif"/>
          <w:color w:val="231F20"/>
          <w:sz w:val="20"/>
        </w:rPr>
        <w:t>products manufacturers</w:t>
      </w:r>
      <w:r>
        <w:rPr>
          <w:rFonts w:ascii="Times New Roman;Times;serif" w:hAnsi="Times New Roman;Times;serif"/>
          <w:color w:val="231F20"/>
          <w:spacing w:val="4"/>
          <w:sz w:val="20"/>
        </w:rPr>
        <w:t xml:space="preserve"> </w:t>
      </w:r>
      <w:r>
        <w:rPr>
          <w:rFonts w:ascii="Times New Roman;Times;serif" w:hAnsi="Times New Roman;Times;serif"/>
          <w:color w:val="231F20"/>
          <w:sz w:val="20"/>
        </w:rPr>
        <w:t>are required to (1) comply with labeling and dosing requirements</w:t>
      </w:r>
      <w:r>
        <w:rPr>
          <w:rFonts w:ascii="Times New Roman;Times;serif" w:hAnsi="Times New Roman;Times;serif"/>
          <w:color w:val="231F20"/>
          <w:spacing w:val="3"/>
          <w:sz w:val="20"/>
        </w:rPr>
        <w:t xml:space="preserve"> </w:t>
      </w:r>
      <w:r>
        <w:rPr>
          <w:rFonts w:ascii="Times New Roman;Times;serif" w:hAnsi="Times New Roman;Times;serif"/>
          <w:color w:val="231F20"/>
          <w:sz w:val="20"/>
        </w:rPr>
        <w:t>related to standardized</w:t>
      </w:r>
      <w:r>
        <w:rPr>
          <w:rFonts w:ascii="Times New Roman;Times;serif" w:hAnsi="Times New Roman;Times;serif"/>
          <w:color w:val="231F20"/>
          <w:spacing w:val="3"/>
          <w:sz w:val="20"/>
        </w:rPr>
        <w:t xml:space="preserve"> </w:t>
      </w:r>
      <w:r>
        <w:rPr>
          <w:rFonts w:ascii="Times New Roman;Times;serif" w:hAnsi="Times New Roman;Times;serif"/>
          <w:color w:val="231F20"/>
          <w:sz w:val="20"/>
        </w:rPr>
        <w:t>doses of marijuana,</w:t>
      </w:r>
      <w:r>
        <w:rPr>
          <w:rFonts w:ascii="Times New Roman;Times;serif" w:hAnsi="Times New Roman;Times;serif"/>
          <w:color w:val="231F20"/>
          <w:spacing w:val="3"/>
          <w:sz w:val="20"/>
        </w:rPr>
        <w:t xml:space="preserve"> </w:t>
      </w:r>
      <w:r>
        <w:rPr>
          <w:rFonts w:ascii="Times New Roman;Times;serif" w:hAnsi="Times New Roman;Times;serif"/>
          <w:color w:val="231F20"/>
          <w:sz w:val="20"/>
        </w:rPr>
        <w:t>(2) comply with specific</w:t>
      </w:r>
      <w:r>
        <w:rPr>
          <w:rFonts w:ascii="Times New Roman;Times;serif" w:hAnsi="Times New Roman;Times;serif"/>
          <w:color w:val="231F20"/>
          <w:spacing w:val="3"/>
          <w:sz w:val="20"/>
        </w:rPr>
        <w:t xml:space="preserve"> </w:t>
      </w:r>
      <w:r>
        <w:rPr>
          <w:rFonts w:ascii="Times New Roman;Times;serif" w:hAnsi="Times New Roman;Times;serif"/>
          <w:color w:val="231F20"/>
          <w:sz w:val="20"/>
        </w:rPr>
        <w:t>prohibitions</w:t>
      </w:r>
      <w:r>
        <w:rPr>
          <w:rFonts w:ascii="Times New Roman;Times;serif" w:hAnsi="Times New Roman;Times;serif"/>
          <w:color w:val="231F20"/>
          <w:spacing w:val="3"/>
          <w:sz w:val="20"/>
        </w:rPr>
        <w:t xml:space="preserve"> </w:t>
      </w:r>
      <w:r>
        <w:rPr>
          <w:rFonts w:ascii="Times New Roman;Times;serif" w:hAnsi="Times New Roman;Times;serif"/>
          <w:color w:val="231F20"/>
          <w:sz w:val="20"/>
        </w:rPr>
        <w:t>regarding the shapes, colors, and similar characteristics</w:t>
      </w:r>
      <w:r>
        <w:rPr>
          <w:rFonts w:ascii="Times New Roman;Times;serif" w:hAnsi="Times New Roman;Times;serif"/>
          <w:color w:val="231F20"/>
          <w:spacing w:val="5"/>
          <w:sz w:val="20"/>
        </w:rPr>
        <w:t xml:space="preserve"> </w:t>
      </w:r>
      <w:r>
        <w:rPr>
          <w:rFonts w:ascii="Times New Roman;Times;serif" w:hAnsi="Times New Roman;Times;serif"/>
          <w:color w:val="231F20"/>
          <w:sz w:val="20"/>
        </w:rPr>
        <w:t>of edible products, refrain</w:t>
      </w:r>
      <w:r>
        <w:rPr>
          <w:rFonts w:ascii="Times New Roman;Times;serif" w:hAnsi="Times New Roman;Times;serif"/>
          <w:color w:val="231F20"/>
          <w:spacing w:val="3"/>
          <w:sz w:val="20"/>
        </w:rPr>
        <w:t xml:space="preserve"> </w:t>
      </w:r>
      <w:r>
        <w:rPr>
          <w:rFonts w:ascii="Times New Roman;Times;serif" w:hAnsi="Times New Roman;Times;serif"/>
          <w:color w:val="231F20"/>
          <w:sz w:val="20"/>
        </w:rPr>
        <w:t>from use of prohibited additives and ingredients,</w:t>
      </w:r>
      <w:r>
        <w:rPr>
          <w:rFonts w:ascii="Times New Roman;Times;serif" w:hAnsi="Times New Roman;Times;serif"/>
          <w:color w:val="231F20"/>
          <w:spacing w:val="3"/>
          <w:sz w:val="20"/>
        </w:rPr>
        <w:t xml:space="preserve"> </w:t>
      </w:r>
      <w:r>
        <w:rPr>
          <w:rFonts w:ascii="Times New Roman;Times;serif" w:hAnsi="Times New Roman;Times;serif"/>
          <w:color w:val="231F20"/>
          <w:sz w:val="20"/>
        </w:rPr>
        <w:t>(3) maintain</w:t>
      </w:r>
      <w:r>
        <w:rPr>
          <w:rFonts w:ascii="Times New Roman;Times;serif" w:hAnsi="Times New Roman;Times;serif"/>
          <w:color w:val="231F20"/>
          <w:spacing w:val="3"/>
          <w:sz w:val="20"/>
        </w:rPr>
        <w:t xml:space="preserve"> </w:t>
      </w:r>
      <w:r>
        <w:rPr>
          <w:rFonts w:ascii="Times New Roman;Times;serif" w:hAnsi="Times New Roman;Times;serif"/>
          <w:color w:val="231F20"/>
          <w:sz w:val="20"/>
        </w:rPr>
        <w:t>and provide standard operating procedures related to manufacturing</w:t>
      </w:r>
      <w:r>
        <w:rPr>
          <w:rFonts w:ascii="Times New Roman;Times;serif" w:hAnsi="Times New Roman;Times;serif"/>
          <w:color w:val="231F20"/>
          <w:spacing w:val="3"/>
          <w:sz w:val="20"/>
        </w:rPr>
        <w:t xml:space="preserve"> </w:t>
      </w:r>
      <w:r>
        <w:rPr>
          <w:rFonts w:ascii="Times New Roman;Times;serif" w:hAnsi="Times New Roman;Times;serif"/>
          <w:color w:val="231F20"/>
          <w:sz w:val="20"/>
        </w:rPr>
        <w:t>of each category of products. Marijuana dispensaries</w:t>
      </w:r>
      <w:r>
        <w:rPr>
          <w:rFonts w:ascii="Times New Roman;Times;serif" w:hAnsi="Times New Roman;Times;serif"/>
          <w:color w:val="231F20"/>
          <w:spacing w:val="3"/>
          <w:sz w:val="20"/>
        </w:rPr>
        <w:t xml:space="preserve"> </w:t>
      </w:r>
      <w:r>
        <w:rPr>
          <w:rFonts w:ascii="Times New Roman;Times;serif" w:hAnsi="Times New Roman;Times;serif"/>
          <w:color w:val="231F20"/>
          <w:sz w:val="20"/>
        </w:rPr>
        <w:t>are subject to additional</w:t>
      </w:r>
      <w:r>
        <w:rPr>
          <w:rFonts w:ascii="Times New Roman;Times;serif" w:hAnsi="Times New Roman;Times;serif"/>
          <w:color w:val="231F20"/>
          <w:spacing w:val="3"/>
          <w:sz w:val="20"/>
        </w:rPr>
        <w:t xml:space="preserve"> </w:t>
      </w:r>
      <w:r>
        <w:rPr>
          <w:rFonts w:ascii="Times New Roman;Times;serif" w:hAnsi="Times New Roman;Times;serif"/>
          <w:color w:val="231F20"/>
          <w:sz w:val="20"/>
        </w:rPr>
        <w:t>requirements</w:t>
      </w:r>
      <w:r>
        <w:rPr>
          <w:rFonts w:ascii="Times New Roman;Times;serif" w:hAnsi="Times New Roman;Times;serif"/>
          <w:color w:val="231F20"/>
          <w:spacing w:val="3"/>
          <w:sz w:val="20"/>
        </w:rPr>
        <w:t xml:space="preserve"> </w:t>
      </w:r>
      <w:r>
        <w:rPr>
          <w:rFonts w:ascii="Times New Roman;Times;serif" w:hAnsi="Times New Roman;Times;serif"/>
          <w:color w:val="231F20"/>
          <w:sz w:val="20"/>
        </w:rPr>
        <w:t>regarding (1) methods of accepting orders, (2) payments by customers,</w:t>
      </w:r>
      <w:r>
        <w:rPr>
          <w:rFonts w:ascii="Times New Roman;Times;serif" w:hAnsi="Times New Roman;Times;serif"/>
          <w:color w:val="231F20"/>
          <w:spacing w:val="3"/>
          <w:sz w:val="20"/>
        </w:rPr>
        <w:t xml:space="preserve"> </w:t>
      </w:r>
      <w:r>
        <w:rPr>
          <w:rFonts w:ascii="Times New Roman;Times;serif" w:hAnsi="Times New Roman;Times;serif"/>
          <w:color w:val="231F20"/>
          <w:sz w:val="20"/>
        </w:rPr>
        <w:t>and (3) identification</w:t>
      </w:r>
      <w:r>
        <w:rPr>
          <w:rFonts w:ascii="Times New Roman;Times;serif" w:hAnsi="Times New Roman;Times;serif"/>
          <w:color w:val="231F20"/>
          <w:spacing w:val="4"/>
          <w:sz w:val="20"/>
        </w:rPr>
        <w:t xml:space="preserve"> </w:t>
      </w:r>
      <w:r>
        <w:rPr>
          <w:rFonts w:ascii="Times New Roman;Times;serif" w:hAnsi="Times New Roman;Times;serif"/>
          <w:color w:val="231F20"/>
          <w:sz w:val="20"/>
        </w:rPr>
        <w:t>of customers.</w:t>
      </w:r>
    </w:p>
    <w:p>
      <w:pPr>
        <w:pStyle w:val="TextBody"/>
        <w:spacing w:lineRule="auto" w:line="292" w:before="0" w:after="0"/>
        <w:ind w:left="0" w:right="175" w:hanging="0"/>
        <w:jc w:val="both"/>
        <w:rPr>
          <w:rFonts w:ascii="Times New Roman;Times;serif" w:hAnsi="Times New Roman;Times;serif"/>
          <w:color w:val="231F20"/>
          <w:sz w:val="20"/>
        </w:rPr>
      </w:pPr>
      <w:r>
        <w:rPr>
          <w:rFonts w:ascii="Times New Roman;Times;serif" w:hAnsi="Times New Roman;Times;serif"/>
          <w:color w:val="231F20"/>
          <w:sz w:val="20"/>
        </w:rPr>
        <w:t xml:space="preserve">The Marijuana Enforcement Division and local licensing authorities may conduct announced or unannounced inspections of licensees to determine compliance with applicable laws and regulations. Licensees may also be subject to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92" w:before="0" w:after="240"/>
        <w:ind w:left="0" w:right="175" w:hanging="0"/>
        <w:jc w:val="both"/>
        <w:rPr>
          <w:rFonts w:ascii="Times New Roman;Times;serif" w:hAnsi="Times New Roman;Times;serif"/>
          <w:color w:val="231F20"/>
          <w:sz w:val="20"/>
        </w:rPr>
      </w:pPr>
      <w:r>
        <w:rPr>
          <w:rFonts w:ascii="Times New Roman;Times;serif" w:hAnsi="Times New Roman;Times;serif"/>
          <w:color w:val="231F20"/>
          <w:sz w:val="20"/>
        </w:rPr>
        <w:t>inspection of the licensed premises by the local fire department, building inspector, or code enforcement officer to confirm that no health or safety concerns are present.</w:t>
      </w:r>
    </w:p>
    <w:p>
      <w:pPr>
        <w:pStyle w:val="TextBody"/>
        <w:spacing w:lineRule="auto" w:line="292" w:before="1" w:after="240"/>
        <w:ind w:left="0" w:right="189" w:hanging="0"/>
        <w:jc w:val="both"/>
        <w:rPr>
          <w:rFonts w:ascii="Times New Roman;Times;serif" w:hAnsi="Times New Roman;Times;serif"/>
          <w:color w:val="231F20"/>
          <w:sz w:val="20"/>
        </w:rPr>
      </w:pPr>
      <w:r>
        <w:rPr>
          <w:rFonts w:ascii="Times New Roman;Times;serif" w:hAnsi="Times New Roman;Times;serif"/>
          <w:color w:val="231F20"/>
          <w:sz w:val="20"/>
        </w:rPr>
        <w:t>Colorado uses METRC as the Marijuana Enforcement Division’s marijuana inventory tracking system for all medical and adult use licensees. Marijuana is required to be tracked and reported with specific data points from seed to sale through METRC for compliance purposes under Colorado marijuana laws and regulations. This tracking is conducted by using electronic tags on plants and shipments between licensees and facilities.</w:t>
      </w:r>
    </w:p>
    <w:p>
      <w:pPr>
        <w:pStyle w:val="TextBody"/>
        <w:spacing w:lineRule="atLeast" w:line="221" w:before="0" w:after="240"/>
        <w:ind w:left="0" w:right="0" w:hanging="0"/>
        <w:rPr>
          <w:rFonts w:ascii="Times New Roman;Times;serif" w:hAnsi="Times New Roman;Times;serif"/>
          <w:sz w:val="20"/>
        </w:rPr>
      </w:pPr>
      <w:r>
        <w:rPr>
          <w:rFonts w:ascii="Times New Roman;Times;serif" w:hAnsi="Times New Roman;Times;serif"/>
          <w:sz w:val="20"/>
        </w:rPr>
        <w:t>New Mexico</w:t>
      </w:r>
    </w:p>
    <w:p>
      <w:pPr>
        <w:pStyle w:val="TextBody"/>
        <w:spacing w:before="0" w:after="240"/>
        <w:ind w:left="0" w:right="105" w:hanging="0"/>
        <w:jc w:val="both"/>
        <w:rPr>
          <w:rFonts w:ascii="Times New Roman;Times;serif" w:hAnsi="Times New Roman;Times;serif"/>
          <w:sz w:val="20"/>
        </w:rPr>
      </w:pPr>
      <w:r>
        <w:rPr>
          <w:rFonts w:ascii="Times New Roman;Times;serif" w:hAnsi="Times New Roman;Times;serif"/>
          <w:sz w:val="20"/>
        </w:rPr>
        <w:t>Until</w:t>
      </w:r>
      <w:r>
        <w:rPr>
          <w:rFonts w:ascii="Times New Roman;Times;serif" w:hAnsi="Times New Roman;Times;serif"/>
          <w:spacing w:val="18"/>
          <w:sz w:val="20"/>
        </w:rPr>
        <w:t xml:space="preserve"> </w:t>
      </w:r>
      <w:r>
        <w:rPr>
          <w:rFonts w:ascii="Times New Roman;Times;serif" w:hAnsi="Times New Roman;Times;serif"/>
          <w:sz w:val="20"/>
        </w:rPr>
        <w:t>2021,</w:t>
      </w:r>
      <w:r>
        <w:rPr>
          <w:rFonts w:ascii="Times New Roman;Times;serif" w:hAnsi="Times New Roman;Times;serif"/>
          <w:spacing w:val="18"/>
          <w:sz w:val="20"/>
        </w:rPr>
        <w:t xml:space="preserve"> </w:t>
      </w:r>
      <w:r>
        <w:rPr>
          <w:rFonts w:ascii="Times New Roman;Times;serif" w:hAnsi="Times New Roman;Times;serif"/>
          <w:sz w:val="20"/>
        </w:rPr>
        <w:t>New</w:t>
      </w:r>
      <w:r>
        <w:rPr>
          <w:rFonts w:ascii="Times New Roman;Times;serif" w:hAnsi="Times New Roman;Times;serif"/>
          <w:spacing w:val="12"/>
          <w:sz w:val="20"/>
        </w:rPr>
        <w:t xml:space="preserve"> </w:t>
      </w:r>
      <w:r>
        <w:rPr>
          <w:rFonts w:ascii="Times New Roman;Times;serif" w:hAnsi="Times New Roman;Times;serif"/>
          <w:sz w:val="20"/>
        </w:rPr>
        <w:t>Mexico’s</w:t>
      </w:r>
      <w:r>
        <w:rPr>
          <w:rFonts w:ascii="Times New Roman;Times;serif" w:hAnsi="Times New Roman;Times;serif"/>
          <w:spacing w:val="18"/>
          <w:sz w:val="20"/>
        </w:rPr>
        <w:t xml:space="preserve"> </w:t>
      </w:r>
      <w:r>
        <w:rPr>
          <w:rFonts w:ascii="Times New Roman;Times;serif" w:hAnsi="Times New Roman;Times;serif"/>
          <w:sz w:val="20"/>
        </w:rPr>
        <w:t>cannabis</w:t>
      </w:r>
      <w:r>
        <w:rPr>
          <w:rFonts w:ascii="Times New Roman;Times;serif" w:hAnsi="Times New Roman;Times;serif"/>
          <w:spacing w:val="16"/>
          <w:sz w:val="20"/>
        </w:rPr>
        <w:t xml:space="preserve"> </w:t>
      </w:r>
      <w:r>
        <w:rPr>
          <w:rFonts w:ascii="Times New Roman;Times;serif" w:hAnsi="Times New Roman;Times;serif"/>
          <w:sz w:val="20"/>
        </w:rPr>
        <w:t>industry</w:t>
      </w:r>
      <w:r>
        <w:rPr>
          <w:rFonts w:ascii="Times New Roman;Times;serif" w:hAnsi="Times New Roman;Times;serif"/>
          <w:spacing w:val="20"/>
          <w:sz w:val="20"/>
        </w:rPr>
        <w:t xml:space="preserve"> </w:t>
      </w:r>
      <w:r>
        <w:rPr>
          <w:rFonts w:ascii="Times New Roman;Times;serif" w:hAnsi="Times New Roman;Times;serif"/>
          <w:sz w:val="20"/>
        </w:rPr>
        <w:t>was</w:t>
      </w:r>
      <w:r>
        <w:rPr>
          <w:rFonts w:ascii="Times New Roman;Times;serif" w:hAnsi="Times New Roman;Times;serif"/>
          <w:spacing w:val="16"/>
          <w:sz w:val="20"/>
        </w:rPr>
        <w:t xml:space="preserve"> </w:t>
      </w:r>
      <w:r>
        <w:rPr>
          <w:rFonts w:ascii="Times New Roman;Times;serif" w:hAnsi="Times New Roman;Times;serif"/>
          <w:sz w:val="20"/>
        </w:rPr>
        <w:t>regulated</w:t>
      </w:r>
      <w:r>
        <w:rPr>
          <w:rFonts w:ascii="Times New Roman;Times;serif" w:hAnsi="Times New Roman;Times;serif"/>
          <w:spacing w:val="20"/>
          <w:sz w:val="20"/>
        </w:rPr>
        <w:t xml:space="preserve"> </w:t>
      </w:r>
      <w:r>
        <w:rPr>
          <w:rFonts w:ascii="Times New Roman;Times;serif" w:hAnsi="Times New Roman;Times;serif"/>
          <w:sz w:val="20"/>
        </w:rPr>
        <w:t>under</w:t>
      </w:r>
      <w:r>
        <w:rPr>
          <w:rFonts w:ascii="Times New Roman;Times;serif" w:hAnsi="Times New Roman;Times;serif"/>
          <w:spacing w:val="18"/>
          <w:sz w:val="20"/>
        </w:rPr>
        <w:t xml:space="preserve"> </w:t>
      </w:r>
      <w:r>
        <w:rPr>
          <w:rFonts w:ascii="Times New Roman;Times;serif" w:hAnsi="Times New Roman;Times;serif"/>
          <w:sz w:val="20"/>
        </w:rPr>
        <w:t>the</w:t>
      </w:r>
      <w:r>
        <w:rPr>
          <w:rFonts w:ascii="Times New Roman;Times;serif" w:hAnsi="Times New Roman;Times;serif"/>
          <w:spacing w:val="21"/>
          <w:sz w:val="20"/>
        </w:rPr>
        <w:t xml:space="preserve"> </w:t>
      </w:r>
      <w:r>
        <w:rPr>
          <w:rFonts w:ascii="Times New Roman;Times;serif" w:hAnsi="Times New Roman;Times;serif"/>
          <w:sz w:val="20"/>
        </w:rPr>
        <w:t>Lynn</w:t>
      </w:r>
      <w:r>
        <w:rPr>
          <w:rFonts w:ascii="Times New Roman;Times;serif" w:hAnsi="Times New Roman;Times;serif"/>
          <w:spacing w:val="16"/>
          <w:sz w:val="20"/>
        </w:rPr>
        <w:t xml:space="preserve"> </w:t>
      </w:r>
      <w:r>
        <w:rPr>
          <w:rFonts w:ascii="Times New Roman;Times;serif" w:hAnsi="Times New Roman;Times;serif"/>
          <w:sz w:val="20"/>
        </w:rPr>
        <w:t>and</w:t>
      </w:r>
      <w:r>
        <w:rPr>
          <w:rFonts w:ascii="Times New Roman;Times;serif" w:hAnsi="Times New Roman;Times;serif"/>
          <w:spacing w:val="18"/>
          <w:sz w:val="20"/>
        </w:rPr>
        <w:t xml:space="preserve"> </w:t>
      </w:r>
      <w:r>
        <w:rPr>
          <w:rFonts w:ascii="Times New Roman;Times;serif" w:hAnsi="Times New Roman;Times;serif"/>
          <w:sz w:val="20"/>
        </w:rPr>
        <w:t>Erin</w:t>
      </w:r>
      <w:r>
        <w:rPr>
          <w:rFonts w:ascii="Times New Roman;Times;serif" w:hAnsi="Times New Roman;Times;serif"/>
          <w:spacing w:val="18"/>
          <w:sz w:val="20"/>
        </w:rPr>
        <w:t xml:space="preserve"> </w:t>
      </w:r>
      <w:r>
        <w:rPr>
          <w:rFonts w:ascii="Times New Roman;Times;serif" w:hAnsi="Times New Roman;Times;serif"/>
          <w:sz w:val="20"/>
        </w:rPr>
        <w:t>Compassionate</w:t>
      </w:r>
      <w:r>
        <w:rPr>
          <w:rFonts w:ascii="Times New Roman;Times;serif" w:hAnsi="Times New Roman;Times;serif"/>
          <w:spacing w:val="17"/>
          <w:sz w:val="20"/>
        </w:rPr>
        <w:t xml:space="preserve"> </w:t>
      </w:r>
      <w:r>
        <w:rPr>
          <w:rFonts w:ascii="Times New Roman;Times;serif" w:hAnsi="Times New Roman;Times;serif"/>
          <w:sz w:val="20"/>
        </w:rPr>
        <w:t>Use</w:t>
      </w:r>
      <w:r>
        <w:rPr>
          <w:rFonts w:ascii="Times New Roman;Times;serif" w:hAnsi="Times New Roman;Times;serif"/>
          <w:spacing w:val="21"/>
          <w:sz w:val="20"/>
        </w:rPr>
        <w:t xml:space="preserve"> </w:t>
      </w:r>
      <w:r>
        <w:rPr>
          <w:rFonts w:ascii="Times New Roman;Times;serif" w:hAnsi="Times New Roman;Times;serif"/>
          <w:sz w:val="20"/>
        </w:rPr>
        <w:t>Act</w:t>
      </w:r>
      <w:r>
        <w:rPr>
          <w:rFonts w:ascii="Times New Roman;Times;serif" w:hAnsi="Times New Roman;Times;serif"/>
          <w:spacing w:val="18"/>
          <w:sz w:val="20"/>
        </w:rPr>
        <w:t xml:space="preserve"> </w:t>
      </w:r>
      <w:r>
        <w:rPr>
          <w:rFonts w:ascii="Times New Roman;Times;serif" w:hAnsi="Times New Roman;Times;serif"/>
          <w:sz w:val="20"/>
        </w:rPr>
        <w:t>(the “LECUA”),</w:t>
      </w:r>
      <w:r>
        <w:rPr>
          <w:rFonts w:ascii="Times New Roman;Times;serif" w:hAnsi="Times New Roman;Times;serif"/>
          <w:spacing w:val="30"/>
          <w:sz w:val="20"/>
        </w:rPr>
        <w:t xml:space="preserve"> </w:t>
      </w:r>
      <w:r>
        <w:rPr>
          <w:rFonts w:ascii="Times New Roman;Times;serif" w:hAnsi="Times New Roman;Times;serif"/>
          <w:sz w:val="20"/>
        </w:rPr>
        <w:t>which</w:t>
      </w:r>
      <w:r>
        <w:rPr>
          <w:rFonts w:ascii="Times New Roman;Times;serif" w:hAnsi="Times New Roman;Times;serif"/>
          <w:spacing w:val="26"/>
          <w:sz w:val="20"/>
        </w:rPr>
        <w:t xml:space="preserve"> </w:t>
      </w:r>
      <w:r>
        <w:rPr>
          <w:rFonts w:ascii="Times New Roman;Times;serif" w:hAnsi="Times New Roman;Times;serif"/>
          <w:sz w:val="20"/>
        </w:rPr>
        <w:t>permitted</w:t>
      </w:r>
      <w:r>
        <w:rPr>
          <w:rFonts w:ascii="Times New Roman;Times;serif" w:hAnsi="Times New Roman;Times;serif"/>
          <w:spacing w:val="30"/>
          <w:sz w:val="20"/>
        </w:rPr>
        <w:t xml:space="preserve"> </w:t>
      </w:r>
      <w:r>
        <w:rPr>
          <w:rFonts w:ascii="Times New Roman;Times;serif" w:hAnsi="Times New Roman;Times;serif"/>
          <w:sz w:val="20"/>
        </w:rPr>
        <w:t>and</w:t>
      </w:r>
      <w:r>
        <w:rPr>
          <w:rFonts w:ascii="Times New Roman;Times;serif" w:hAnsi="Times New Roman;Times;serif"/>
          <w:spacing w:val="30"/>
          <w:sz w:val="20"/>
        </w:rPr>
        <w:t xml:space="preserve"> </w:t>
      </w:r>
      <w:r>
        <w:rPr>
          <w:rFonts w:ascii="Times New Roman;Times;serif" w:hAnsi="Times New Roman;Times;serif"/>
          <w:sz w:val="20"/>
        </w:rPr>
        <w:t>regulated</w:t>
      </w:r>
      <w:r>
        <w:rPr>
          <w:rFonts w:ascii="Times New Roman;Times;serif" w:hAnsi="Times New Roman;Times;serif"/>
          <w:spacing w:val="28"/>
          <w:sz w:val="20"/>
        </w:rPr>
        <w:t xml:space="preserve"> </w:t>
      </w:r>
      <w:r>
        <w:rPr>
          <w:rFonts w:ascii="Times New Roman;Times;serif" w:hAnsi="Times New Roman;Times;serif"/>
          <w:sz w:val="20"/>
        </w:rPr>
        <w:t>the</w:t>
      </w:r>
      <w:r>
        <w:rPr>
          <w:rFonts w:ascii="Times New Roman;Times;serif" w:hAnsi="Times New Roman;Times;serif"/>
          <w:spacing w:val="28"/>
          <w:sz w:val="20"/>
        </w:rPr>
        <w:t xml:space="preserve"> </w:t>
      </w:r>
      <w:r>
        <w:rPr>
          <w:rFonts w:ascii="Times New Roman;Times;serif" w:hAnsi="Times New Roman;Times;serif"/>
          <w:sz w:val="20"/>
        </w:rPr>
        <w:t>use</w:t>
      </w:r>
      <w:r>
        <w:rPr>
          <w:rFonts w:ascii="Times New Roman;Times;serif" w:hAnsi="Times New Roman;Times;serif"/>
          <w:spacing w:val="28"/>
          <w:sz w:val="20"/>
        </w:rPr>
        <w:t xml:space="preserve"> </w:t>
      </w:r>
      <w:r>
        <w:rPr>
          <w:rFonts w:ascii="Times New Roman;Times;serif" w:hAnsi="Times New Roman;Times;serif"/>
          <w:sz w:val="20"/>
        </w:rPr>
        <w:t>of</w:t>
      </w:r>
      <w:r>
        <w:rPr>
          <w:rFonts w:ascii="Times New Roman;Times;serif" w:hAnsi="Times New Roman;Times;serif"/>
          <w:spacing w:val="29"/>
          <w:sz w:val="20"/>
        </w:rPr>
        <w:t xml:space="preserve"> </w:t>
      </w:r>
      <w:r>
        <w:rPr>
          <w:rFonts w:ascii="Times New Roman;Times;serif" w:hAnsi="Times New Roman;Times;serif"/>
          <w:sz w:val="20"/>
        </w:rPr>
        <w:t>cannabis</w:t>
      </w:r>
      <w:r>
        <w:rPr>
          <w:rFonts w:ascii="Times New Roman;Times;serif" w:hAnsi="Times New Roman;Times;serif"/>
          <w:spacing w:val="30"/>
          <w:sz w:val="20"/>
        </w:rPr>
        <w:t xml:space="preserve"> </w:t>
      </w:r>
      <w:r>
        <w:rPr>
          <w:rFonts w:ascii="Times New Roman;Times;serif" w:hAnsi="Times New Roman;Times;serif"/>
          <w:sz w:val="20"/>
        </w:rPr>
        <w:t>for</w:t>
      </w:r>
      <w:r>
        <w:rPr>
          <w:rFonts w:ascii="Times New Roman;Times;serif" w:hAnsi="Times New Roman;Times;serif"/>
          <w:spacing w:val="27"/>
          <w:sz w:val="20"/>
        </w:rPr>
        <w:t xml:space="preserve"> </w:t>
      </w:r>
      <w:r>
        <w:rPr>
          <w:rFonts w:ascii="Times New Roman;Times;serif" w:hAnsi="Times New Roman;Times;serif"/>
          <w:sz w:val="20"/>
        </w:rPr>
        <w:t>qualified</w:t>
      </w:r>
      <w:r>
        <w:rPr>
          <w:rFonts w:ascii="Times New Roman;Times;serif" w:hAnsi="Times New Roman;Times;serif"/>
          <w:spacing w:val="28"/>
          <w:sz w:val="20"/>
        </w:rPr>
        <w:t xml:space="preserve"> </w:t>
      </w:r>
      <w:r>
        <w:rPr>
          <w:rFonts w:ascii="Times New Roman;Times;serif" w:hAnsi="Times New Roman;Times;serif"/>
          <w:sz w:val="20"/>
        </w:rPr>
        <w:t>and</w:t>
      </w:r>
      <w:r>
        <w:rPr>
          <w:rFonts w:ascii="Times New Roman;Times;serif" w:hAnsi="Times New Roman;Times;serif"/>
          <w:spacing w:val="30"/>
          <w:sz w:val="20"/>
        </w:rPr>
        <w:t xml:space="preserve"> </w:t>
      </w:r>
      <w:r>
        <w:rPr>
          <w:rFonts w:ascii="Times New Roman;Times;serif" w:hAnsi="Times New Roman;Times;serif"/>
          <w:sz w:val="20"/>
        </w:rPr>
        <w:t>registered</w:t>
      </w:r>
      <w:r>
        <w:rPr>
          <w:rFonts w:ascii="Times New Roman;Times;serif" w:hAnsi="Times New Roman;Times;serif"/>
          <w:spacing w:val="28"/>
          <w:sz w:val="20"/>
        </w:rPr>
        <w:t xml:space="preserve"> </w:t>
      </w:r>
      <w:r>
        <w:rPr>
          <w:rFonts w:ascii="Times New Roman;Times;serif" w:hAnsi="Times New Roman;Times;serif"/>
          <w:sz w:val="20"/>
        </w:rPr>
        <w:t>patients</w:t>
      </w:r>
      <w:r>
        <w:rPr>
          <w:rFonts w:ascii="Times New Roman;Times;serif" w:hAnsi="Times New Roman;Times;serif"/>
          <w:spacing w:val="30"/>
          <w:sz w:val="20"/>
        </w:rPr>
        <w:t xml:space="preserve"> </w:t>
      </w:r>
      <w:r>
        <w:rPr>
          <w:rFonts w:ascii="Times New Roman;Times;serif" w:hAnsi="Times New Roman;Times;serif"/>
          <w:sz w:val="20"/>
        </w:rPr>
        <w:t>with</w:t>
      </w:r>
      <w:r>
        <w:rPr>
          <w:rFonts w:ascii="Times New Roman;Times;serif" w:hAnsi="Times New Roman;Times;serif"/>
          <w:spacing w:val="26"/>
          <w:sz w:val="20"/>
        </w:rPr>
        <w:t xml:space="preserve"> </w:t>
      </w:r>
      <w:r>
        <w:rPr>
          <w:rFonts w:ascii="Times New Roman;Times;serif" w:hAnsi="Times New Roman;Times;serif"/>
          <w:sz w:val="20"/>
        </w:rPr>
        <w:t>certain medical conditions.</w:t>
      </w:r>
      <w:r>
        <w:rPr>
          <w:rFonts w:ascii="Times New Roman;Times;serif" w:hAnsi="Times New Roman;Times;serif"/>
          <w:spacing w:val="-1"/>
          <w:sz w:val="20"/>
        </w:rPr>
        <w:t xml:space="preserve"> </w:t>
      </w:r>
      <w:r>
        <w:rPr>
          <w:rFonts w:ascii="Times New Roman;Times;serif" w:hAnsi="Times New Roman;Times;serif"/>
          <w:sz w:val="20"/>
        </w:rPr>
        <w:t>The LECUA</w:t>
      </w:r>
      <w:r>
        <w:rPr>
          <w:rFonts w:ascii="Times New Roman;Times;serif" w:hAnsi="Times New Roman;Times;serif"/>
          <w:spacing w:val="-1"/>
          <w:sz w:val="20"/>
        </w:rPr>
        <w:t xml:space="preserve"> </w:t>
      </w:r>
      <w:r>
        <w:rPr>
          <w:rFonts w:ascii="Times New Roman;Times;serif" w:hAnsi="Times New Roman;Times;serif"/>
          <w:sz w:val="20"/>
        </w:rPr>
        <w:t>was</w:t>
      </w:r>
      <w:r>
        <w:rPr>
          <w:rFonts w:ascii="Times New Roman;Times;serif" w:hAnsi="Times New Roman;Times;serif"/>
          <w:spacing w:val="-1"/>
          <w:sz w:val="20"/>
        </w:rPr>
        <w:t xml:space="preserve"> </w:t>
      </w:r>
      <w:r>
        <w:rPr>
          <w:rFonts w:ascii="Times New Roman;Times;serif" w:hAnsi="Times New Roman;Times;serif"/>
          <w:sz w:val="20"/>
        </w:rPr>
        <w:t>administrated by</w:t>
      </w:r>
      <w:r>
        <w:rPr>
          <w:rFonts w:ascii="Times New Roman;Times;serif" w:hAnsi="Times New Roman;Times;serif"/>
          <w:spacing w:val="-5"/>
          <w:sz w:val="20"/>
        </w:rPr>
        <w:t xml:space="preserve"> </w:t>
      </w:r>
      <w:r>
        <w:rPr>
          <w:rFonts w:ascii="Times New Roman;Times;serif" w:hAnsi="Times New Roman;Times;serif"/>
          <w:sz w:val="20"/>
        </w:rPr>
        <w:t>the New</w:t>
      </w:r>
      <w:r>
        <w:rPr>
          <w:rFonts w:ascii="Times New Roman;Times;serif" w:hAnsi="Times New Roman;Times;serif"/>
          <w:spacing w:val="-3"/>
          <w:sz w:val="20"/>
        </w:rPr>
        <w:t xml:space="preserve"> </w:t>
      </w:r>
      <w:r>
        <w:rPr>
          <w:rFonts w:ascii="Times New Roman;Times;serif" w:hAnsi="Times New Roman;Times;serif"/>
          <w:sz w:val="20"/>
        </w:rPr>
        <w:t>Mexico Department</w:t>
      </w:r>
      <w:r>
        <w:rPr>
          <w:rFonts w:ascii="Times New Roman;Times;serif" w:hAnsi="Times New Roman;Times;serif"/>
          <w:spacing w:val="-1"/>
          <w:sz w:val="20"/>
        </w:rPr>
        <w:t xml:space="preserve"> </w:t>
      </w:r>
      <w:r>
        <w:rPr>
          <w:rFonts w:ascii="Times New Roman;Times;serif" w:hAnsi="Times New Roman;Times;serif"/>
          <w:sz w:val="20"/>
        </w:rPr>
        <w:t>of</w:t>
      </w:r>
      <w:r>
        <w:rPr>
          <w:rFonts w:ascii="Times New Roman;Times;serif" w:hAnsi="Times New Roman;Times;serif"/>
          <w:spacing w:val="-1"/>
          <w:sz w:val="20"/>
        </w:rPr>
        <w:t xml:space="preserve"> </w:t>
      </w:r>
      <w:r>
        <w:rPr>
          <w:rFonts w:ascii="Times New Roman;Times;serif" w:hAnsi="Times New Roman;Times;serif"/>
          <w:sz w:val="20"/>
        </w:rPr>
        <w:t>Health.</w:t>
      </w:r>
    </w:p>
    <w:p>
      <w:pPr>
        <w:pStyle w:val="TextBody"/>
        <w:spacing w:before="1" w:after="240"/>
        <w:ind w:left="0" w:right="100" w:hanging="0"/>
        <w:jc w:val="both"/>
        <w:rPr>
          <w:rFonts w:ascii="Times New Roman;Times;serif" w:hAnsi="Times New Roman;Times;serif"/>
          <w:sz w:val="20"/>
        </w:rPr>
      </w:pPr>
      <w:r>
        <w:rPr>
          <w:rFonts w:ascii="Times New Roman;Times;serif" w:hAnsi="Times New Roman;Times;serif"/>
          <w:sz w:val="20"/>
        </w:rPr>
        <w:t>On</w:t>
      </w:r>
      <w:r>
        <w:rPr>
          <w:rFonts w:ascii="Times New Roman;Times;serif" w:hAnsi="Times New Roman;Times;serif"/>
          <w:spacing w:val="3"/>
          <w:sz w:val="20"/>
        </w:rPr>
        <w:t xml:space="preserve"> </w:t>
      </w:r>
      <w:r>
        <w:rPr>
          <w:rFonts w:ascii="Times New Roman;Times;serif" w:hAnsi="Times New Roman;Times;serif"/>
          <w:sz w:val="20"/>
        </w:rPr>
        <w:t>April</w:t>
      </w:r>
      <w:r>
        <w:rPr>
          <w:rFonts w:ascii="Times New Roman;Times;serif" w:hAnsi="Times New Roman;Times;serif"/>
          <w:spacing w:val="3"/>
          <w:sz w:val="20"/>
        </w:rPr>
        <w:t xml:space="preserve"> </w:t>
      </w:r>
      <w:r>
        <w:rPr>
          <w:rFonts w:ascii="Times New Roman;Times;serif" w:hAnsi="Times New Roman;Times;serif"/>
          <w:sz w:val="20"/>
        </w:rPr>
        <w:t>12,</w:t>
      </w:r>
      <w:r>
        <w:rPr>
          <w:rFonts w:ascii="Times New Roman;Times;serif" w:hAnsi="Times New Roman;Times;serif"/>
          <w:spacing w:val="3"/>
          <w:sz w:val="20"/>
        </w:rPr>
        <w:t xml:space="preserve"> </w:t>
      </w:r>
      <w:r>
        <w:rPr>
          <w:rFonts w:ascii="Times New Roman;Times;serif" w:hAnsi="Times New Roman;Times;serif"/>
          <w:sz w:val="20"/>
        </w:rPr>
        <w:t>2021,</w:t>
      </w:r>
      <w:r>
        <w:rPr>
          <w:rFonts w:ascii="Times New Roman;Times;serif" w:hAnsi="Times New Roman;Times;serif"/>
          <w:spacing w:val="3"/>
          <w:sz w:val="20"/>
        </w:rPr>
        <w:t xml:space="preserve"> </w:t>
      </w:r>
      <w:r>
        <w:rPr>
          <w:rFonts w:ascii="Times New Roman;Times;serif" w:hAnsi="Times New Roman;Times;serif"/>
          <w:sz w:val="20"/>
        </w:rPr>
        <w:t>Governor</w:t>
      </w:r>
      <w:r>
        <w:rPr>
          <w:rFonts w:ascii="Times New Roman;Times;serif" w:hAnsi="Times New Roman;Times;serif"/>
          <w:spacing w:val="5"/>
          <w:sz w:val="20"/>
        </w:rPr>
        <w:t xml:space="preserve"> </w:t>
      </w:r>
      <w:r>
        <w:rPr>
          <w:rFonts w:ascii="Times New Roman;Times;serif" w:hAnsi="Times New Roman;Times;serif"/>
          <w:sz w:val="20"/>
        </w:rPr>
        <w:t>Michelle</w:t>
      </w:r>
      <w:r>
        <w:rPr>
          <w:rFonts w:ascii="Times New Roman;Times;serif" w:hAnsi="Times New Roman;Times;serif"/>
          <w:spacing w:val="6"/>
          <w:sz w:val="20"/>
        </w:rPr>
        <w:t xml:space="preserve"> </w:t>
      </w:r>
      <w:r>
        <w:rPr>
          <w:rFonts w:ascii="Times New Roman;Times;serif" w:hAnsi="Times New Roman;Times;serif"/>
          <w:sz w:val="20"/>
        </w:rPr>
        <w:t>Lujan</w:t>
      </w:r>
      <w:r>
        <w:rPr>
          <w:rFonts w:ascii="Times New Roman;Times;serif" w:hAnsi="Times New Roman;Times;serif"/>
          <w:spacing w:val="2"/>
          <w:sz w:val="20"/>
        </w:rPr>
        <w:t xml:space="preserve"> </w:t>
      </w:r>
      <w:r>
        <w:rPr>
          <w:rFonts w:ascii="Times New Roman;Times;serif" w:hAnsi="Times New Roman;Times;serif"/>
          <w:sz w:val="20"/>
        </w:rPr>
        <w:t>Grisham</w:t>
      </w:r>
      <w:r>
        <w:rPr>
          <w:rFonts w:ascii="Times New Roman;Times;serif" w:hAnsi="Times New Roman;Times;serif"/>
          <w:spacing w:val="4"/>
          <w:sz w:val="20"/>
        </w:rPr>
        <w:t xml:space="preserve"> </w:t>
      </w:r>
      <w:r>
        <w:rPr>
          <w:rFonts w:ascii="Times New Roman;Times;serif" w:hAnsi="Times New Roman;Times;serif"/>
          <w:sz w:val="20"/>
        </w:rPr>
        <w:t>signed</w:t>
      </w:r>
      <w:r>
        <w:rPr>
          <w:rFonts w:ascii="Times New Roman;Times;serif" w:hAnsi="Times New Roman;Times;serif"/>
          <w:spacing w:val="3"/>
          <w:sz w:val="20"/>
        </w:rPr>
        <w:t xml:space="preserve"> </w:t>
      </w:r>
      <w:r>
        <w:rPr>
          <w:rFonts w:ascii="Times New Roman;Times;serif" w:hAnsi="Times New Roman;Times;serif"/>
          <w:sz w:val="20"/>
        </w:rPr>
        <w:t>the</w:t>
      </w:r>
      <w:r>
        <w:rPr>
          <w:rFonts w:ascii="Times New Roman;Times;serif" w:hAnsi="Times New Roman;Times;serif"/>
          <w:spacing w:val="3"/>
          <w:sz w:val="20"/>
        </w:rPr>
        <w:t xml:space="preserve"> </w:t>
      </w:r>
      <w:r>
        <w:rPr>
          <w:rFonts w:ascii="Times New Roman;Times;serif" w:hAnsi="Times New Roman;Times;serif"/>
          <w:sz w:val="20"/>
        </w:rPr>
        <w:t>Cannabis</w:t>
      </w:r>
      <w:r>
        <w:rPr>
          <w:rFonts w:ascii="Times New Roman;Times;serif" w:hAnsi="Times New Roman;Times;serif"/>
          <w:spacing w:val="5"/>
          <w:sz w:val="20"/>
        </w:rPr>
        <w:t xml:space="preserve"> </w:t>
      </w:r>
      <w:r>
        <w:rPr>
          <w:rFonts w:ascii="Times New Roman;Times;serif" w:hAnsi="Times New Roman;Times;serif"/>
          <w:sz w:val="20"/>
        </w:rPr>
        <w:t>Regulation</w:t>
      </w:r>
      <w:r>
        <w:rPr>
          <w:rFonts w:ascii="Times New Roman;Times;serif" w:hAnsi="Times New Roman;Times;serif"/>
          <w:spacing w:val="5"/>
          <w:sz w:val="20"/>
        </w:rPr>
        <w:t xml:space="preserve"> </w:t>
      </w:r>
      <w:r>
        <w:rPr>
          <w:rFonts w:ascii="Times New Roman;Times;serif" w:hAnsi="Times New Roman;Times;serif"/>
          <w:sz w:val="20"/>
        </w:rPr>
        <w:t>Act,</w:t>
      </w:r>
      <w:r>
        <w:rPr>
          <w:rFonts w:ascii="Times New Roman;Times;serif" w:hAnsi="Times New Roman;Times;serif"/>
          <w:spacing w:val="7"/>
          <w:sz w:val="20"/>
        </w:rPr>
        <w:t xml:space="preserve"> </w:t>
      </w:r>
      <w:r>
        <w:rPr>
          <w:rFonts w:ascii="Times New Roman;Times;serif" w:hAnsi="Times New Roman;Times;serif"/>
          <w:sz w:val="20"/>
        </w:rPr>
        <w:t>which</w:t>
      </w:r>
      <w:r>
        <w:rPr>
          <w:rFonts w:ascii="Times New Roman;Times;serif" w:hAnsi="Times New Roman;Times;serif"/>
          <w:spacing w:val="2"/>
          <w:sz w:val="20"/>
        </w:rPr>
        <w:t xml:space="preserve"> </w:t>
      </w:r>
      <w:r>
        <w:rPr>
          <w:rFonts w:ascii="Times New Roman;Times;serif" w:hAnsi="Times New Roman;Times;serif"/>
          <w:sz w:val="20"/>
        </w:rPr>
        <w:t>became</w:t>
      </w:r>
      <w:r>
        <w:rPr>
          <w:rFonts w:ascii="Times New Roman;Times;serif" w:hAnsi="Times New Roman;Times;serif"/>
          <w:spacing w:val="4"/>
          <w:sz w:val="20"/>
        </w:rPr>
        <w:t xml:space="preserve"> </w:t>
      </w:r>
      <w:r>
        <w:rPr>
          <w:rFonts w:ascii="Times New Roman;Times;serif" w:hAnsi="Times New Roman;Times;serif"/>
          <w:sz w:val="20"/>
        </w:rPr>
        <w:t>effective</w:t>
      </w:r>
      <w:r>
        <w:rPr>
          <w:rFonts w:ascii="Times New Roman;Times;serif" w:hAnsi="Times New Roman;Times;serif"/>
          <w:spacing w:val="-2"/>
          <w:sz w:val="20"/>
        </w:rPr>
        <w:t xml:space="preserve"> </w:t>
      </w:r>
      <w:r>
        <w:rPr>
          <w:rFonts w:ascii="Times New Roman;Times;serif" w:hAnsi="Times New Roman;Times;serif"/>
          <w:sz w:val="20"/>
        </w:rPr>
        <w:t>on</w:t>
      </w:r>
      <w:r>
        <w:rPr>
          <w:rFonts w:ascii="Times New Roman;Times;serif" w:hAnsi="Times New Roman;Times;serif"/>
          <w:spacing w:val="40"/>
          <w:sz w:val="20"/>
        </w:rPr>
        <w:t xml:space="preserve"> </w:t>
      </w:r>
      <w:r>
        <w:rPr>
          <w:rFonts w:ascii="Times New Roman;Times;serif" w:hAnsi="Times New Roman;Times;serif"/>
          <w:sz w:val="20"/>
        </w:rPr>
        <w:t>June</w:t>
      </w:r>
      <w:r>
        <w:rPr>
          <w:rFonts w:ascii="Times New Roman;Times;serif" w:hAnsi="Times New Roman;Times;serif"/>
          <w:spacing w:val="44"/>
          <w:sz w:val="20"/>
        </w:rPr>
        <w:t xml:space="preserve"> </w:t>
      </w:r>
      <w:r>
        <w:rPr>
          <w:rFonts w:ascii="Times New Roman;Times;serif" w:hAnsi="Times New Roman;Times;serif"/>
          <w:sz w:val="20"/>
        </w:rPr>
        <w:t>29,</w:t>
      </w:r>
      <w:r>
        <w:rPr>
          <w:rFonts w:ascii="Times New Roman;Times;serif" w:hAnsi="Times New Roman;Times;serif"/>
          <w:spacing w:val="43"/>
          <w:sz w:val="20"/>
        </w:rPr>
        <w:t xml:space="preserve"> </w:t>
      </w:r>
      <w:r>
        <w:rPr>
          <w:rFonts w:ascii="Times New Roman;Times;serif" w:hAnsi="Times New Roman;Times;serif"/>
          <w:sz w:val="20"/>
        </w:rPr>
        <w:t>2021</w:t>
      </w:r>
      <w:r>
        <w:rPr>
          <w:rFonts w:ascii="Times New Roman;Times;serif" w:hAnsi="Times New Roman;Times;serif"/>
          <w:spacing w:val="45"/>
          <w:sz w:val="20"/>
        </w:rPr>
        <w:t xml:space="preserve"> </w:t>
      </w:r>
      <w:r>
        <w:rPr>
          <w:rFonts w:ascii="Times New Roman;Times;serif" w:hAnsi="Times New Roman;Times;serif"/>
          <w:sz w:val="20"/>
        </w:rPr>
        <w:t>(the</w:t>
      </w:r>
      <w:r>
        <w:rPr>
          <w:rFonts w:ascii="Times New Roman;Times;serif" w:hAnsi="Times New Roman;Times;serif"/>
          <w:spacing w:val="44"/>
          <w:sz w:val="20"/>
        </w:rPr>
        <w:t xml:space="preserve"> </w:t>
      </w:r>
      <w:r>
        <w:rPr>
          <w:rFonts w:ascii="Times New Roman;Times;serif" w:hAnsi="Times New Roman;Times;serif"/>
          <w:sz w:val="20"/>
        </w:rPr>
        <w:t>“CRA”).</w:t>
      </w:r>
      <w:r>
        <w:rPr>
          <w:rFonts w:ascii="Times New Roman;Times;serif" w:hAnsi="Times New Roman;Times;serif"/>
          <w:spacing w:val="45"/>
          <w:sz w:val="20"/>
        </w:rPr>
        <w:t xml:space="preserve"> </w:t>
      </w:r>
      <w:r>
        <w:rPr>
          <w:rFonts w:ascii="Times New Roman;Times;serif" w:hAnsi="Times New Roman;Times;serif"/>
          <w:sz w:val="20"/>
        </w:rPr>
        <w:t>The</w:t>
      </w:r>
      <w:r>
        <w:rPr>
          <w:rFonts w:ascii="Times New Roman;Times;serif" w:hAnsi="Times New Roman;Times;serif"/>
          <w:spacing w:val="44"/>
          <w:sz w:val="20"/>
        </w:rPr>
        <w:t xml:space="preserve"> </w:t>
      </w:r>
      <w:r>
        <w:rPr>
          <w:rFonts w:ascii="Times New Roman;Times;serif" w:hAnsi="Times New Roman;Times;serif"/>
          <w:sz w:val="20"/>
        </w:rPr>
        <w:t>CRA</w:t>
      </w:r>
      <w:r>
        <w:rPr>
          <w:rFonts w:ascii="Times New Roman;Times;serif" w:hAnsi="Times New Roman;Times;serif"/>
          <w:spacing w:val="40"/>
          <w:sz w:val="20"/>
        </w:rPr>
        <w:t xml:space="preserve"> </w:t>
      </w:r>
      <w:r>
        <w:rPr>
          <w:rFonts w:ascii="Times New Roman;Times;serif" w:hAnsi="Times New Roman;Times;serif"/>
          <w:sz w:val="20"/>
        </w:rPr>
        <w:t>decriminalized</w:t>
      </w:r>
      <w:r>
        <w:rPr>
          <w:rFonts w:ascii="Times New Roman;Times;serif" w:hAnsi="Times New Roman;Times;serif"/>
          <w:spacing w:val="45"/>
          <w:sz w:val="20"/>
        </w:rPr>
        <w:t xml:space="preserve"> </w:t>
      </w:r>
      <w:r>
        <w:rPr>
          <w:rFonts w:ascii="Times New Roman;Times;serif" w:hAnsi="Times New Roman;Times;serif"/>
          <w:sz w:val="20"/>
        </w:rPr>
        <w:t>the</w:t>
      </w:r>
      <w:r>
        <w:rPr>
          <w:rFonts w:ascii="Times New Roman;Times;serif" w:hAnsi="Times New Roman;Times;serif"/>
          <w:spacing w:val="44"/>
          <w:sz w:val="20"/>
        </w:rPr>
        <w:t xml:space="preserve"> </w:t>
      </w:r>
      <w:r>
        <w:rPr>
          <w:rFonts w:ascii="Times New Roman;Times;serif" w:hAnsi="Times New Roman;Times;serif"/>
          <w:sz w:val="20"/>
        </w:rPr>
        <w:t>possession,</w:t>
      </w:r>
      <w:r>
        <w:rPr>
          <w:rFonts w:ascii="Times New Roman;Times;serif" w:hAnsi="Times New Roman;Times;serif"/>
          <w:spacing w:val="45"/>
          <w:sz w:val="20"/>
        </w:rPr>
        <w:t xml:space="preserve"> </w:t>
      </w:r>
      <w:r>
        <w:rPr>
          <w:rFonts w:ascii="Times New Roman;Times;serif" w:hAnsi="Times New Roman;Times;serif"/>
          <w:sz w:val="20"/>
        </w:rPr>
        <w:t>use</w:t>
      </w:r>
      <w:r>
        <w:rPr>
          <w:rFonts w:ascii="Times New Roman;Times;serif" w:hAnsi="Times New Roman;Times;serif"/>
          <w:spacing w:val="44"/>
          <w:sz w:val="20"/>
        </w:rPr>
        <w:t xml:space="preserve"> </w:t>
      </w:r>
      <w:r>
        <w:rPr>
          <w:rFonts w:ascii="Times New Roman;Times;serif" w:hAnsi="Times New Roman;Times;serif"/>
          <w:sz w:val="20"/>
        </w:rPr>
        <w:t>and</w:t>
      </w:r>
      <w:r>
        <w:rPr>
          <w:rFonts w:ascii="Times New Roman;Times;serif" w:hAnsi="Times New Roman;Times;serif"/>
          <w:spacing w:val="45"/>
          <w:sz w:val="20"/>
        </w:rPr>
        <w:t xml:space="preserve"> </w:t>
      </w:r>
      <w:r>
        <w:rPr>
          <w:rFonts w:ascii="Times New Roman;Times;serif" w:hAnsi="Times New Roman;Times;serif"/>
          <w:sz w:val="20"/>
        </w:rPr>
        <w:t>cultivation</w:t>
      </w:r>
      <w:r>
        <w:rPr>
          <w:rFonts w:ascii="Times New Roman;Times;serif" w:hAnsi="Times New Roman;Times;serif"/>
          <w:spacing w:val="43"/>
          <w:sz w:val="20"/>
        </w:rPr>
        <w:t xml:space="preserve"> </w:t>
      </w:r>
      <w:r>
        <w:rPr>
          <w:rFonts w:ascii="Times New Roman;Times;serif" w:hAnsi="Times New Roman;Times;serif"/>
          <w:sz w:val="20"/>
        </w:rPr>
        <w:t>of</w:t>
      </w:r>
      <w:r>
        <w:rPr>
          <w:rFonts w:ascii="Times New Roman;Times;serif" w:hAnsi="Times New Roman;Times;serif"/>
          <w:spacing w:val="40"/>
          <w:sz w:val="20"/>
        </w:rPr>
        <w:t xml:space="preserve"> </w:t>
      </w:r>
      <w:r>
        <w:rPr>
          <w:rFonts w:ascii="Times New Roman;Times;serif" w:hAnsi="Times New Roman;Times;serif"/>
          <w:sz w:val="20"/>
        </w:rPr>
        <w:t>cannabis</w:t>
      </w:r>
      <w:r>
        <w:rPr>
          <w:rFonts w:ascii="Times New Roman;Times;serif" w:hAnsi="Times New Roman;Times;serif"/>
          <w:spacing w:val="45"/>
          <w:sz w:val="20"/>
        </w:rPr>
        <w:t xml:space="preserve"> </w:t>
      </w:r>
      <w:r>
        <w:rPr>
          <w:rFonts w:ascii="Times New Roman;Times;serif" w:hAnsi="Times New Roman;Times;serif"/>
          <w:sz w:val="20"/>
        </w:rPr>
        <w:t>for</w:t>
      </w:r>
      <w:r>
        <w:rPr>
          <w:rFonts w:ascii="Times New Roman;Times;serif" w:hAnsi="Times New Roman;Times;serif"/>
          <w:spacing w:val="-2"/>
          <w:sz w:val="20"/>
        </w:rPr>
        <w:t xml:space="preserve"> </w:t>
      </w:r>
      <w:r>
        <w:rPr>
          <w:rFonts w:ascii="Times New Roman;Times;serif" w:hAnsi="Times New Roman;Times;serif"/>
          <w:sz w:val="20"/>
        </w:rPr>
        <w:t>recreational</w:t>
      </w:r>
      <w:r>
        <w:rPr>
          <w:rFonts w:ascii="Times New Roman;Times;serif" w:hAnsi="Times New Roman;Times;serif"/>
          <w:spacing w:val="-9"/>
          <w:sz w:val="20"/>
        </w:rPr>
        <w:t xml:space="preserve"> </w:t>
      </w:r>
      <w:r>
        <w:rPr>
          <w:rFonts w:ascii="Times New Roman;Times;serif" w:hAnsi="Times New Roman;Times;serif"/>
          <w:sz w:val="20"/>
        </w:rPr>
        <w:t>or</w:t>
      </w:r>
      <w:r>
        <w:rPr>
          <w:rFonts w:ascii="Times New Roman;Times;serif" w:hAnsi="Times New Roman;Times;serif"/>
          <w:spacing w:val="-8"/>
          <w:sz w:val="20"/>
        </w:rPr>
        <w:t xml:space="preserve"> </w:t>
      </w:r>
      <w:r>
        <w:rPr>
          <w:rFonts w:ascii="Times New Roman;Times;serif" w:hAnsi="Times New Roman;Times;serif"/>
          <w:sz w:val="20"/>
        </w:rPr>
        <w:t>adult</w:t>
      </w:r>
      <w:r>
        <w:rPr>
          <w:rFonts w:ascii="Times New Roman;Times;serif" w:hAnsi="Times New Roman;Times;serif"/>
          <w:spacing w:val="-8"/>
          <w:sz w:val="20"/>
        </w:rPr>
        <w:t xml:space="preserve"> </w:t>
      </w:r>
      <w:r>
        <w:rPr>
          <w:rFonts w:ascii="Times New Roman;Times;serif" w:hAnsi="Times New Roman;Times;serif"/>
          <w:sz w:val="20"/>
        </w:rPr>
        <w:t>use</w:t>
      </w:r>
      <w:r>
        <w:rPr>
          <w:rFonts w:ascii="Times New Roman;Times;serif" w:hAnsi="Times New Roman;Times;serif"/>
          <w:spacing w:val="-9"/>
          <w:sz w:val="20"/>
        </w:rPr>
        <w:t xml:space="preserve"> </w:t>
      </w:r>
      <w:r>
        <w:rPr>
          <w:rFonts w:ascii="Times New Roman;Times;serif" w:hAnsi="Times New Roman;Times;serif"/>
          <w:sz w:val="20"/>
        </w:rPr>
        <w:t>and</w:t>
      </w:r>
      <w:r>
        <w:rPr>
          <w:rFonts w:ascii="Times New Roman;Times;serif" w:hAnsi="Times New Roman;Times;serif"/>
          <w:spacing w:val="-6"/>
          <w:sz w:val="20"/>
        </w:rPr>
        <w:t xml:space="preserve"> </w:t>
      </w:r>
      <w:r>
        <w:rPr>
          <w:rFonts w:ascii="Times New Roman;Times;serif" w:hAnsi="Times New Roman;Times;serif"/>
          <w:sz w:val="20"/>
        </w:rPr>
        <w:t>created</w:t>
      </w:r>
      <w:r>
        <w:rPr>
          <w:rFonts w:ascii="Times New Roman;Times;serif" w:hAnsi="Times New Roman;Times;serif"/>
          <w:spacing w:val="-8"/>
          <w:sz w:val="20"/>
        </w:rPr>
        <w:t xml:space="preserve"> </w:t>
      </w:r>
      <w:r>
        <w:rPr>
          <w:rFonts w:ascii="Times New Roman;Times;serif" w:hAnsi="Times New Roman;Times;serif"/>
          <w:sz w:val="20"/>
        </w:rPr>
        <w:t>the</w:t>
      </w:r>
      <w:r>
        <w:rPr>
          <w:rFonts w:ascii="Times New Roman;Times;serif" w:hAnsi="Times New Roman;Times;serif"/>
          <w:spacing w:val="-8"/>
          <w:sz w:val="20"/>
        </w:rPr>
        <w:t xml:space="preserve"> </w:t>
      </w:r>
      <w:r>
        <w:rPr>
          <w:rFonts w:ascii="Times New Roman;Times;serif" w:hAnsi="Times New Roman;Times;serif"/>
          <w:sz w:val="20"/>
        </w:rPr>
        <w:t>Cannabis</w:t>
      </w:r>
      <w:r>
        <w:rPr>
          <w:rFonts w:ascii="Times New Roman;Times;serif" w:hAnsi="Times New Roman;Times;serif"/>
          <w:spacing w:val="-8"/>
          <w:sz w:val="20"/>
        </w:rPr>
        <w:t xml:space="preserve"> </w:t>
      </w:r>
      <w:r>
        <w:rPr>
          <w:rFonts w:ascii="Times New Roman;Times;serif" w:hAnsi="Times New Roman;Times;serif"/>
          <w:sz w:val="20"/>
        </w:rPr>
        <w:t>Control</w:t>
      </w:r>
      <w:r>
        <w:rPr>
          <w:rFonts w:ascii="Times New Roman;Times;serif" w:hAnsi="Times New Roman;Times;serif"/>
          <w:spacing w:val="-9"/>
          <w:sz w:val="20"/>
        </w:rPr>
        <w:t xml:space="preserve"> </w:t>
      </w:r>
      <w:r>
        <w:rPr>
          <w:rFonts w:ascii="Times New Roman;Times;serif" w:hAnsi="Times New Roman;Times;serif"/>
          <w:sz w:val="20"/>
        </w:rPr>
        <w:t>Division</w:t>
      </w:r>
      <w:r>
        <w:rPr>
          <w:rFonts w:ascii="Times New Roman;Times;serif" w:hAnsi="Times New Roman;Times;serif"/>
          <w:spacing w:val="-10"/>
          <w:sz w:val="20"/>
        </w:rPr>
        <w:t xml:space="preserve"> </w:t>
      </w:r>
      <w:r>
        <w:rPr>
          <w:rFonts w:ascii="Times New Roman;Times;serif" w:hAnsi="Times New Roman;Times;serif"/>
          <w:sz w:val="20"/>
        </w:rPr>
        <w:t>(the</w:t>
      </w:r>
      <w:r>
        <w:rPr>
          <w:rFonts w:ascii="Times New Roman;Times;serif" w:hAnsi="Times New Roman;Times;serif"/>
          <w:spacing w:val="-6"/>
          <w:sz w:val="20"/>
        </w:rPr>
        <w:t xml:space="preserve"> </w:t>
      </w:r>
      <w:r>
        <w:rPr>
          <w:rFonts w:ascii="Times New Roman;Times;serif" w:hAnsi="Times New Roman;Times;serif"/>
          <w:sz w:val="20"/>
        </w:rPr>
        <w:t>“CCD”)</w:t>
      </w:r>
      <w:r>
        <w:rPr>
          <w:rFonts w:ascii="Times New Roman;Times;serif" w:hAnsi="Times New Roman;Times;serif"/>
          <w:spacing w:val="-8"/>
          <w:sz w:val="20"/>
        </w:rPr>
        <w:t xml:space="preserve"> </w:t>
      </w:r>
      <w:r>
        <w:rPr>
          <w:rFonts w:ascii="Times New Roman;Times;serif" w:hAnsi="Times New Roman;Times;serif"/>
          <w:sz w:val="20"/>
        </w:rPr>
        <w:t>as</w:t>
      </w:r>
      <w:r>
        <w:rPr>
          <w:rFonts w:ascii="Times New Roman;Times;serif" w:hAnsi="Times New Roman;Times;serif"/>
          <w:spacing w:val="-10"/>
          <w:sz w:val="20"/>
        </w:rPr>
        <w:t xml:space="preserve"> </w:t>
      </w:r>
      <w:r>
        <w:rPr>
          <w:rFonts w:ascii="Times New Roman;Times;serif" w:hAnsi="Times New Roman;Times;serif"/>
          <w:sz w:val="20"/>
        </w:rPr>
        <w:t>a</w:t>
      </w:r>
      <w:r>
        <w:rPr>
          <w:rFonts w:ascii="Times New Roman;Times;serif" w:hAnsi="Times New Roman;Times;serif"/>
          <w:spacing w:val="-7"/>
          <w:sz w:val="20"/>
        </w:rPr>
        <w:t xml:space="preserve"> </w:t>
      </w:r>
      <w:r>
        <w:rPr>
          <w:rFonts w:ascii="Times New Roman;Times;serif" w:hAnsi="Times New Roman;Times;serif"/>
          <w:sz w:val="20"/>
        </w:rPr>
        <w:t>new</w:t>
      </w:r>
      <w:r>
        <w:rPr>
          <w:rFonts w:ascii="Times New Roman;Times;serif" w:hAnsi="Times New Roman;Times;serif"/>
          <w:spacing w:val="-10"/>
          <w:sz w:val="20"/>
        </w:rPr>
        <w:t xml:space="preserve"> </w:t>
      </w:r>
      <w:r>
        <w:rPr>
          <w:rFonts w:ascii="Times New Roman;Times;serif" w:hAnsi="Times New Roman;Times;serif"/>
          <w:sz w:val="20"/>
        </w:rPr>
        <w:t>division</w:t>
      </w:r>
      <w:r>
        <w:rPr>
          <w:rFonts w:ascii="Times New Roman;Times;serif" w:hAnsi="Times New Roman;Times;serif"/>
          <w:spacing w:val="-10"/>
          <w:sz w:val="20"/>
        </w:rPr>
        <w:t xml:space="preserve"> </w:t>
      </w:r>
      <w:r>
        <w:rPr>
          <w:rFonts w:ascii="Times New Roman;Times;serif" w:hAnsi="Times New Roman;Times;serif"/>
          <w:sz w:val="20"/>
        </w:rPr>
        <w:t>of</w:t>
      </w:r>
      <w:r>
        <w:rPr>
          <w:rFonts w:ascii="Times New Roman;Times;serif" w:hAnsi="Times New Roman;Times;serif"/>
          <w:spacing w:val="-10"/>
          <w:sz w:val="20"/>
        </w:rPr>
        <w:t xml:space="preserve"> </w:t>
      </w:r>
      <w:r>
        <w:rPr>
          <w:rFonts w:ascii="Times New Roman;Times;serif" w:hAnsi="Times New Roman;Times;serif"/>
          <w:sz w:val="20"/>
        </w:rPr>
        <w:t>the</w:t>
      </w:r>
      <w:r>
        <w:rPr>
          <w:rFonts w:ascii="Times New Roman;Times;serif" w:hAnsi="Times New Roman;Times;serif"/>
          <w:spacing w:val="-7"/>
          <w:sz w:val="20"/>
        </w:rPr>
        <w:t xml:space="preserve"> </w:t>
      </w:r>
      <w:r>
        <w:rPr>
          <w:rFonts w:ascii="Times New Roman;Times;serif" w:hAnsi="Times New Roman;Times;serif"/>
          <w:sz w:val="20"/>
        </w:rPr>
        <w:t>New</w:t>
      </w:r>
      <w:r>
        <w:rPr>
          <w:rFonts w:ascii="Times New Roman;Times;serif" w:hAnsi="Times New Roman;Times;serif"/>
          <w:spacing w:val="-12"/>
          <w:sz w:val="20"/>
        </w:rPr>
        <w:t xml:space="preserve"> </w:t>
      </w:r>
      <w:r>
        <w:rPr>
          <w:rFonts w:ascii="Times New Roman;Times;serif" w:hAnsi="Times New Roman;Times;serif"/>
          <w:sz w:val="20"/>
        </w:rPr>
        <w:t>Mexico</w:t>
      </w:r>
      <w:r>
        <w:rPr>
          <w:rFonts w:ascii="Times New Roman;Times;serif" w:hAnsi="Times New Roman;Times;serif"/>
          <w:spacing w:val="-2"/>
          <w:sz w:val="20"/>
        </w:rPr>
        <w:t xml:space="preserve"> </w:t>
      </w:r>
      <w:r>
        <w:rPr>
          <w:rFonts w:ascii="Times New Roman;Times;serif" w:hAnsi="Times New Roman;Times;serif"/>
          <w:sz w:val="20"/>
        </w:rPr>
        <w:t>Regulation</w:t>
      </w:r>
      <w:r>
        <w:rPr>
          <w:rFonts w:ascii="Times New Roman;Times;serif" w:hAnsi="Times New Roman;Times;serif"/>
          <w:spacing w:val="3"/>
          <w:sz w:val="20"/>
        </w:rPr>
        <w:t xml:space="preserve"> </w:t>
      </w:r>
      <w:r>
        <w:rPr>
          <w:rFonts w:ascii="Times New Roman;Times;serif" w:hAnsi="Times New Roman;Times;serif"/>
          <w:sz w:val="20"/>
        </w:rPr>
        <w:t>&amp;</w:t>
      </w:r>
      <w:r>
        <w:rPr>
          <w:rFonts w:ascii="Times New Roman;Times;serif" w:hAnsi="Times New Roman;Times;serif"/>
          <w:spacing w:val="6"/>
          <w:sz w:val="20"/>
        </w:rPr>
        <w:t xml:space="preserve"> </w:t>
      </w:r>
      <w:r>
        <w:rPr>
          <w:rFonts w:ascii="Times New Roman;Times;serif" w:hAnsi="Times New Roman;Times;serif"/>
          <w:sz w:val="20"/>
        </w:rPr>
        <w:t>Licensing</w:t>
      </w:r>
      <w:r>
        <w:rPr>
          <w:rFonts w:ascii="Times New Roman;Times;serif" w:hAnsi="Times New Roman;Times;serif"/>
          <w:spacing w:val="3"/>
          <w:sz w:val="20"/>
        </w:rPr>
        <w:t xml:space="preserve"> </w:t>
      </w:r>
      <w:r>
        <w:rPr>
          <w:rFonts w:ascii="Times New Roman;Times;serif" w:hAnsi="Times New Roman;Times;serif"/>
          <w:sz w:val="20"/>
        </w:rPr>
        <w:t>Department,</w:t>
      </w:r>
      <w:r>
        <w:rPr>
          <w:rFonts w:ascii="Times New Roman;Times;serif" w:hAnsi="Times New Roman;Times;serif"/>
          <w:spacing w:val="7"/>
          <w:sz w:val="20"/>
        </w:rPr>
        <w:t xml:space="preserve"> </w:t>
      </w:r>
      <w:r>
        <w:rPr>
          <w:rFonts w:ascii="Times New Roman;Times;serif" w:hAnsi="Times New Roman;Times;serif"/>
          <w:sz w:val="20"/>
        </w:rPr>
        <w:t>to</w:t>
      </w:r>
      <w:r>
        <w:rPr>
          <w:rFonts w:ascii="Times New Roman;Times;serif" w:hAnsi="Times New Roman;Times;serif"/>
          <w:spacing w:val="7"/>
          <w:sz w:val="20"/>
        </w:rPr>
        <w:t xml:space="preserve"> </w:t>
      </w:r>
      <w:r>
        <w:rPr>
          <w:rFonts w:ascii="Times New Roman;Times;serif" w:hAnsi="Times New Roman;Times;serif"/>
          <w:sz w:val="20"/>
        </w:rPr>
        <w:t>administer</w:t>
      </w:r>
      <w:r>
        <w:rPr>
          <w:rFonts w:ascii="Times New Roman;Times;serif" w:hAnsi="Times New Roman;Times;serif"/>
          <w:spacing w:val="7"/>
          <w:sz w:val="20"/>
        </w:rPr>
        <w:t xml:space="preserve"> </w:t>
      </w:r>
      <w:r>
        <w:rPr>
          <w:rFonts w:ascii="Times New Roman;Times;serif" w:hAnsi="Times New Roman;Times;serif"/>
          <w:sz w:val="20"/>
        </w:rPr>
        <w:t>the</w:t>
      </w:r>
      <w:r>
        <w:rPr>
          <w:rFonts w:ascii="Times New Roman;Times;serif" w:hAnsi="Times New Roman;Times;serif"/>
          <w:spacing w:val="8"/>
          <w:sz w:val="20"/>
        </w:rPr>
        <w:t xml:space="preserve"> </w:t>
      </w:r>
      <w:r>
        <w:rPr>
          <w:rFonts w:ascii="Times New Roman;Times;serif" w:hAnsi="Times New Roman;Times;serif"/>
          <w:sz w:val="20"/>
        </w:rPr>
        <w:t>CRA</w:t>
      </w:r>
      <w:r>
        <w:rPr>
          <w:rFonts w:ascii="Times New Roman;Times;serif" w:hAnsi="Times New Roman;Times;serif"/>
          <w:spacing w:val="3"/>
          <w:sz w:val="20"/>
        </w:rPr>
        <w:t xml:space="preserve"> </w:t>
      </w:r>
      <w:r>
        <w:rPr>
          <w:rFonts w:ascii="Times New Roman;Times;serif" w:hAnsi="Times New Roman;Times;serif"/>
          <w:sz w:val="20"/>
        </w:rPr>
        <w:t>and</w:t>
      </w:r>
      <w:r>
        <w:rPr>
          <w:rFonts w:ascii="Times New Roman;Times;serif" w:hAnsi="Times New Roman;Times;serif"/>
          <w:spacing w:val="5"/>
          <w:sz w:val="20"/>
        </w:rPr>
        <w:t xml:space="preserve"> </w:t>
      </w:r>
      <w:r>
        <w:rPr>
          <w:rFonts w:ascii="Times New Roman;Times;serif" w:hAnsi="Times New Roman;Times;serif"/>
          <w:sz w:val="20"/>
        </w:rPr>
        <w:t>promulgate,</w:t>
      </w:r>
      <w:r>
        <w:rPr>
          <w:rFonts w:ascii="Times New Roman;Times;serif" w:hAnsi="Times New Roman;Times;serif"/>
          <w:spacing w:val="5"/>
          <w:sz w:val="20"/>
        </w:rPr>
        <w:t xml:space="preserve"> </w:t>
      </w:r>
      <w:r>
        <w:rPr>
          <w:rFonts w:ascii="Times New Roman;Times;serif" w:hAnsi="Times New Roman;Times;serif"/>
          <w:sz w:val="20"/>
        </w:rPr>
        <w:t>by</w:t>
      </w:r>
      <w:r>
        <w:rPr>
          <w:rFonts w:ascii="Times New Roman;Times;serif" w:hAnsi="Times New Roman;Times;serif"/>
          <w:spacing w:val="2"/>
          <w:sz w:val="20"/>
        </w:rPr>
        <w:t xml:space="preserve"> </w:t>
      </w:r>
      <w:r>
        <w:rPr>
          <w:rFonts w:ascii="Times New Roman;Times;serif" w:hAnsi="Times New Roman;Times;serif"/>
          <w:sz w:val="20"/>
        </w:rPr>
        <w:t>or</w:t>
      </w:r>
      <w:r>
        <w:rPr>
          <w:rFonts w:ascii="Times New Roman;Times;serif" w:hAnsi="Times New Roman;Times;serif"/>
          <w:spacing w:val="7"/>
          <w:sz w:val="20"/>
        </w:rPr>
        <w:t xml:space="preserve"> </w:t>
      </w:r>
      <w:r>
        <w:rPr>
          <w:rFonts w:ascii="Times New Roman;Times;serif" w:hAnsi="Times New Roman;Times;serif"/>
          <w:sz w:val="20"/>
        </w:rPr>
        <w:t>before</w:t>
      </w:r>
      <w:r>
        <w:rPr>
          <w:rFonts w:ascii="Times New Roman;Times;serif" w:hAnsi="Times New Roman;Times;serif"/>
          <w:spacing w:val="6"/>
          <w:sz w:val="20"/>
        </w:rPr>
        <w:t xml:space="preserve"> </w:t>
      </w:r>
      <w:r>
        <w:rPr>
          <w:rFonts w:ascii="Times New Roman;Times;serif" w:hAnsi="Times New Roman;Times;serif"/>
          <w:sz w:val="20"/>
        </w:rPr>
        <w:t>January</w:t>
      </w:r>
      <w:r>
        <w:rPr>
          <w:rFonts w:ascii="Times New Roman;Times;serif" w:hAnsi="Times New Roman;Times;serif"/>
          <w:spacing w:val="2"/>
          <w:sz w:val="20"/>
        </w:rPr>
        <w:t xml:space="preserve"> </w:t>
      </w:r>
      <w:r>
        <w:rPr>
          <w:rFonts w:ascii="Times New Roman;Times;serif" w:hAnsi="Times New Roman;Times;serif"/>
          <w:sz w:val="20"/>
        </w:rPr>
        <w:t>1,</w:t>
      </w:r>
      <w:r>
        <w:rPr>
          <w:rFonts w:ascii="Times New Roman;Times;serif" w:hAnsi="Times New Roman;Times;serif"/>
          <w:spacing w:val="5"/>
          <w:sz w:val="20"/>
        </w:rPr>
        <w:t xml:space="preserve"> </w:t>
      </w:r>
      <w:r>
        <w:rPr>
          <w:rFonts w:ascii="Times New Roman;Times;serif" w:hAnsi="Times New Roman;Times;serif"/>
          <w:sz w:val="20"/>
        </w:rPr>
        <w:t>2022,</w:t>
      </w:r>
      <w:r>
        <w:rPr>
          <w:rFonts w:ascii="Times New Roman;Times;serif" w:hAnsi="Times New Roman;Times;serif"/>
          <w:spacing w:val="3"/>
          <w:sz w:val="20"/>
        </w:rPr>
        <w:t xml:space="preserve"> </w:t>
      </w:r>
      <w:r>
        <w:rPr>
          <w:rFonts w:ascii="Times New Roman;Times;serif" w:hAnsi="Times New Roman;Times;serif"/>
          <w:sz w:val="20"/>
        </w:rPr>
        <w:t>a</w:t>
      </w:r>
      <w:r>
        <w:rPr>
          <w:rFonts w:ascii="Times New Roman;Times;serif" w:hAnsi="Times New Roman;Times;serif"/>
          <w:spacing w:val="5"/>
          <w:sz w:val="20"/>
        </w:rPr>
        <w:t xml:space="preserve"> </w:t>
      </w:r>
      <w:r>
        <w:rPr>
          <w:rFonts w:ascii="Times New Roman;Times;serif" w:hAnsi="Times New Roman;Times;serif"/>
          <w:sz w:val="20"/>
        </w:rPr>
        <w:t>single</w:t>
      </w:r>
      <w:r>
        <w:rPr>
          <w:rFonts w:ascii="Times New Roman;Times;serif" w:hAnsi="Times New Roman;Times;serif"/>
          <w:spacing w:val="-2"/>
          <w:sz w:val="20"/>
        </w:rPr>
        <w:t xml:space="preserve"> </w:t>
      </w:r>
      <w:r>
        <w:rPr>
          <w:rFonts w:ascii="Times New Roman;Times;serif" w:hAnsi="Times New Roman;Times;serif"/>
          <w:sz w:val="20"/>
        </w:rPr>
        <w:t>set</w:t>
      </w:r>
      <w:r>
        <w:rPr>
          <w:rFonts w:ascii="Times New Roman;Times;serif" w:hAnsi="Times New Roman;Times;serif"/>
          <w:spacing w:val="9"/>
          <w:sz w:val="20"/>
        </w:rPr>
        <w:t xml:space="preserve"> </w:t>
      </w:r>
      <w:r>
        <w:rPr>
          <w:rFonts w:ascii="Times New Roman;Times;serif" w:hAnsi="Times New Roman;Times;serif"/>
          <w:sz w:val="20"/>
        </w:rPr>
        <w:t>of</w:t>
      </w:r>
      <w:r>
        <w:rPr>
          <w:rFonts w:ascii="Times New Roman;Times;serif" w:hAnsi="Times New Roman;Times;serif"/>
          <w:spacing w:val="9"/>
          <w:sz w:val="20"/>
        </w:rPr>
        <w:t xml:space="preserve"> </w:t>
      </w:r>
      <w:r>
        <w:rPr>
          <w:rFonts w:ascii="Times New Roman;Times;serif" w:hAnsi="Times New Roman;Times;serif"/>
          <w:sz w:val="20"/>
        </w:rPr>
        <w:t>rules</w:t>
      </w:r>
      <w:r>
        <w:rPr>
          <w:rFonts w:ascii="Times New Roman;Times;serif" w:hAnsi="Times New Roman;Times;serif"/>
          <w:spacing w:val="9"/>
          <w:sz w:val="20"/>
        </w:rPr>
        <w:t xml:space="preserve"> </w:t>
      </w:r>
      <w:r>
        <w:rPr>
          <w:rFonts w:ascii="Times New Roman;Times;serif" w:hAnsi="Times New Roman;Times;serif"/>
          <w:sz w:val="20"/>
        </w:rPr>
        <w:t>for</w:t>
      </w:r>
      <w:r>
        <w:rPr>
          <w:rFonts w:ascii="Times New Roman;Times;serif" w:hAnsi="Times New Roman;Times;serif"/>
          <w:spacing w:val="11"/>
          <w:sz w:val="20"/>
        </w:rPr>
        <w:t xml:space="preserve"> </w:t>
      </w:r>
      <w:r>
        <w:rPr>
          <w:rFonts w:ascii="Times New Roman;Times;serif" w:hAnsi="Times New Roman;Times;serif"/>
          <w:sz w:val="20"/>
        </w:rPr>
        <w:t>regulation</w:t>
      </w:r>
      <w:r>
        <w:rPr>
          <w:rFonts w:ascii="Times New Roman;Times;serif" w:hAnsi="Times New Roman;Times;serif"/>
          <w:spacing w:val="9"/>
          <w:sz w:val="20"/>
        </w:rPr>
        <w:t xml:space="preserve"> </w:t>
      </w:r>
      <w:r>
        <w:rPr>
          <w:rFonts w:ascii="Times New Roman;Times;serif" w:hAnsi="Times New Roman;Times;serif"/>
          <w:sz w:val="20"/>
        </w:rPr>
        <w:t>of</w:t>
      </w:r>
      <w:r>
        <w:rPr>
          <w:rFonts w:ascii="Times New Roman;Times;serif" w:hAnsi="Times New Roman;Times;serif"/>
          <w:spacing w:val="9"/>
          <w:sz w:val="20"/>
        </w:rPr>
        <w:t xml:space="preserve"> </w:t>
      </w:r>
      <w:r>
        <w:rPr>
          <w:rFonts w:ascii="Times New Roman;Times;serif" w:hAnsi="Times New Roman;Times;serif"/>
          <w:sz w:val="20"/>
        </w:rPr>
        <w:t>the</w:t>
      </w:r>
      <w:r>
        <w:rPr>
          <w:rFonts w:ascii="Times New Roman;Times;serif" w:hAnsi="Times New Roman;Times;serif"/>
          <w:spacing w:val="10"/>
          <w:sz w:val="20"/>
        </w:rPr>
        <w:t xml:space="preserve"> </w:t>
      </w:r>
      <w:r>
        <w:rPr>
          <w:rFonts w:ascii="Times New Roman;Times;serif" w:hAnsi="Times New Roman;Times;serif"/>
          <w:sz w:val="20"/>
        </w:rPr>
        <w:t>State’s</w:t>
      </w:r>
      <w:r>
        <w:rPr>
          <w:rFonts w:ascii="Times New Roman;Times;serif" w:hAnsi="Times New Roman;Times;serif"/>
          <w:spacing w:val="11"/>
          <w:sz w:val="20"/>
        </w:rPr>
        <w:t xml:space="preserve"> </w:t>
      </w:r>
      <w:r>
        <w:rPr>
          <w:rFonts w:ascii="Times New Roman;Times;serif" w:hAnsi="Times New Roman;Times;serif"/>
          <w:sz w:val="20"/>
        </w:rPr>
        <w:t>medical</w:t>
      </w:r>
      <w:r>
        <w:rPr>
          <w:rFonts w:ascii="Times New Roman;Times;serif" w:hAnsi="Times New Roman;Times;serif"/>
          <w:spacing w:val="9"/>
          <w:sz w:val="20"/>
        </w:rPr>
        <w:t xml:space="preserve"> </w:t>
      </w:r>
      <w:r>
        <w:rPr>
          <w:rFonts w:ascii="Times New Roman;Times;serif" w:hAnsi="Times New Roman;Times;serif"/>
          <w:sz w:val="20"/>
        </w:rPr>
        <w:t>and</w:t>
      </w:r>
      <w:r>
        <w:rPr>
          <w:rFonts w:ascii="Times New Roman;Times;serif" w:hAnsi="Times New Roman;Times;serif"/>
          <w:spacing w:val="11"/>
          <w:sz w:val="20"/>
        </w:rPr>
        <w:t xml:space="preserve"> </w:t>
      </w:r>
      <w:r>
        <w:rPr>
          <w:rFonts w:ascii="Times New Roman;Times;serif" w:hAnsi="Times New Roman;Times;serif"/>
          <w:sz w:val="20"/>
        </w:rPr>
        <w:t>adult</w:t>
      </w:r>
      <w:r>
        <w:rPr>
          <w:rFonts w:ascii="Times New Roman;Times;serif" w:hAnsi="Times New Roman;Times;serif"/>
          <w:spacing w:val="13"/>
          <w:sz w:val="20"/>
        </w:rPr>
        <w:t xml:space="preserve"> </w:t>
      </w:r>
      <w:r>
        <w:rPr>
          <w:rFonts w:ascii="Times New Roman;Times;serif" w:hAnsi="Times New Roman;Times;serif"/>
          <w:sz w:val="20"/>
        </w:rPr>
        <w:t>use</w:t>
      </w:r>
      <w:r>
        <w:rPr>
          <w:rFonts w:ascii="Times New Roman;Times;serif" w:hAnsi="Times New Roman;Times;serif"/>
          <w:spacing w:val="10"/>
          <w:sz w:val="20"/>
        </w:rPr>
        <w:t xml:space="preserve"> </w:t>
      </w:r>
      <w:r>
        <w:rPr>
          <w:rFonts w:ascii="Times New Roman;Times;serif" w:hAnsi="Times New Roman;Times;serif"/>
          <w:sz w:val="20"/>
        </w:rPr>
        <w:t>cannabis</w:t>
      </w:r>
      <w:r>
        <w:rPr>
          <w:rFonts w:ascii="Times New Roman;Times;serif" w:hAnsi="Times New Roman;Times;serif"/>
          <w:spacing w:val="9"/>
          <w:sz w:val="20"/>
        </w:rPr>
        <w:t xml:space="preserve"> </w:t>
      </w:r>
      <w:r>
        <w:rPr>
          <w:rFonts w:ascii="Times New Roman;Times;serif" w:hAnsi="Times New Roman;Times;serif"/>
          <w:sz w:val="20"/>
        </w:rPr>
        <w:t>industry,</w:t>
      </w:r>
      <w:r>
        <w:rPr>
          <w:rFonts w:ascii="Times New Roman;Times;serif" w:hAnsi="Times New Roman;Times;serif"/>
          <w:spacing w:val="11"/>
          <w:sz w:val="20"/>
        </w:rPr>
        <w:t xml:space="preserve"> </w:t>
      </w:r>
      <w:r>
        <w:rPr>
          <w:rFonts w:ascii="Times New Roman;Times;serif" w:hAnsi="Times New Roman;Times;serif"/>
          <w:sz w:val="20"/>
        </w:rPr>
        <w:t>including</w:t>
      </w:r>
      <w:r>
        <w:rPr>
          <w:rFonts w:ascii="Times New Roman;Times;serif" w:hAnsi="Times New Roman;Times;serif"/>
          <w:spacing w:val="9"/>
          <w:sz w:val="20"/>
        </w:rPr>
        <w:t xml:space="preserve"> </w:t>
      </w:r>
      <w:r>
        <w:rPr>
          <w:rFonts w:ascii="Times New Roman;Times;serif" w:hAnsi="Times New Roman;Times;serif"/>
          <w:sz w:val="20"/>
        </w:rPr>
        <w:t>licensure,</w:t>
      </w:r>
      <w:r>
        <w:rPr>
          <w:rFonts w:ascii="Times New Roman;Times;serif" w:hAnsi="Times New Roman;Times;serif"/>
          <w:spacing w:val="11"/>
          <w:sz w:val="20"/>
        </w:rPr>
        <w:t xml:space="preserve"> </w:t>
      </w:r>
      <w:r>
        <w:rPr>
          <w:rFonts w:ascii="Times New Roman;Times;serif" w:hAnsi="Times New Roman;Times;serif"/>
          <w:sz w:val="20"/>
        </w:rPr>
        <w:t>sales,</w:t>
      </w:r>
      <w:r>
        <w:rPr>
          <w:rFonts w:ascii="Times New Roman;Times;serif" w:hAnsi="Times New Roman;Times;serif"/>
          <w:spacing w:val="11"/>
          <w:sz w:val="20"/>
        </w:rPr>
        <w:t xml:space="preserve"> </w:t>
      </w:r>
      <w:r>
        <w:rPr>
          <w:rFonts w:ascii="Times New Roman;Times;serif" w:hAnsi="Times New Roman;Times;serif"/>
          <w:sz w:val="20"/>
        </w:rPr>
        <w:t>testing,</w:t>
      </w:r>
      <w:r>
        <w:rPr>
          <w:rFonts w:ascii="Times New Roman;Times;serif" w:hAnsi="Times New Roman;Times;serif"/>
          <w:spacing w:val="-2"/>
          <w:sz w:val="20"/>
        </w:rPr>
        <w:t xml:space="preserve"> </w:t>
      </w:r>
      <w:r>
        <w:rPr>
          <w:rFonts w:ascii="Times New Roman;Times;serif" w:hAnsi="Times New Roman;Times;serif"/>
          <w:sz w:val="20"/>
        </w:rPr>
        <w:t>security,</w:t>
      </w:r>
      <w:r>
        <w:rPr>
          <w:rFonts w:ascii="Times New Roman;Times;serif" w:hAnsi="Times New Roman;Times;serif"/>
          <w:spacing w:val="15"/>
          <w:sz w:val="20"/>
        </w:rPr>
        <w:t xml:space="preserve"> </w:t>
      </w:r>
      <w:r>
        <w:rPr>
          <w:rFonts w:ascii="Times New Roman;Times;serif" w:hAnsi="Times New Roman;Times;serif"/>
          <w:sz w:val="20"/>
        </w:rPr>
        <w:t>advertising</w:t>
      </w:r>
      <w:r>
        <w:rPr>
          <w:rFonts w:ascii="Times New Roman;Times;serif" w:hAnsi="Times New Roman;Times;serif"/>
          <w:spacing w:val="13"/>
          <w:sz w:val="20"/>
        </w:rPr>
        <w:t xml:space="preserve"> </w:t>
      </w:r>
      <w:r>
        <w:rPr>
          <w:rFonts w:ascii="Times New Roman;Times;serif" w:hAnsi="Times New Roman;Times;serif"/>
          <w:sz w:val="20"/>
        </w:rPr>
        <w:t>and</w:t>
      </w:r>
      <w:r>
        <w:rPr>
          <w:rFonts w:ascii="Times New Roman;Times;serif" w:hAnsi="Times New Roman;Times;serif"/>
          <w:spacing w:val="15"/>
          <w:sz w:val="20"/>
        </w:rPr>
        <w:t xml:space="preserve"> </w:t>
      </w:r>
      <w:r>
        <w:rPr>
          <w:rFonts w:ascii="Times New Roman;Times;serif" w:hAnsi="Times New Roman;Times;serif"/>
          <w:sz w:val="20"/>
        </w:rPr>
        <w:t>labeling</w:t>
      </w:r>
      <w:r>
        <w:rPr>
          <w:rFonts w:ascii="Times New Roman;Times;serif" w:hAnsi="Times New Roman;Times;serif"/>
          <w:spacing w:val="13"/>
          <w:sz w:val="20"/>
        </w:rPr>
        <w:t xml:space="preserve"> </w:t>
      </w:r>
      <w:r>
        <w:rPr>
          <w:rFonts w:ascii="Times New Roman;Times;serif" w:hAnsi="Times New Roman;Times;serif"/>
          <w:sz w:val="20"/>
        </w:rPr>
        <w:t>of</w:t>
      </w:r>
      <w:r>
        <w:rPr>
          <w:rFonts w:ascii="Times New Roman;Times;serif" w:hAnsi="Times New Roman;Times;serif"/>
          <w:spacing w:val="13"/>
          <w:sz w:val="20"/>
        </w:rPr>
        <w:t xml:space="preserve"> </w:t>
      </w:r>
      <w:r>
        <w:rPr>
          <w:rFonts w:ascii="Times New Roman;Times;serif" w:hAnsi="Times New Roman;Times;serif"/>
          <w:sz w:val="20"/>
        </w:rPr>
        <w:t>cannabis</w:t>
      </w:r>
      <w:r>
        <w:rPr>
          <w:rFonts w:ascii="Times New Roman;Times;serif" w:hAnsi="Times New Roman;Times;serif"/>
          <w:spacing w:val="15"/>
          <w:sz w:val="20"/>
        </w:rPr>
        <w:t xml:space="preserve"> </w:t>
      </w:r>
      <w:r>
        <w:rPr>
          <w:rFonts w:ascii="Times New Roman;Times;serif" w:hAnsi="Times New Roman;Times;serif"/>
          <w:sz w:val="20"/>
        </w:rPr>
        <w:t>products.</w:t>
      </w:r>
      <w:r>
        <w:rPr>
          <w:rFonts w:ascii="Times New Roman;Times;serif" w:hAnsi="Times New Roman;Times;serif"/>
          <w:spacing w:val="17"/>
          <w:sz w:val="20"/>
        </w:rPr>
        <w:t xml:space="preserve"> </w:t>
      </w:r>
      <w:r>
        <w:rPr>
          <w:rFonts w:ascii="Times New Roman;Times;serif" w:hAnsi="Times New Roman;Times;serif"/>
          <w:sz w:val="20"/>
        </w:rPr>
        <w:t>Other</w:t>
      </w:r>
      <w:r>
        <w:rPr>
          <w:rFonts w:ascii="Times New Roman;Times;serif" w:hAnsi="Times New Roman;Times;serif"/>
          <w:spacing w:val="16"/>
          <w:sz w:val="20"/>
        </w:rPr>
        <w:t xml:space="preserve"> </w:t>
      </w:r>
      <w:r>
        <w:rPr>
          <w:rFonts w:ascii="Times New Roman;Times;serif" w:hAnsi="Times New Roman;Times;serif"/>
          <w:sz w:val="20"/>
        </w:rPr>
        <w:t>than</w:t>
      </w:r>
      <w:r>
        <w:rPr>
          <w:rFonts w:ascii="Times New Roman;Times;serif" w:hAnsi="Times New Roman;Times;serif"/>
          <w:spacing w:val="15"/>
          <w:sz w:val="20"/>
        </w:rPr>
        <w:t xml:space="preserve"> </w:t>
      </w:r>
      <w:r>
        <w:rPr>
          <w:rFonts w:ascii="Times New Roman;Times;serif" w:hAnsi="Times New Roman;Times;serif"/>
          <w:sz w:val="20"/>
        </w:rPr>
        <w:t>maintenance</w:t>
      </w:r>
      <w:r>
        <w:rPr>
          <w:rFonts w:ascii="Times New Roman;Times;serif" w:hAnsi="Times New Roman;Times;serif"/>
          <w:spacing w:val="14"/>
          <w:sz w:val="20"/>
        </w:rPr>
        <w:t xml:space="preserve"> </w:t>
      </w:r>
      <w:r>
        <w:rPr>
          <w:rFonts w:ascii="Times New Roman;Times;serif" w:hAnsi="Times New Roman;Times;serif"/>
          <w:sz w:val="20"/>
        </w:rPr>
        <w:t>of</w:t>
      </w:r>
      <w:r>
        <w:rPr>
          <w:rFonts w:ascii="Times New Roman;Times;serif" w:hAnsi="Times New Roman;Times;serif"/>
          <w:spacing w:val="13"/>
          <w:sz w:val="20"/>
        </w:rPr>
        <w:t xml:space="preserve"> </w:t>
      </w:r>
      <w:r>
        <w:rPr>
          <w:rFonts w:ascii="Times New Roman;Times;serif" w:hAnsi="Times New Roman;Times;serif"/>
          <w:sz w:val="20"/>
        </w:rPr>
        <w:t>the</w:t>
      </w:r>
      <w:r>
        <w:rPr>
          <w:rFonts w:ascii="Times New Roman;Times;serif" w:hAnsi="Times New Roman;Times;serif"/>
          <w:spacing w:val="15"/>
          <w:sz w:val="20"/>
        </w:rPr>
        <w:t xml:space="preserve"> </w:t>
      </w:r>
      <w:r>
        <w:rPr>
          <w:rFonts w:ascii="Times New Roman;Times;serif" w:hAnsi="Times New Roman;Times;serif"/>
          <w:sz w:val="20"/>
        </w:rPr>
        <w:t>patient</w:t>
      </w:r>
      <w:r>
        <w:rPr>
          <w:rFonts w:ascii="Times New Roman;Times;serif" w:hAnsi="Times New Roman;Times;serif"/>
          <w:spacing w:val="15"/>
          <w:sz w:val="20"/>
        </w:rPr>
        <w:t xml:space="preserve"> </w:t>
      </w:r>
      <w:r>
        <w:rPr>
          <w:rFonts w:ascii="Times New Roman;Times;serif" w:hAnsi="Times New Roman;Times;serif"/>
          <w:sz w:val="20"/>
        </w:rPr>
        <w:t>registry</w:t>
      </w:r>
      <w:r>
        <w:rPr>
          <w:rFonts w:ascii="Times New Roman;Times;serif" w:hAnsi="Times New Roman;Times;serif"/>
          <w:spacing w:val="13"/>
          <w:sz w:val="20"/>
        </w:rPr>
        <w:t xml:space="preserve"> </w:t>
      </w:r>
      <w:r>
        <w:rPr>
          <w:rFonts w:ascii="Times New Roman;Times;serif" w:hAnsi="Times New Roman;Times;serif"/>
          <w:sz w:val="20"/>
        </w:rPr>
        <w:t>for</w:t>
      </w:r>
      <w:r>
        <w:rPr>
          <w:rFonts w:ascii="Times New Roman;Times;serif" w:hAnsi="Times New Roman;Times;serif"/>
          <w:spacing w:val="18"/>
          <w:sz w:val="20"/>
        </w:rPr>
        <w:t xml:space="preserve"> </w:t>
      </w:r>
      <w:r>
        <w:rPr>
          <w:rFonts w:ascii="Times New Roman;Times;serif" w:hAnsi="Times New Roman;Times;serif"/>
          <w:sz w:val="20"/>
        </w:rPr>
        <w:t>medical</w:t>
      </w:r>
      <w:r>
        <w:rPr>
          <w:rFonts w:ascii="Times New Roman;Times;serif" w:hAnsi="Times New Roman;Times;serif"/>
          <w:spacing w:val="-2"/>
          <w:sz w:val="20"/>
        </w:rPr>
        <w:t xml:space="preserve"> </w:t>
      </w:r>
      <w:r>
        <w:rPr>
          <w:rFonts w:ascii="Times New Roman;Times;serif" w:hAnsi="Times New Roman;Times;serif"/>
          <w:sz w:val="20"/>
        </w:rPr>
        <w:t>cannabis</w:t>
      </w:r>
      <w:r>
        <w:rPr>
          <w:rFonts w:ascii="Times New Roman;Times;serif" w:hAnsi="Times New Roman;Times;serif"/>
          <w:spacing w:val="21"/>
          <w:sz w:val="20"/>
        </w:rPr>
        <w:t xml:space="preserve"> </w:t>
      </w:r>
      <w:r>
        <w:rPr>
          <w:rFonts w:ascii="Times New Roman;Times;serif" w:hAnsi="Times New Roman;Times;serif"/>
          <w:sz w:val="20"/>
        </w:rPr>
        <w:t>under</w:t>
      </w:r>
      <w:r>
        <w:rPr>
          <w:rFonts w:ascii="Times New Roman;Times;serif" w:hAnsi="Times New Roman;Times;serif"/>
          <w:spacing w:val="22"/>
          <w:sz w:val="20"/>
        </w:rPr>
        <w:t xml:space="preserve"> </w:t>
      </w:r>
      <w:r>
        <w:rPr>
          <w:rFonts w:ascii="Times New Roman;Times;serif" w:hAnsi="Times New Roman;Times;serif"/>
          <w:sz w:val="20"/>
        </w:rPr>
        <w:t>the</w:t>
      </w:r>
      <w:r>
        <w:rPr>
          <w:rFonts w:ascii="Times New Roman;Times;serif" w:hAnsi="Times New Roman;Times;serif"/>
          <w:spacing w:val="21"/>
          <w:sz w:val="20"/>
        </w:rPr>
        <w:t xml:space="preserve"> </w:t>
      </w:r>
      <w:r>
        <w:rPr>
          <w:rFonts w:ascii="Times New Roman;Times;serif" w:hAnsi="Times New Roman;Times;serif"/>
          <w:sz w:val="20"/>
        </w:rPr>
        <w:t>LECUA,</w:t>
      </w:r>
      <w:r>
        <w:rPr>
          <w:rFonts w:ascii="Times New Roman;Times;serif" w:hAnsi="Times New Roman;Times;serif"/>
          <w:spacing w:val="23"/>
          <w:sz w:val="20"/>
        </w:rPr>
        <w:t xml:space="preserve"> </w:t>
      </w:r>
      <w:r>
        <w:rPr>
          <w:rFonts w:ascii="Times New Roman;Times;serif" w:hAnsi="Times New Roman;Times;serif"/>
          <w:sz w:val="20"/>
        </w:rPr>
        <w:t>the</w:t>
      </w:r>
      <w:r>
        <w:rPr>
          <w:rFonts w:ascii="Times New Roman;Times;serif" w:hAnsi="Times New Roman;Times;serif"/>
          <w:spacing w:val="21"/>
          <w:sz w:val="20"/>
        </w:rPr>
        <w:t xml:space="preserve"> </w:t>
      </w:r>
      <w:r>
        <w:rPr>
          <w:rFonts w:ascii="Times New Roman;Times;serif" w:hAnsi="Times New Roman;Times;serif"/>
          <w:sz w:val="20"/>
        </w:rPr>
        <w:t>CRA</w:t>
      </w:r>
      <w:r>
        <w:rPr>
          <w:rFonts w:ascii="Times New Roman;Times;serif" w:hAnsi="Times New Roman;Times;serif"/>
          <w:spacing w:val="21"/>
          <w:sz w:val="20"/>
        </w:rPr>
        <w:t xml:space="preserve"> </w:t>
      </w:r>
      <w:r>
        <w:rPr>
          <w:rFonts w:ascii="Times New Roman;Times;serif" w:hAnsi="Times New Roman;Times;serif"/>
          <w:sz w:val="20"/>
        </w:rPr>
        <w:t>vested</w:t>
      </w:r>
      <w:r>
        <w:rPr>
          <w:rFonts w:ascii="Times New Roman;Times;serif" w:hAnsi="Times New Roman;Times;serif"/>
          <w:spacing w:val="23"/>
          <w:sz w:val="20"/>
        </w:rPr>
        <w:t xml:space="preserve"> </w:t>
      </w:r>
      <w:r>
        <w:rPr>
          <w:rFonts w:ascii="Times New Roman;Times;serif" w:hAnsi="Times New Roman;Times;serif"/>
          <w:sz w:val="20"/>
        </w:rPr>
        <w:t>CCD</w:t>
      </w:r>
      <w:r>
        <w:rPr>
          <w:rFonts w:ascii="Times New Roman;Times;serif" w:hAnsi="Times New Roman;Times;serif"/>
          <w:spacing w:val="25"/>
          <w:sz w:val="20"/>
        </w:rPr>
        <w:t xml:space="preserve"> </w:t>
      </w:r>
      <w:r>
        <w:rPr>
          <w:rFonts w:ascii="Times New Roman;Times;serif" w:hAnsi="Times New Roman;Times;serif"/>
          <w:sz w:val="20"/>
        </w:rPr>
        <w:t>with</w:t>
      </w:r>
      <w:r>
        <w:rPr>
          <w:rFonts w:ascii="Times New Roman;Times;serif" w:hAnsi="Times New Roman;Times;serif"/>
          <w:spacing w:val="21"/>
          <w:sz w:val="20"/>
        </w:rPr>
        <w:t xml:space="preserve"> </w:t>
      </w:r>
      <w:r>
        <w:rPr>
          <w:rFonts w:ascii="Times New Roman;Times;serif" w:hAnsi="Times New Roman;Times;serif"/>
          <w:sz w:val="20"/>
        </w:rPr>
        <w:t>all</w:t>
      </w:r>
      <w:r>
        <w:rPr>
          <w:rFonts w:ascii="Times New Roman;Times;serif" w:hAnsi="Times New Roman;Times;serif"/>
          <w:spacing w:val="21"/>
          <w:sz w:val="20"/>
        </w:rPr>
        <w:t xml:space="preserve"> </w:t>
      </w:r>
      <w:r>
        <w:rPr>
          <w:rFonts w:ascii="Times New Roman;Times;serif" w:hAnsi="Times New Roman;Times;serif"/>
          <w:sz w:val="20"/>
        </w:rPr>
        <w:t>authority</w:t>
      </w:r>
      <w:r>
        <w:rPr>
          <w:rFonts w:ascii="Times New Roman;Times;serif" w:hAnsi="Times New Roman;Times;serif"/>
          <w:spacing w:val="21"/>
          <w:sz w:val="20"/>
        </w:rPr>
        <w:t xml:space="preserve"> </w:t>
      </w:r>
      <w:r>
        <w:rPr>
          <w:rFonts w:ascii="Times New Roman;Times;serif" w:hAnsi="Times New Roman;Times;serif"/>
          <w:sz w:val="20"/>
        </w:rPr>
        <w:t>to</w:t>
      </w:r>
      <w:r>
        <w:rPr>
          <w:rFonts w:ascii="Times New Roman;Times;serif" w:hAnsi="Times New Roman;Times;serif"/>
          <w:spacing w:val="23"/>
          <w:sz w:val="20"/>
        </w:rPr>
        <w:t xml:space="preserve"> </w:t>
      </w:r>
      <w:r>
        <w:rPr>
          <w:rFonts w:ascii="Times New Roman;Times;serif" w:hAnsi="Times New Roman;Times;serif"/>
          <w:sz w:val="20"/>
        </w:rPr>
        <w:t>administrate</w:t>
      </w:r>
      <w:r>
        <w:rPr>
          <w:rFonts w:ascii="Times New Roman;Times;serif" w:hAnsi="Times New Roman;Times;serif"/>
          <w:spacing w:val="21"/>
          <w:sz w:val="20"/>
        </w:rPr>
        <w:t xml:space="preserve"> </w:t>
      </w:r>
      <w:r>
        <w:rPr>
          <w:rFonts w:ascii="Times New Roman;Times;serif" w:hAnsi="Times New Roman;Times;serif"/>
          <w:sz w:val="20"/>
        </w:rPr>
        <w:t>and</w:t>
      </w:r>
      <w:r>
        <w:rPr>
          <w:rFonts w:ascii="Times New Roman;Times;serif" w:hAnsi="Times New Roman;Times;serif"/>
          <w:spacing w:val="23"/>
          <w:sz w:val="20"/>
        </w:rPr>
        <w:t xml:space="preserve"> </w:t>
      </w:r>
      <w:r>
        <w:rPr>
          <w:rFonts w:ascii="Times New Roman;Times;serif" w:hAnsi="Times New Roman;Times;serif"/>
          <w:sz w:val="20"/>
        </w:rPr>
        <w:t>regulate</w:t>
      </w:r>
      <w:r>
        <w:rPr>
          <w:rFonts w:ascii="Times New Roman;Times;serif" w:hAnsi="Times New Roman;Times;serif"/>
          <w:spacing w:val="22"/>
          <w:sz w:val="20"/>
        </w:rPr>
        <w:t xml:space="preserve"> </w:t>
      </w:r>
      <w:r>
        <w:rPr>
          <w:rFonts w:ascii="Times New Roman;Times;serif" w:hAnsi="Times New Roman;Times;serif"/>
          <w:sz w:val="20"/>
        </w:rPr>
        <w:t>New</w:t>
      </w:r>
      <w:r>
        <w:rPr>
          <w:rFonts w:ascii="Times New Roman;Times;serif" w:hAnsi="Times New Roman;Times;serif"/>
          <w:spacing w:val="21"/>
          <w:sz w:val="20"/>
        </w:rPr>
        <w:t xml:space="preserve"> </w:t>
      </w:r>
      <w:r>
        <w:rPr>
          <w:rFonts w:ascii="Times New Roman;Times;serif" w:hAnsi="Times New Roman;Times;serif"/>
          <w:sz w:val="20"/>
        </w:rPr>
        <w:t>Mexico’s</w:t>
      </w:r>
      <w:r>
        <w:rPr>
          <w:rFonts w:ascii="Times New Roman;Times;serif" w:hAnsi="Times New Roman;Times;serif"/>
          <w:spacing w:val="-2"/>
          <w:sz w:val="20"/>
        </w:rPr>
        <w:t xml:space="preserve"> </w:t>
      </w:r>
      <w:r>
        <w:rPr>
          <w:rFonts w:ascii="Times New Roman;Times;serif" w:hAnsi="Times New Roman;Times;serif"/>
          <w:sz w:val="20"/>
        </w:rPr>
        <w:t>medical</w:t>
      </w:r>
      <w:r>
        <w:rPr>
          <w:rFonts w:ascii="Times New Roman;Times;serif" w:hAnsi="Times New Roman;Times;serif"/>
          <w:spacing w:val="20"/>
          <w:sz w:val="20"/>
        </w:rPr>
        <w:t xml:space="preserve"> </w:t>
      </w:r>
      <w:r>
        <w:rPr>
          <w:rFonts w:ascii="Times New Roman;Times;serif" w:hAnsi="Times New Roman;Times;serif"/>
          <w:sz w:val="20"/>
        </w:rPr>
        <w:t>and</w:t>
      </w:r>
      <w:r>
        <w:rPr>
          <w:rFonts w:ascii="Times New Roman;Times;serif" w:hAnsi="Times New Roman;Times;serif"/>
          <w:spacing w:val="21"/>
          <w:sz w:val="20"/>
        </w:rPr>
        <w:t xml:space="preserve"> </w:t>
      </w:r>
      <w:r>
        <w:rPr>
          <w:rFonts w:ascii="Times New Roman;Times;serif" w:hAnsi="Times New Roman;Times;serif"/>
          <w:sz w:val="20"/>
        </w:rPr>
        <w:t>adult</w:t>
      </w:r>
      <w:r>
        <w:rPr>
          <w:rFonts w:ascii="Times New Roman;Times;serif" w:hAnsi="Times New Roman;Times;serif"/>
          <w:spacing w:val="23"/>
          <w:sz w:val="20"/>
        </w:rPr>
        <w:t xml:space="preserve"> </w:t>
      </w:r>
      <w:r>
        <w:rPr>
          <w:rFonts w:ascii="Times New Roman;Times;serif" w:hAnsi="Times New Roman;Times;serif"/>
          <w:sz w:val="20"/>
        </w:rPr>
        <w:t>use</w:t>
      </w:r>
      <w:r>
        <w:rPr>
          <w:rFonts w:ascii="Times New Roman;Times;serif" w:hAnsi="Times New Roman;Times;serif"/>
          <w:spacing w:val="19"/>
          <w:sz w:val="20"/>
        </w:rPr>
        <w:t xml:space="preserve"> </w:t>
      </w:r>
      <w:r>
        <w:rPr>
          <w:rFonts w:ascii="Times New Roman;Times;serif" w:hAnsi="Times New Roman;Times;serif"/>
          <w:sz w:val="20"/>
        </w:rPr>
        <w:t>cannabis</w:t>
      </w:r>
      <w:r>
        <w:rPr>
          <w:rFonts w:ascii="Times New Roman;Times;serif" w:hAnsi="Times New Roman;Times;serif"/>
          <w:spacing w:val="19"/>
          <w:sz w:val="20"/>
        </w:rPr>
        <w:t xml:space="preserve"> </w:t>
      </w:r>
      <w:r>
        <w:rPr>
          <w:rFonts w:ascii="Times New Roman;Times;serif" w:hAnsi="Times New Roman;Times;serif"/>
          <w:sz w:val="20"/>
        </w:rPr>
        <w:t>activities.</w:t>
      </w:r>
      <w:r>
        <w:rPr>
          <w:rFonts w:ascii="Times New Roman;Times;serif" w:hAnsi="Times New Roman;Times;serif"/>
          <w:spacing w:val="19"/>
          <w:sz w:val="20"/>
        </w:rPr>
        <w:t xml:space="preserve"> </w:t>
      </w:r>
      <w:r>
        <w:rPr>
          <w:rFonts w:ascii="Times New Roman;Times;serif" w:hAnsi="Times New Roman;Times;serif"/>
          <w:sz w:val="20"/>
        </w:rPr>
        <w:t>Consequently,</w:t>
      </w:r>
      <w:r>
        <w:rPr>
          <w:rFonts w:ascii="Times New Roman;Times;serif" w:hAnsi="Times New Roman;Times;serif"/>
          <w:spacing w:val="21"/>
          <w:sz w:val="20"/>
        </w:rPr>
        <w:t xml:space="preserve"> </w:t>
      </w:r>
      <w:r>
        <w:rPr>
          <w:rFonts w:ascii="Times New Roman;Times;serif" w:hAnsi="Times New Roman;Times;serif"/>
          <w:sz w:val="20"/>
        </w:rPr>
        <w:t>parties</w:t>
      </w:r>
      <w:r>
        <w:rPr>
          <w:rFonts w:ascii="Times New Roman;Times;serif" w:hAnsi="Times New Roman;Times;serif"/>
          <w:spacing w:val="17"/>
          <w:sz w:val="20"/>
        </w:rPr>
        <w:t xml:space="preserve"> </w:t>
      </w:r>
      <w:r>
        <w:rPr>
          <w:rFonts w:ascii="Times New Roman;Times;serif" w:hAnsi="Times New Roman;Times;serif"/>
          <w:sz w:val="20"/>
        </w:rPr>
        <w:t>licensed</w:t>
      </w:r>
      <w:r>
        <w:rPr>
          <w:rFonts w:ascii="Times New Roman;Times;serif" w:hAnsi="Times New Roman;Times;serif"/>
          <w:spacing w:val="19"/>
          <w:sz w:val="20"/>
        </w:rPr>
        <w:t xml:space="preserve"> </w:t>
      </w:r>
      <w:r>
        <w:rPr>
          <w:rFonts w:ascii="Times New Roman;Times;serif" w:hAnsi="Times New Roman;Times;serif"/>
          <w:sz w:val="20"/>
        </w:rPr>
        <w:t>pursuant</w:t>
      </w:r>
      <w:r>
        <w:rPr>
          <w:rFonts w:ascii="Times New Roman;Times;serif" w:hAnsi="Times New Roman;Times;serif"/>
          <w:spacing w:val="19"/>
          <w:sz w:val="20"/>
        </w:rPr>
        <w:t xml:space="preserve"> </w:t>
      </w:r>
      <w:r>
        <w:rPr>
          <w:rFonts w:ascii="Times New Roman;Times;serif" w:hAnsi="Times New Roman;Times;serif"/>
          <w:sz w:val="20"/>
        </w:rPr>
        <w:t>to</w:t>
      </w:r>
      <w:r>
        <w:rPr>
          <w:rFonts w:ascii="Times New Roman;Times;serif" w:hAnsi="Times New Roman;Times;serif"/>
          <w:spacing w:val="23"/>
          <w:sz w:val="20"/>
        </w:rPr>
        <w:t xml:space="preserve"> </w:t>
      </w:r>
      <w:r>
        <w:rPr>
          <w:rFonts w:ascii="Times New Roman;Times;serif" w:hAnsi="Times New Roman;Times;serif"/>
          <w:sz w:val="20"/>
        </w:rPr>
        <w:t>the</w:t>
      </w:r>
      <w:r>
        <w:rPr>
          <w:rFonts w:ascii="Times New Roman;Times;serif" w:hAnsi="Times New Roman;Times;serif"/>
          <w:spacing w:val="19"/>
          <w:sz w:val="20"/>
        </w:rPr>
        <w:t xml:space="preserve"> </w:t>
      </w:r>
      <w:r>
        <w:rPr>
          <w:rFonts w:ascii="Times New Roman;Times;serif" w:hAnsi="Times New Roman;Times;serif"/>
          <w:sz w:val="20"/>
        </w:rPr>
        <w:t>CCD</w:t>
      </w:r>
      <w:r>
        <w:rPr>
          <w:rFonts w:ascii="Times New Roman;Times;serif" w:hAnsi="Times New Roman;Times;serif"/>
          <w:spacing w:val="19"/>
          <w:sz w:val="20"/>
        </w:rPr>
        <w:t xml:space="preserve"> </w:t>
      </w:r>
      <w:r>
        <w:rPr>
          <w:rFonts w:ascii="Times New Roman;Times;serif" w:hAnsi="Times New Roman;Times;serif"/>
          <w:sz w:val="20"/>
        </w:rPr>
        <w:t>rules</w:t>
      </w:r>
      <w:r>
        <w:rPr>
          <w:rFonts w:ascii="Times New Roman;Times;serif" w:hAnsi="Times New Roman;Times;serif"/>
          <w:spacing w:val="19"/>
          <w:sz w:val="20"/>
        </w:rPr>
        <w:t xml:space="preserve"> </w:t>
      </w:r>
      <w:r>
        <w:rPr>
          <w:rFonts w:ascii="Times New Roman;Times;serif" w:hAnsi="Times New Roman;Times;serif"/>
          <w:sz w:val="20"/>
        </w:rPr>
        <w:t>can</w:t>
      </w:r>
      <w:r>
        <w:rPr>
          <w:rFonts w:ascii="Times New Roman;Times;serif" w:hAnsi="Times New Roman;Times;serif"/>
          <w:spacing w:val="21"/>
          <w:sz w:val="20"/>
        </w:rPr>
        <w:t xml:space="preserve"> </w:t>
      </w:r>
      <w:r>
        <w:rPr>
          <w:rFonts w:ascii="Times New Roman;Times;serif" w:hAnsi="Times New Roman;Times;serif"/>
          <w:sz w:val="20"/>
        </w:rPr>
        <w:t>sell</w:t>
      </w:r>
      <w:r>
        <w:rPr>
          <w:rFonts w:ascii="Times New Roman;Times;serif" w:hAnsi="Times New Roman;Times;serif"/>
          <w:spacing w:val="21"/>
          <w:sz w:val="20"/>
        </w:rPr>
        <w:t xml:space="preserve"> </w:t>
      </w:r>
      <w:r>
        <w:rPr>
          <w:rFonts w:ascii="Times New Roman;Times;serif" w:hAnsi="Times New Roman;Times;serif"/>
          <w:sz w:val="20"/>
        </w:rPr>
        <w:t>both</w:t>
      </w:r>
      <w:r>
        <w:rPr>
          <w:rFonts w:ascii="Times New Roman;Times;serif" w:hAnsi="Times New Roman;Times;serif"/>
          <w:spacing w:val="-2"/>
          <w:sz w:val="20"/>
        </w:rPr>
        <w:t xml:space="preserve"> </w:t>
      </w:r>
      <w:r>
        <w:rPr>
          <w:rFonts w:ascii="Times New Roman;Times;serif" w:hAnsi="Times New Roman;Times;serif"/>
          <w:sz w:val="20"/>
        </w:rPr>
        <w:t>medical</w:t>
      </w:r>
      <w:r>
        <w:rPr>
          <w:rFonts w:ascii="Times New Roman;Times;serif" w:hAnsi="Times New Roman;Times;serif"/>
          <w:spacing w:val="-1"/>
          <w:sz w:val="20"/>
        </w:rPr>
        <w:t xml:space="preserve"> </w:t>
      </w:r>
      <w:r>
        <w:rPr>
          <w:rFonts w:ascii="Times New Roman;Times;serif" w:hAnsi="Times New Roman;Times;serif"/>
          <w:sz w:val="20"/>
        </w:rPr>
        <w:t>and adult use</w:t>
      </w:r>
      <w:r>
        <w:rPr>
          <w:rFonts w:ascii="Times New Roman;Times;serif" w:hAnsi="Times New Roman;Times;serif"/>
          <w:spacing w:val="-2"/>
          <w:sz w:val="20"/>
        </w:rPr>
        <w:t xml:space="preserve"> </w:t>
      </w:r>
      <w:r>
        <w:rPr>
          <w:rFonts w:ascii="Times New Roman;Times;serif" w:hAnsi="Times New Roman;Times;serif"/>
          <w:sz w:val="20"/>
        </w:rPr>
        <w:t>cannabis with</w:t>
      </w:r>
      <w:r>
        <w:rPr>
          <w:rFonts w:ascii="Times New Roman;Times;serif" w:hAnsi="Times New Roman;Times;serif"/>
          <w:spacing w:val="-2"/>
          <w:sz w:val="20"/>
        </w:rPr>
        <w:t xml:space="preserve"> </w:t>
      </w:r>
      <w:r>
        <w:rPr>
          <w:rFonts w:ascii="Times New Roman;Times;serif" w:hAnsi="Times New Roman;Times;serif"/>
          <w:sz w:val="20"/>
        </w:rPr>
        <w:t>the most substantive</w:t>
      </w:r>
      <w:r>
        <w:rPr>
          <w:rFonts w:ascii="Times New Roman;Times;serif" w:hAnsi="Times New Roman;Times;serif"/>
          <w:spacing w:val="-1"/>
          <w:sz w:val="20"/>
        </w:rPr>
        <w:t xml:space="preserve"> </w:t>
      </w:r>
      <w:r>
        <w:rPr>
          <w:rFonts w:ascii="Times New Roman;Times;serif" w:hAnsi="Times New Roman;Times;serif"/>
          <w:sz w:val="20"/>
        </w:rPr>
        <w:t>differences</w:t>
      </w:r>
      <w:r>
        <w:rPr>
          <w:rFonts w:ascii="Times New Roman;Times;serif" w:hAnsi="Times New Roman;Times;serif"/>
          <w:spacing w:val="-2"/>
          <w:sz w:val="20"/>
        </w:rPr>
        <w:t xml:space="preserve"> </w:t>
      </w:r>
      <w:r>
        <w:rPr>
          <w:rFonts w:ascii="Times New Roman;Times;serif" w:hAnsi="Times New Roman;Times;serif"/>
          <w:sz w:val="20"/>
        </w:rPr>
        <w:t>being:</w:t>
      </w:r>
      <w:r>
        <w:rPr>
          <w:rFonts w:ascii="Times New Roman;Times;serif" w:hAnsi="Times New Roman;Times;serif"/>
          <w:spacing w:val="-2"/>
          <w:sz w:val="20"/>
        </w:rPr>
        <w:t xml:space="preserve"> </w:t>
      </w:r>
      <w:r>
        <w:rPr>
          <w:rFonts w:ascii="Times New Roman;Times;serif" w:hAnsi="Times New Roman;Times;serif"/>
          <w:sz w:val="20"/>
        </w:rPr>
        <w:t>(i)</w:t>
      </w:r>
      <w:r>
        <w:rPr>
          <w:rFonts w:ascii="Times New Roman;Times;serif" w:hAnsi="Times New Roman;Times;serif"/>
          <w:spacing w:val="2"/>
          <w:sz w:val="20"/>
        </w:rPr>
        <w:t xml:space="preserve"> </w:t>
      </w:r>
      <w:r>
        <w:rPr>
          <w:rFonts w:ascii="Times New Roman;Times;serif" w:hAnsi="Times New Roman;Times;serif"/>
          <w:sz w:val="20"/>
        </w:rPr>
        <w:t>medical</w:t>
      </w:r>
      <w:r>
        <w:rPr>
          <w:rFonts w:ascii="Times New Roman;Times;serif" w:hAnsi="Times New Roman;Times;serif"/>
          <w:spacing w:val="-2"/>
          <w:sz w:val="20"/>
        </w:rPr>
        <w:t xml:space="preserve"> </w:t>
      </w:r>
      <w:r>
        <w:rPr>
          <w:rFonts w:ascii="Times New Roman;Times;serif" w:hAnsi="Times New Roman;Times;serif"/>
          <w:sz w:val="20"/>
        </w:rPr>
        <w:t>cannabis</w:t>
      </w:r>
      <w:r>
        <w:rPr>
          <w:rFonts w:ascii="Times New Roman;Times;serif" w:hAnsi="Times New Roman;Times;serif"/>
          <w:spacing w:val="-2"/>
          <w:sz w:val="20"/>
        </w:rPr>
        <w:t xml:space="preserve"> </w:t>
      </w:r>
      <w:r>
        <w:rPr>
          <w:rFonts w:ascii="Times New Roman;Times;serif" w:hAnsi="Times New Roman;Times;serif"/>
          <w:sz w:val="20"/>
        </w:rPr>
        <w:t>is not</w:t>
      </w:r>
      <w:r>
        <w:rPr>
          <w:rFonts w:ascii="Times New Roman;Times;serif" w:hAnsi="Times New Roman;Times;serif"/>
          <w:spacing w:val="2"/>
          <w:sz w:val="20"/>
        </w:rPr>
        <w:t xml:space="preserve"> </w:t>
      </w:r>
      <w:r>
        <w:rPr>
          <w:rFonts w:ascii="Times New Roman;Times;serif" w:hAnsi="Times New Roman;Times;serif"/>
          <w:sz w:val="20"/>
        </w:rPr>
        <w:t>subject</w:t>
      </w:r>
      <w:r>
        <w:rPr>
          <w:rFonts w:ascii="Times New Roman;Times;serif" w:hAnsi="Times New Roman;Times;serif"/>
          <w:spacing w:val="-1"/>
          <w:sz w:val="20"/>
        </w:rPr>
        <w:t xml:space="preserve"> </w:t>
      </w:r>
      <w:r>
        <w:rPr>
          <w:rFonts w:ascii="Times New Roman;Times;serif" w:hAnsi="Times New Roman;Times;serif"/>
          <w:sz w:val="20"/>
        </w:rPr>
        <w:t>to the</w:t>
      </w:r>
      <w:r>
        <w:rPr>
          <w:rFonts w:ascii="Times New Roman;Times;serif" w:hAnsi="Times New Roman;Times;serif"/>
          <w:spacing w:val="-2"/>
          <w:sz w:val="20"/>
        </w:rPr>
        <w:t xml:space="preserve"> </w:t>
      </w:r>
      <w:r>
        <w:rPr>
          <w:rFonts w:ascii="Times New Roman;Times;serif" w:hAnsi="Times New Roman;Times;serif"/>
          <w:sz w:val="20"/>
        </w:rPr>
        <w:t>New</w:t>
      </w:r>
      <w:r>
        <w:rPr>
          <w:rFonts w:ascii="Times New Roman;Times;serif" w:hAnsi="Times New Roman;Times;serif"/>
          <w:spacing w:val="9"/>
          <w:sz w:val="20"/>
        </w:rPr>
        <w:t xml:space="preserve"> </w:t>
      </w:r>
      <w:r>
        <w:rPr>
          <w:rFonts w:ascii="Times New Roman;Times;serif" w:hAnsi="Times New Roman;Times;serif"/>
          <w:sz w:val="20"/>
        </w:rPr>
        <w:t>Mexico</w:t>
      </w:r>
      <w:r>
        <w:rPr>
          <w:rFonts w:ascii="Times New Roman;Times;serif" w:hAnsi="Times New Roman;Times;serif"/>
          <w:spacing w:val="13"/>
          <w:sz w:val="20"/>
        </w:rPr>
        <w:t xml:space="preserve"> </w:t>
      </w:r>
      <w:r>
        <w:rPr>
          <w:rFonts w:ascii="Times New Roman;Times;serif" w:hAnsi="Times New Roman;Times;serif"/>
          <w:sz w:val="20"/>
        </w:rPr>
        <w:t>Cannabis</w:t>
      </w:r>
      <w:r>
        <w:rPr>
          <w:rFonts w:ascii="Times New Roman;Times;serif" w:hAnsi="Times New Roman;Times;serif"/>
          <w:spacing w:val="13"/>
          <w:sz w:val="20"/>
        </w:rPr>
        <w:t xml:space="preserve"> </w:t>
      </w:r>
      <w:r>
        <w:rPr>
          <w:rFonts w:ascii="Times New Roman;Times;serif" w:hAnsi="Times New Roman;Times;serif"/>
          <w:sz w:val="20"/>
        </w:rPr>
        <w:t>Excise</w:t>
      </w:r>
      <w:r>
        <w:rPr>
          <w:rFonts w:ascii="Times New Roman;Times;serif" w:hAnsi="Times New Roman;Times;serif"/>
          <w:spacing w:val="12"/>
          <w:sz w:val="20"/>
        </w:rPr>
        <w:t xml:space="preserve"> </w:t>
      </w:r>
      <w:r>
        <w:rPr>
          <w:rFonts w:ascii="Times New Roman;Times;serif" w:hAnsi="Times New Roman;Times;serif"/>
          <w:sz w:val="20"/>
        </w:rPr>
        <w:t>Tax;</w:t>
      </w:r>
      <w:r>
        <w:rPr>
          <w:rFonts w:ascii="Times New Roman;Times;serif" w:hAnsi="Times New Roman;Times;serif"/>
          <w:spacing w:val="13"/>
          <w:sz w:val="20"/>
        </w:rPr>
        <w:t xml:space="preserve"> </w:t>
      </w:r>
      <w:r>
        <w:rPr>
          <w:rFonts w:ascii="Times New Roman;Times;serif" w:hAnsi="Times New Roman;Times;serif"/>
          <w:sz w:val="20"/>
        </w:rPr>
        <w:t>(ii)</w:t>
      </w:r>
      <w:r>
        <w:rPr>
          <w:rFonts w:ascii="Times New Roman;Times;serif" w:hAnsi="Times New Roman;Times;serif"/>
          <w:spacing w:val="13"/>
          <w:sz w:val="20"/>
        </w:rPr>
        <w:t xml:space="preserve"> </w:t>
      </w:r>
      <w:r>
        <w:rPr>
          <w:rFonts w:ascii="Times New Roman;Times;serif" w:hAnsi="Times New Roman;Times;serif"/>
          <w:sz w:val="20"/>
        </w:rPr>
        <w:t>persons</w:t>
      </w:r>
      <w:r>
        <w:rPr>
          <w:rFonts w:ascii="Times New Roman;Times;serif" w:hAnsi="Times New Roman;Times;serif"/>
          <w:spacing w:val="13"/>
          <w:sz w:val="20"/>
        </w:rPr>
        <w:t xml:space="preserve"> </w:t>
      </w:r>
      <w:r>
        <w:rPr>
          <w:rFonts w:ascii="Times New Roman;Times;serif" w:hAnsi="Times New Roman;Times;serif"/>
          <w:sz w:val="20"/>
        </w:rPr>
        <w:t>under</w:t>
      </w:r>
      <w:r>
        <w:rPr>
          <w:rFonts w:ascii="Times New Roman;Times;serif" w:hAnsi="Times New Roman;Times;serif"/>
          <w:spacing w:val="13"/>
          <w:sz w:val="20"/>
        </w:rPr>
        <w:t xml:space="preserve"> </w:t>
      </w:r>
      <w:r>
        <w:rPr>
          <w:rFonts w:ascii="Times New Roman;Times;serif" w:hAnsi="Times New Roman;Times;serif"/>
          <w:sz w:val="20"/>
        </w:rPr>
        <w:t>21</w:t>
      </w:r>
      <w:r>
        <w:rPr>
          <w:rFonts w:ascii="Times New Roman;Times;serif" w:hAnsi="Times New Roman;Times;serif"/>
          <w:spacing w:val="13"/>
          <w:sz w:val="20"/>
        </w:rPr>
        <w:t xml:space="preserve"> </w:t>
      </w:r>
      <w:r>
        <w:rPr>
          <w:rFonts w:ascii="Times New Roman;Times;serif" w:hAnsi="Times New Roman;Times;serif"/>
          <w:sz w:val="20"/>
        </w:rPr>
        <w:t>can</w:t>
      </w:r>
      <w:r>
        <w:rPr>
          <w:rFonts w:ascii="Times New Roman;Times;serif" w:hAnsi="Times New Roman;Times;serif"/>
          <w:spacing w:val="11"/>
          <w:sz w:val="20"/>
        </w:rPr>
        <w:t xml:space="preserve"> </w:t>
      </w:r>
      <w:r>
        <w:rPr>
          <w:rFonts w:ascii="Times New Roman;Times;serif" w:hAnsi="Times New Roman;Times;serif"/>
          <w:sz w:val="20"/>
        </w:rPr>
        <w:t>only</w:t>
      </w:r>
      <w:r>
        <w:rPr>
          <w:rFonts w:ascii="Times New Roman;Times;serif" w:hAnsi="Times New Roman;Times;serif"/>
          <w:spacing w:val="9"/>
          <w:sz w:val="20"/>
        </w:rPr>
        <w:t xml:space="preserve"> </w:t>
      </w:r>
      <w:r>
        <w:rPr>
          <w:rFonts w:ascii="Times New Roman;Times;serif" w:hAnsi="Times New Roman;Times;serif"/>
          <w:sz w:val="20"/>
        </w:rPr>
        <w:t>legally</w:t>
      </w:r>
      <w:r>
        <w:rPr>
          <w:rFonts w:ascii="Times New Roman;Times;serif" w:hAnsi="Times New Roman;Times;serif"/>
          <w:spacing w:val="9"/>
          <w:sz w:val="20"/>
        </w:rPr>
        <w:t xml:space="preserve"> </w:t>
      </w:r>
      <w:r>
        <w:rPr>
          <w:rFonts w:ascii="Times New Roman;Times;serif" w:hAnsi="Times New Roman;Times;serif"/>
          <w:sz w:val="20"/>
        </w:rPr>
        <w:t>purchase</w:t>
      </w:r>
      <w:r>
        <w:rPr>
          <w:rFonts w:ascii="Times New Roman;Times;serif" w:hAnsi="Times New Roman;Times;serif"/>
          <w:spacing w:val="11"/>
          <w:sz w:val="20"/>
        </w:rPr>
        <w:t xml:space="preserve"> </w:t>
      </w:r>
      <w:r>
        <w:rPr>
          <w:rFonts w:ascii="Times New Roman;Times;serif" w:hAnsi="Times New Roman;Times;serif"/>
          <w:sz w:val="20"/>
        </w:rPr>
        <w:t>cannabis</w:t>
      </w:r>
      <w:r>
        <w:rPr>
          <w:rFonts w:ascii="Times New Roman;Times;serif" w:hAnsi="Times New Roman;Times;serif"/>
          <w:spacing w:val="11"/>
          <w:sz w:val="20"/>
        </w:rPr>
        <w:t xml:space="preserve"> </w:t>
      </w:r>
      <w:r>
        <w:rPr>
          <w:rFonts w:ascii="Times New Roman;Times;serif" w:hAnsi="Times New Roman;Times;serif"/>
          <w:sz w:val="20"/>
        </w:rPr>
        <w:t>products</w:t>
      </w:r>
      <w:r>
        <w:rPr>
          <w:rFonts w:ascii="Times New Roman;Times;serif" w:hAnsi="Times New Roman;Times;serif"/>
          <w:spacing w:val="13"/>
          <w:sz w:val="20"/>
        </w:rPr>
        <w:t xml:space="preserve"> </w:t>
      </w:r>
      <w:r>
        <w:rPr>
          <w:rFonts w:ascii="Times New Roman;Times;serif" w:hAnsi="Times New Roman;Times;serif"/>
          <w:sz w:val="20"/>
        </w:rPr>
        <w:t>if</w:t>
      </w:r>
      <w:r>
        <w:rPr>
          <w:rFonts w:ascii="Times New Roman;Times;serif" w:hAnsi="Times New Roman;Times;serif"/>
          <w:spacing w:val="11"/>
          <w:sz w:val="20"/>
        </w:rPr>
        <w:t xml:space="preserve"> </w:t>
      </w:r>
      <w:r>
        <w:rPr>
          <w:rFonts w:ascii="Times New Roman;Times;serif" w:hAnsi="Times New Roman;Times;serif"/>
          <w:sz w:val="20"/>
        </w:rPr>
        <w:t>they</w:t>
      </w:r>
      <w:r>
        <w:rPr>
          <w:rFonts w:ascii="Times New Roman;Times;serif" w:hAnsi="Times New Roman;Times;serif"/>
          <w:spacing w:val="9"/>
          <w:sz w:val="20"/>
        </w:rPr>
        <w:t xml:space="preserve"> </w:t>
      </w:r>
      <w:r>
        <w:rPr>
          <w:rFonts w:ascii="Times New Roman;Times;serif" w:hAnsi="Times New Roman;Times;serif"/>
          <w:sz w:val="20"/>
        </w:rPr>
        <w:t>are</w:t>
      </w:r>
      <w:r>
        <w:rPr>
          <w:rFonts w:ascii="Times New Roman;Times;serif" w:hAnsi="Times New Roman;Times;serif"/>
          <w:spacing w:val="13"/>
          <w:sz w:val="20"/>
        </w:rPr>
        <w:t xml:space="preserve"> </w:t>
      </w:r>
      <w:r>
        <w:rPr>
          <w:rFonts w:ascii="Times New Roman;Times;serif" w:hAnsi="Times New Roman;Times;serif"/>
          <w:sz w:val="20"/>
        </w:rPr>
        <w:t>a</w:t>
      </w:r>
      <w:r>
        <w:rPr>
          <w:rFonts w:ascii="Times New Roman;Times;serif" w:hAnsi="Times New Roman;Times;serif"/>
          <w:spacing w:val="-2"/>
          <w:sz w:val="20"/>
        </w:rPr>
        <w:t xml:space="preserve"> </w:t>
      </w:r>
      <w:r>
        <w:rPr>
          <w:rFonts w:ascii="Times New Roman;Times;serif" w:hAnsi="Times New Roman;Times;serif"/>
          <w:sz w:val="20"/>
        </w:rPr>
        <w:t>qualified</w:t>
      </w:r>
      <w:r>
        <w:rPr>
          <w:rFonts w:ascii="Times New Roman;Times;serif" w:hAnsi="Times New Roman;Times;serif"/>
          <w:spacing w:val="31"/>
          <w:sz w:val="20"/>
        </w:rPr>
        <w:t xml:space="preserve"> </w:t>
      </w:r>
      <w:r>
        <w:rPr>
          <w:rFonts w:ascii="Times New Roman;Times;serif" w:hAnsi="Times New Roman;Times;serif"/>
          <w:sz w:val="20"/>
        </w:rPr>
        <w:t>medical</w:t>
      </w:r>
      <w:r>
        <w:rPr>
          <w:rFonts w:ascii="Times New Roman;Times;serif" w:hAnsi="Times New Roman;Times;serif"/>
          <w:spacing w:val="29"/>
          <w:sz w:val="20"/>
        </w:rPr>
        <w:t xml:space="preserve"> </w:t>
      </w:r>
      <w:r>
        <w:rPr>
          <w:rFonts w:ascii="Times New Roman;Times;serif" w:hAnsi="Times New Roman;Times;serif"/>
          <w:sz w:val="20"/>
        </w:rPr>
        <w:t>patient;</w:t>
      </w:r>
      <w:r>
        <w:rPr>
          <w:rFonts w:ascii="Times New Roman;Times;serif" w:hAnsi="Times New Roman;Times;serif"/>
          <w:spacing w:val="29"/>
          <w:sz w:val="20"/>
        </w:rPr>
        <w:t xml:space="preserve"> </w:t>
      </w:r>
      <w:r>
        <w:rPr>
          <w:rFonts w:ascii="Times New Roman;Times;serif" w:hAnsi="Times New Roman;Times;serif"/>
          <w:sz w:val="20"/>
        </w:rPr>
        <w:t>and</w:t>
      </w:r>
      <w:r>
        <w:rPr>
          <w:rFonts w:ascii="Times New Roman;Times;serif" w:hAnsi="Times New Roman;Times;serif"/>
          <w:spacing w:val="29"/>
          <w:sz w:val="20"/>
        </w:rPr>
        <w:t xml:space="preserve"> </w:t>
      </w:r>
      <w:r>
        <w:rPr>
          <w:rFonts w:ascii="Times New Roman;Times;serif" w:hAnsi="Times New Roman;Times;serif"/>
          <w:sz w:val="20"/>
        </w:rPr>
        <w:t>(iii)</w:t>
      </w:r>
      <w:r>
        <w:rPr>
          <w:rFonts w:ascii="Times New Roman;Times;serif" w:hAnsi="Times New Roman;Times;serif"/>
          <w:spacing w:val="26"/>
          <w:sz w:val="20"/>
        </w:rPr>
        <w:t xml:space="preserve"> </w:t>
      </w:r>
      <w:r>
        <w:rPr>
          <w:rFonts w:ascii="Times New Roman;Times;serif" w:hAnsi="Times New Roman;Times;serif"/>
          <w:sz w:val="20"/>
        </w:rPr>
        <w:t>the</w:t>
      </w:r>
      <w:r>
        <w:rPr>
          <w:rFonts w:ascii="Times New Roman;Times;serif" w:hAnsi="Times New Roman;Times;serif"/>
          <w:spacing w:val="29"/>
          <w:sz w:val="20"/>
        </w:rPr>
        <w:t xml:space="preserve"> </w:t>
      </w:r>
      <w:r>
        <w:rPr>
          <w:rFonts w:ascii="Times New Roman;Times;serif" w:hAnsi="Times New Roman;Times;serif"/>
          <w:sz w:val="20"/>
        </w:rPr>
        <w:t>CCD</w:t>
      </w:r>
      <w:r>
        <w:rPr>
          <w:rFonts w:ascii="Times New Roman;Times;serif" w:hAnsi="Times New Roman;Times;serif"/>
          <w:spacing w:val="29"/>
          <w:sz w:val="20"/>
        </w:rPr>
        <w:t xml:space="preserve"> </w:t>
      </w:r>
      <w:r>
        <w:rPr>
          <w:rFonts w:ascii="Times New Roman;Times;serif" w:hAnsi="Times New Roman;Times;serif"/>
          <w:sz w:val="20"/>
        </w:rPr>
        <w:t>has</w:t>
      </w:r>
      <w:r>
        <w:rPr>
          <w:rFonts w:ascii="Times New Roman;Times;serif" w:hAnsi="Times New Roman;Times;serif"/>
          <w:spacing w:val="29"/>
          <w:sz w:val="20"/>
        </w:rPr>
        <w:t xml:space="preserve"> </w:t>
      </w:r>
      <w:r>
        <w:rPr>
          <w:rFonts w:ascii="Times New Roman;Times;serif" w:hAnsi="Times New Roman;Times;serif"/>
          <w:sz w:val="20"/>
        </w:rPr>
        <w:t>the</w:t>
      </w:r>
      <w:r>
        <w:rPr>
          <w:rFonts w:ascii="Times New Roman;Times;serif" w:hAnsi="Times New Roman;Times;serif"/>
          <w:spacing w:val="30"/>
          <w:sz w:val="20"/>
        </w:rPr>
        <w:t xml:space="preserve"> </w:t>
      </w:r>
      <w:r>
        <w:rPr>
          <w:rFonts w:ascii="Times New Roman;Times;serif" w:hAnsi="Times New Roman;Times;serif"/>
          <w:sz w:val="20"/>
        </w:rPr>
        <w:t>authority</w:t>
      </w:r>
      <w:r>
        <w:rPr>
          <w:rFonts w:ascii="Times New Roman;Times;serif" w:hAnsi="Times New Roman;Times;serif"/>
          <w:spacing w:val="25"/>
          <w:sz w:val="20"/>
        </w:rPr>
        <w:t xml:space="preserve"> </w:t>
      </w:r>
      <w:r>
        <w:rPr>
          <w:rFonts w:ascii="Times New Roman;Times;serif" w:hAnsi="Times New Roman;Times;serif"/>
          <w:sz w:val="20"/>
        </w:rPr>
        <w:t>to</w:t>
      </w:r>
      <w:r>
        <w:rPr>
          <w:rFonts w:ascii="Times New Roman;Times;serif" w:hAnsi="Times New Roman;Times;serif"/>
          <w:spacing w:val="31"/>
          <w:sz w:val="20"/>
        </w:rPr>
        <w:t xml:space="preserve"> </w:t>
      </w:r>
      <w:r>
        <w:rPr>
          <w:rFonts w:ascii="Times New Roman;Times;serif" w:hAnsi="Times New Roman;Times;serif"/>
          <w:sz w:val="20"/>
        </w:rPr>
        <w:t>effectively</w:t>
      </w:r>
      <w:r>
        <w:rPr>
          <w:rFonts w:ascii="Times New Roman;Times;serif" w:hAnsi="Times New Roman;Times;serif"/>
          <w:spacing w:val="25"/>
          <w:sz w:val="20"/>
        </w:rPr>
        <w:t xml:space="preserve"> </w:t>
      </w:r>
      <w:r>
        <w:rPr>
          <w:rFonts w:ascii="Times New Roman;Times;serif" w:hAnsi="Times New Roman;Times;serif"/>
          <w:sz w:val="20"/>
        </w:rPr>
        <w:t>reserve</w:t>
      </w:r>
      <w:r>
        <w:rPr>
          <w:rFonts w:ascii="Times New Roman;Times;serif" w:hAnsi="Times New Roman;Times;serif"/>
          <w:spacing w:val="30"/>
          <w:sz w:val="20"/>
        </w:rPr>
        <w:t xml:space="preserve"> </w:t>
      </w:r>
      <w:r>
        <w:rPr>
          <w:rFonts w:ascii="Times New Roman;Times;serif" w:hAnsi="Times New Roman;Times;serif"/>
          <w:sz w:val="20"/>
        </w:rPr>
        <w:t>some</w:t>
      </w:r>
      <w:r>
        <w:rPr>
          <w:rFonts w:ascii="Times New Roman;Times;serif" w:hAnsi="Times New Roman;Times;serif"/>
          <w:spacing w:val="29"/>
          <w:sz w:val="20"/>
        </w:rPr>
        <w:t xml:space="preserve"> </w:t>
      </w:r>
      <w:r>
        <w:rPr>
          <w:rFonts w:ascii="Times New Roman;Times;serif" w:hAnsi="Times New Roman;Times;serif"/>
          <w:sz w:val="20"/>
        </w:rPr>
        <w:t>cannabis</w:t>
      </w:r>
      <w:r>
        <w:rPr>
          <w:rFonts w:ascii="Times New Roman;Times;serif" w:hAnsi="Times New Roman;Times;serif"/>
          <w:spacing w:val="29"/>
          <w:sz w:val="20"/>
        </w:rPr>
        <w:t xml:space="preserve"> </w:t>
      </w:r>
      <w:r>
        <w:rPr>
          <w:rFonts w:ascii="Times New Roman;Times;serif" w:hAnsi="Times New Roman;Times;serif"/>
          <w:sz w:val="20"/>
        </w:rPr>
        <w:t>to</w:t>
      </w:r>
      <w:r>
        <w:rPr>
          <w:rFonts w:ascii="Times New Roman;Times;serif" w:hAnsi="Times New Roman;Times;serif"/>
          <w:spacing w:val="31"/>
          <w:sz w:val="20"/>
        </w:rPr>
        <w:t xml:space="preserve"> </w:t>
      </w:r>
      <w:r>
        <w:rPr>
          <w:rFonts w:ascii="Times New Roman;Times;serif" w:hAnsi="Times New Roman;Times;serif"/>
          <w:sz w:val="20"/>
        </w:rPr>
        <w:t>ensure</w:t>
      </w:r>
      <w:r>
        <w:rPr>
          <w:rFonts w:ascii="Times New Roman;Times;serif" w:hAnsi="Times New Roman;Times;serif"/>
          <w:spacing w:val="30"/>
          <w:sz w:val="20"/>
        </w:rPr>
        <w:t xml:space="preserve"> </w:t>
      </w:r>
      <w:r>
        <w:rPr>
          <w:rFonts w:ascii="Times New Roman;Times;serif" w:hAnsi="Times New Roman;Times;serif"/>
          <w:sz w:val="20"/>
        </w:rPr>
        <w:t>an</w:t>
      </w:r>
      <w:r>
        <w:rPr>
          <w:rFonts w:ascii="Times New Roman;Times;serif" w:hAnsi="Times New Roman;Times;serif"/>
          <w:spacing w:val="-2"/>
          <w:sz w:val="20"/>
        </w:rPr>
        <w:t xml:space="preserve"> </w:t>
      </w:r>
      <w:r>
        <w:rPr>
          <w:rFonts w:ascii="Times New Roman;Times;serif" w:hAnsi="Times New Roman;Times;serif"/>
          <w:sz w:val="20"/>
        </w:rPr>
        <w:t>“adequate</w:t>
      </w:r>
      <w:r>
        <w:rPr>
          <w:rFonts w:ascii="Times New Roman;Times;serif" w:hAnsi="Times New Roman;Times;serif"/>
          <w:spacing w:val="-2"/>
          <w:sz w:val="20"/>
        </w:rPr>
        <w:t xml:space="preserve"> </w:t>
      </w:r>
      <w:r>
        <w:rPr>
          <w:rFonts w:ascii="Times New Roman;Times;serif" w:hAnsi="Times New Roman;Times;serif"/>
          <w:sz w:val="20"/>
        </w:rPr>
        <w:t>supply” for</w:t>
      </w:r>
      <w:r>
        <w:rPr>
          <w:rFonts w:ascii="Times New Roman;Times;serif" w:hAnsi="Times New Roman;Times;serif"/>
          <w:spacing w:val="2"/>
          <w:sz w:val="20"/>
        </w:rPr>
        <w:t xml:space="preserve"> </w:t>
      </w:r>
      <w:r>
        <w:rPr>
          <w:rFonts w:ascii="Times New Roman;Times;serif" w:hAnsi="Times New Roman;Times;serif"/>
          <w:sz w:val="20"/>
        </w:rPr>
        <w:t>medical patients.</w:t>
      </w:r>
    </w:p>
    <w:p>
      <w:pPr>
        <w:pStyle w:val="TextBody"/>
        <w:spacing w:before="0" w:after="240"/>
        <w:ind w:left="40" w:right="122" w:hanging="0"/>
        <w:jc w:val="both"/>
        <w:rPr>
          <w:rFonts w:ascii="Times New Roman;Times;serif" w:hAnsi="Times New Roman;Times;serif"/>
          <w:sz w:val="20"/>
        </w:rPr>
      </w:pPr>
      <w:r>
        <w:rPr>
          <w:rFonts w:ascii="Times New Roman;Times;serif" w:hAnsi="Times New Roman;Times;serif"/>
          <w:sz w:val="20"/>
        </w:rPr>
        <w:t>The</w:t>
      </w:r>
      <w:r>
        <w:rPr>
          <w:rFonts w:ascii="Times New Roman;Times;serif" w:hAnsi="Times New Roman;Times;serif"/>
          <w:spacing w:val="12"/>
          <w:sz w:val="20"/>
        </w:rPr>
        <w:t xml:space="preserve"> </w:t>
      </w:r>
      <w:r>
        <w:rPr>
          <w:rFonts w:ascii="Times New Roman;Times;serif" w:hAnsi="Times New Roman;Times;serif"/>
          <w:sz w:val="20"/>
        </w:rPr>
        <w:t>CRA</w:t>
      </w:r>
      <w:r>
        <w:rPr>
          <w:rFonts w:ascii="Times New Roman;Times;serif" w:hAnsi="Times New Roman;Times;serif"/>
          <w:spacing w:val="11"/>
          <w:sz w:val="20"/>
        </w:rPr>
        <w:t xml:space="preserve"> </w:t>
      </w:r>
      <w:r>
        <w:rPr>
          <w:rFonts w:ascii="Times New Roman;Times;serif" w:hAnsi="Times New Roman;Times;serif"/>
          <w:sz w:val="20"/>
        </w:rPr>
        <w:t>permits</w:t>
      </w:r>
      <w:r>
        <w:rPr>
          <w:rFonts w:ascii="Times New Roman;Times;serif" w:hAnsi="Times New Roman;Times;serif"/>
          <w:spacing w:val="13"/>
          <w:sz w:val="20"/>
        </w:rPr>
        <w:t xml:space="preserve"> </w:t>
      </w:r>
      <w:r>
        <w:rPr>
          <w:rFonts w:ascii="Times New Roman;Times;serif" w:hAnsi="Times New Roman;Times;serif"/>
          <w:sz w:val="20"/>
        </w:rPr>
        <w:t>local</w:t>
      </w:r>
      <w:r>
        <w:rPr>
          <w:rFonts w:ascii="Times New Roman;Times;serif" w:hAnsi="Times New Roman;Times;serif"/>
          <w:spacing w:val="12"/>
          <w:sz w:val="20"/>
        </w:rPr>
        <w:t xml:space="preserve"> </w:t>
      </w:r>
      <w:r>
        <w:rPr>
          <w:rFonts w:ascii="Times New Roman;Times;serif" w:hAnsi="Times New Roman;Times;serif"/>
          <w:sz w:val="20"/>
        </w:rPr>
        <w:t>jurisdictions</w:t>
      </w:r>
      <w:r>
        <w:rPr>
          <w:rFonts w:ascii="Times New Roman;Times;serif" w:hAnsi="Times New Roman;Times;serif"/>
          <w:spacing w:val="13"/>
          <w:sz w:val="20"/>
        </w:rPr>
        <w:t xml:space="preserve"> </w:t>
      </w:r>
      <w:r>
        <w:rPr>
          <w:rFonts w:ascii="Times New Roman;Times;serif" w:hAnsi="Times New Roman;Times;serif"/>
          <w:sz w:val="20"/>
        </w:rPr>
        <w:t>to</w:t>
      </w:r>
      <w:r>
        <w:rPr>
          <w:rFonts w:ascii="Times New Roman;Times;serif" w:hAnsi="Times New Roman;Times;serif"/>
          <w:spacing w:val="13"/>
          <w:sz w:val="20"/>
        </w:rPr>
        <w:t xml:space="preserve"> </w:t>
      </w:r>
      <w:r>
        <w:rPr>
          <w:rFonts w:ascii="Times New Roman;Times;serif" w:hAnsi="Times New Roman;Times;serif"/>
          <w:sz w:val="20"/>
        </w:rPr>
        <w:t>adopt</w:t>
      </w:r>
      <w:r>
        <w:rPr>
          <w:rFonts w:ascii="Times New Roman;Times;serif" w:hAnsi="Times New Roman;Times;serif"/>
          <w:spacing w:val="11"/>
          <w:sz w:val="20"/>
        </w:rPr>
        <w:t xml:space="preserve"> </w:t>
      </w:r>
      <w:r>
        <w:rPr>
          <w:rFonts w:ascii="Times New Roman;Times;serif" w:hAnsi="Times New Roman;Times;serif"/>
          <w:sz w:val="20"/>
        </w:rPr>
        <w:t>reasonable</w:t>
      </w:r>
      <w:r>
        <w:rPr>
          <w:rFonts w:ascii="Times New Roman;Times;serif" w:hAnsi="Times New Roman;Times;serif"/>
          <w:spacing w:val="12"/>
          <w:sz w:val="20"/>
        </w:rPr>
        <w:t xml:space="preserve"> </w:t>
      </w:r>
      <w:r>
        <w:rPr>
          <w:rFonts w:ascii="Times New Roman;Times;serif" w:hAnsi="Times New Roman;Times;serif"/>
          <w:sz w:val="20"/>
        </w:rPr>
        <w:t>time,</w:t>
      </w:r>
      <w:r>
        <w:rPr>
          <w:rFonts w:ascii="Times New Roman;Times;serif" w:hAnsi="Times New Roman;Times;serif"/>
          <w:spacing w:val="13"/>
          <w:sz w:val="20"/>
        </w:rPr>
        <w:t xml:space="preserve"> </w:t>
      </w:r>
      <w:r>
        <w:rPr>
          <w:rFonts w:ascii="Times New Roman;Times;serif" w:hAnsi="Times New Roman;Times;serif"/>
          <w:sz w:val="20"/>
        </w:rPr>
        <w:t>place</w:t>
      </w:r>
      <w:r>
        <w:rPr>
          <w:rFonts w:ascii="Times New Roman;Times;serif" w:hAnsi="Times New Roman;Times;serif"/>
          <w:spacing w:val="11"/>
          <w:sz w:val="20"/>
        </w:rPr>
        <w:t xml:space="preserve"> </w:t>
      </w:r>
      <w:r>
        <w:rPr>
          <w:rFonts w:ascii="Times New Roman;Times;serif" w:hAnsi="Times New Roman;Times;serif"/>
          <w:sz w:val="20"/>
        </w:rPr>
        <w:t>and</w:t>
      </w:r>
      <w:r>
        <w:rPr>
          <w:rFonts w:ascii="Times New Roman;Times;serif" w:hAnsi="Times New Roman;Times;serif"/>
          <w:spacing w:val="15"/>
          <w:sz w:val="20"/>
        </w:rPr>
        <w:t xml:space="preserve"> </w:t>
      </w:r>
      <w:r>
        <w:rPr>
          <w:rFonts w:ascii="Times New Roman;Times;serif" w:hAnsi="Times New Roman;Times;serif"/>
          <w:sz w:val="20"/>
        </w:rPr>
        <w:t>manner</w:t>
      </w:r>
      <w:r>
        <w:rPr>
          <w:rFonts w:ascii="Times New Roman;Times;serif" w:hAnsi="Times New Roman;Times;serif"/>
          <w:spacing w:val="13"/>
          <w:sz w:val="20"/>
        </w:rPr>
        <w:t xml:space="preserve"> </w:t>
      </w:r>
      <w:r>
        <w:rPr>
          <w:rFonts w:ascii="Times New Roman;Times;serif" w:hAnsi="Times New Roman;Times;serif"/>
          <w:sz w:val="20"/>
        </w:rPr>
        <w:t>rules</w:t>
      </w:r>
      <w:r>
        <w:rPr>
          <w:rFonts w:ascii="Times New Roman;Times;serif" w:hAnsi="Times New Roman;Times;serif"/>
          <w:spacing w:val="11"/>
          <w:sz w:val="20"/>
        </w:rPr>
        <w:t xml:space="preserve"> </w:t>
      </w:r>
      <w:r>
        <w:rPr>
          <w:rFonts w:ascii="Times New Roman;Times;serif" w:hAnsi="Times New Roman;Times;serif"/>
          <w:sz w:val="20"/>
        </w:rPr>
        <w:t>that</w:t>
      </w:r>
      <w:r>
        <w:rPr>
          <w:rFonts w:ascii="Times New Roman;Times;serif" w:hAnsi="Times New Roman;Times;serif"/>
          <w:spacing w:val="12"/>
          <w:sz w:val="20"/>
        </w:rPr>
        <w:t xml:space="preserve"> </w:t>
      </w:r>
      <w:r>
        <w:rPr>
          <w:rFonts w:ascii="Times New Roman;Times;serif" w:hAnsi="Times New Roman;Times;serif"/>
          <w:sz w:val="20"/>
        </w:rPr>
        <w:t>do</w:t>
      </w:r>
      <w:r>
        <w:rPr>
          <w:rFonts w:ascii="Times New Roman;Times;serif" w:hAnsi="Times New Roman;Times;serif"/>
          <w:spacing w:val="13"/>
          <w:sz w:val="20"/>
        </w:rPr>
        <w:t xml:space="preserve"> </w:t>
      </w:r>
      <w:r>
        <w:rPr>
          <w:rFonts w:ascii="Times New Roman;Times;serif" w:hAnsi="Times New Roman;Times;serif"/>
          <w:sz w:val="20"/>
        </w:rPr>
        <w:t>not</w:t>
      </w:r>
      <w:r>
        <w:rPr>
          <w:rFonts w:ascii="Times New Roman;Times;serif" w:hAnsi="Times New Roman;Times;serif"/>
          <w:spacing w:val="12"/>
          <w:sz w:val="20"/>
        </w:rPr>
        <w:t xml:space="preserve"> </w:t>
      </w:r>
      <w:r>
        <w:rPr>
          <w:rFonts w:ascii="Times New Roman;Times;serif" w:hAnsi="Times New Roman;Times;serif"/>
          <w:sz w:val="20"/>
        </w:rPr>
        <w:t>conflict</w:t>
      </w:r>
      <w:r>
        <w:rPr>
          <w:rFonts w:ascii="Times New Roman;Times;serif" w:hAnsi="Times New Roman;Times;serif"/>
          <w:spacing w:val="14"/>
          <w:sz w:val="20"/>
        </w:rPr>
        <w:t xml:space="preserve"> </w:t>
      </w:r>
      <w:r>
        <w:rPr>
          <w:rFonts w:ascii="Times New Roman;Times;serif" w:hAnsi="Times New Roman;Times;serif"/>
          <w:sz w:val="20"/>
        </w:rPr>
        <w:t>with</w:t>
      </w:r>
      <w:r>
        <w:rPr>
          <w:rFonts w:ascii="Times New Roman;Times;serif" w:hAnsi="Times New Roman;Times;serif"/>
          <w:spacing w:val="13"/>
          <w:sz w:val="20"/>
        </w:rPr>
        <w:t xml:space="preserve"> </w:t>
      </w:r>
      <w:r>
        <w:rPr>
          <w:rFonts w:ascii="Times New Roman;Times;serif" w:hAnsi="Times New Roman;Times;serif"/>
          <w:sz w:val="20"/>
        </w:rPr>
        <w:t>the</w:t>
      </w:r>
      <w:r>
        <w:rPr>
          <w:rFonts w:ascii="Times New Roman;Times;serif" w:hAnsi="Times New Roman;Times;serif"/>
          <w:spacing w:val="-1"/>
          <w:sz w:val="20"/>
        </w:rPr>
        <w:t xml:space="preserve"> </w:t>
      </w:r>
      <w:r>
        <w:rPr>
          <w:rFonts w:ascii="Times New Roman;Times;serif" w:hAnsi="Times New Roman;Times;serif"/>
          <w:sz w:val="20"/>
        </w:rPr>
        <w:t>CRA, but such rules must not completely</w:t>
      </w:r>
      <w:r>
        <w:rPr>
          <w:rFonts w:ascii="Times New Roman;Times;serif" w:hAnsi="Times New Roman;Times;serif"/>
          <w:spacing w:val="-3"/>
          <w:sz w:val="20"/>
        </w:rPr>
        <w:t xml:space="preserve"> </w:t>
      </w:r>
      <w:r>
        <w:rPr>
          <w:rFonts w:ascii="Times New Roman;Times;serif" w:hAnsi="Times New Roman;Times;serif"/>
          <w:sz w:val="20"/>
        </w:rPr>
        <w:t>prohibit operation</w:t>
      </w:r>
      <w:r>
        <w:rPr>
          <w:rFonts w:ascii="Times New Roman;Times;serif" w:hAnsi="Times New Roman;Times;serif"/>
          <w:spacing w:val="-1"/>
          <w:sz w:val="20"/>
        </w:rPr>
        <w:t xml:space="preserve"> </w:t>
      </w:r>
      <w:r>
        <w:rPr>
          <w:rFonts w:ascii="Times New Roman;Times;serif" w:hAnsi="Times New Roman;Times;serif"/>
          <w:sz w:val="20"/>
        </w:rPr>
        <w:t>of an entity licensed under the CRA or impose criminal,</w:t>
      </w:r>
      <w:r>
        <w:rPr>
          <w:rFonts w:ascii="Times New Roman;Times;serif" w:hAnsi="Times New Roman;Times;serif"/>
          <w:spacing w:val="-1"/>
          <w:sz w:val="20"/>
        </w:rPr>
        <w:t xml:space="preserve"> </w:t>
      </w:r>
      <w:r>
        <w:rPr>
          <w:rFonts w:ascii="Times New Roman;Times;serif" w:hAnsi="Times New Roman;Times;serif"/>
          <w:sz w:val="20"/>
        </w:rPr>
        <w:t>civil</w:t>
      </w:r>
      <w:r>
        <w:rPr>
          <w:rFonts w:ascii="Times New Roman;Times;serif" w:hAnsi="Times New Roman;Times;serif"/>
          <w:spacing w:val="-9"/>
          <w:sz w:val="20"/>
        </w:rPr>
        <w:t xml:space="preserve"> </w:t>
      </w:r>
      <w:r>
        <w:rPr>
          <w:rFonts w:ascii="Times New Roman;Times;serif" w:hAnsi="Times New Roman;Times;serif"/>
          <w:sz w:val="20"/>
        </w:rPr>
        <w:t>or</w:t>
      </w:r>
      <w:r>
        <w:rPr>
          <w:rFonts w:ascii="Times New Roman;Times;serif" w:hAnsi="Times New Roman;Times;serif"/>
          <w:spacing w:val="-5"/>
          <w:sz w:val="20"/>
        </w:rPr>
        <w:t xml:space="preserve"> </w:t>
      </w:r>
      <w:r>
        <w:rPr>
          <w:rFonts w:ascii="Times New Roman;Times;serif" w:hAnsi="Times New Roman;Times;serif"/>
          <w:sz w:val="20"/>
        </w:rPr>
        <w:t>administrative</w:t>
      </w:r>
      <w:r>
        <w:rPr>
          <w:rFonts w:ascii="Times New Roman;Times;serif" w:hAnsi="Times New Roman;Times;serif"/>
          <w:spacing w:val="-6"/>
          <w:sz w:val="20"/>
        </w:rPr>
        <w:t xml:space="preserve"> </w:t>
      </w:r>
      <w:r>
        <w:rPr>
          <w:rFonts w:ascii="Times New Roman;Times;serif" w:hAnsi="Times New Roman;Times;serif"/>
          <w:sz w:val="20"/>
        </w:rPr>
        <w:t>penalties</w:t>
      </w:r>
      <w:r>
        <w:rPr>
          <w:rFonts w:ascii="Times New Roman;Times;serif" w:hAnsi="Times New Roman;Times;serif"/>
          <w:spacing w:val="-9"/>
          <w:sz w:val="20"/>
        </w:rPr>
        <w:t xml:space="preserve"> </w:t>
      </w:r>
      <w:r>
        <w:rPr>
          <w:rFonts w:ascii="Times New Roman;Times;serif" w:hAnsi="Times New Roman;Times;serif"/>
          <w:sz w:val="20"/>
        </w:rPr>
        <w:t>on</w:t>
      </w:r>
      <w:r>
        <w:rPr>
          <w:rFonts w:ascii="Times New Roman;Times;serif" w:hAnsi="Times New Roman;Times;serif"/>
          <w:spacing w:val="-9"/>
          <w:sz w:val="20"/>
        </w:rPr>
        <w:t xml:space="preserve"> </w:t>
      </w:r>
      <w:r>
        <w:rPr>
          <w:rFonts w:ascii="Times New Roman;Times;serif" w:hAnsi="Times New Roman;Times;serif"/>
          <w:sz w:val="20"/>
        </w:rPr>
        <w:t>any</w:t>
      </w:r>
      <w:r>
        <w:rPr>
          <w:rFonts w:ascii="Times New Roman;Times;serif" w:hAnsi="Times New Roman;Times;serif"/>
          <w:spacing w:val="-11"/>
          <w:sz w:val="20"/>
        </w:rPr>
        <w:t xml:space="preserve"> </w:t>
      </w:r>
      <w:r>
        <w:rPr>
          <w:rFonts w:ascii="Times New Roman;Times;serif" w:hAnsi="Times New Roman;Times;serif"/>
          <w:sz w:val="20"/>
        </w:rPr>
        <w:t>such</w:t>
      </w:r>
      <w:r>
        <w:rPr>
          <w:rFonts w:ascii="Times New Roman;Times;serif" w:hAnsi="Times New Roman;Times;serif"/>
          <w:spacing w:val="-9"/>
          <w:sz w:val="20"/>
        </w:rPr>
        <w:t xml:space="preserve"> </w:t>
      </w:r>
      <w:r>
        <w:rPr>
          <w:rFonts w:ascii="Times New Roman;Times;serif" w:hAnsi="Times New Roman;Times;serif"/>
          <w:sz w:val="20"/>
        </w:rPr>
        <w:t>licensee</w:t>
      </w:r>
      <w:r>
        <w:rPr>
          <w:rFonts w:ascii="Times New Roman;Times;serif" w:hAnsi="Times New Roman;Times;serif"/>
          <w:spacing w:val="-8"/>
          <w:sz w:val="20"/>
        </w:rPr>
        <w:t xml:space="preserve"> </w:t>
      </w:r>
      <w:r>
        <w:rPr>
          <w:rFonts w:ascii="Times New Roman;Times;serif" w:hAnsi="Times New Roman;Times;serif"/>
          <w:sz w:val="20"/>
        </w:rPr>
        <w:t>for</w:t>
      </w:r>
      <w:r>
        <w:rPr>
          <w:rFonts w:ascii="Times New Roman;Times;serif" w:hAnsi="Times New Roman;Times;serif"/>
          <w:spacing w:val="-5"/>
          <w:sz w:val="20"/>
        </w:rPr>
        <w:t xml:space="preserve"> </w:t>
      </w:r>
      <w:r>
        <w:rPr>
          <w:rFonts w:ascii="Times New Roman;Times;serif" w:hAnsi="Times New Roman;Times;serif"/>
          <w:sz w:val="20"/>
        </w:rPr>
        <w:t>the</w:t>
      </w:r>
      <w:r>
        <w:rPr>
          <w:rFonts w:ascii="Times New Roman;Times;serif" w:hAnsi="Times New Roman;Times;serif"/>
          <w:spacing w:val="-8"/>
          <w:sz w:val="20"/>
        </w:rPr>
        <w:t xml:space="preserve"> </w:t>
      </w:r>
      <w:r>
        <w:rPr>
          <w:rFonts w:ascii="Times New Roman;Times;serif" w:hAnsi="Times New Roman;Times;serif"/>
          <w:sz w:val="20"/>
        </w:rPr>
        <w:t>use</w:t>
      </w:r>
      <w:r>
        <w:rPr>
          <w:rFonts w:ascii="Times New Roman;Times;serif" w:hAnsi="Times New Roman;Times;serif"/>
          <w:spacing w:val="-7"/>
          <w:sz w:val="20"/>
        </w:rPr>
        <w:t xml:space="preserve"> </w:t>
      </w:r>
      <w:r>
        <w:rPr>
          <w:rFonts w:ascii="Times New Roman;Times;serif" w:hAnsi="Times New Roman;Times;serif"/>
          <w:sz w:val="20"/>
        </w:rPr>
        <w:t>of</w:t>
      </w:r>
      <w:r>
        <w:rPr>
          <w:rFonts w:ascii="Times New Roman;Times;serif" w:hAnsi="Times New Roman;Times;serif"/>
          <w:spacing w:val="-9"/>
          <w:sz w:val="20"/>
        </w:rPr>
        <w:t xml:space="preserve"> </w:t>
      </w:r>
      <w:r>
        <w:rPr>
          <w:rFonts w:ascii="Times New Roman;Times;serif" w:hAnsi="Times New Roman;Times;serif"/>
          <w:sz w:val="20"/>
        </w:rPr>
        <w:t>a</w:t>
      </w:r>
      <w:r>
        <w:rPr>
          <w:rFonts w:ascii="Times New Roman;Times;serif" w:hAnsi="Times New Roman;Times;serif"/>
          <w:spacing w:val="-8"/>
          <w:sz w:val="20"/>
        </w:rPr>
        <w:t xml:space="preserve"> </w:t>
      </w:r>
      <w:r>
        <w:rPr>
          <w:rFonts w:ascii="Times New Roman;Times;serif" w:hAnsi="Times New Roman;Times;serif"/>
          <w:sz w:val="20"/>
        </w:rPr>
        <w:t>property</w:t>
      </w:r>
      <w:r>
        <w:rPr>
          <w:rFonts w:ascii="Times New Roman;Times;serif" w:hAnsi="Times New Roman;Times;serif"/>
          <w:spacing w:val="-11"/>
          <w:sz w:val="20"/>
        </w:rPr>
        <w:t xml:space="preserve"> </w:t>
      </w:r>
      <w:r>
        <w:rPr>
          <w:rFonts w:ascii="Times New Roman;Times;serif" w:hAnsi="Times New Roman;Times;serif"/>
          <w:sz w:val="20"/>
        </w:rPr>
        <w:t>licensed</w:t>
      </w:r>
      <w:r>
        <w:rPr>
          <w:rFonts w:ascii="Times New Roman;Times;serif" w:hAnsi="Times New Roman;Times;serif"/>
          <w:spacing w:val="-7"/>
          <w:sz w:val="20"/>
        </w:rPr>
        <w:t xml:space="preserve"> </w:t>
      </w:r>
      <w:r>
        <w:rPr>
          <w:rFonts w:ascii="Times New Roman;Times;serif" w:hAnsi="Times New Roman;Times;serif"/>
          <w:sz w:val="20"/>
        </w:rPr>
        <w:t>by</w:t>
      </w:r>
      <w:r>
        <w:rPr>
          <w:rFonts w:ascii="Times New Roman;Times;serif" w:hAnsi="Times New Roman;Times;serif"/>
          <w:spacing w:val="-11"/>
          <w:sz w:val="20"/>
        </w:rPr>
        <w:t xml:space="preserve"> </w:t>
      </w:r>
      <w:r>
        <w:rPr>
          <w:rFonts w:ascii="Times New Roman;Times;serif" w:hAnsi="Times New Roman;Times;serif"/>
          <w:sz w:val="20"/>
        </w:rPr>
        <w:t>the</w:t>
      </w:r>
      <w:r>
        <w:rPr>
          <w:rFonts w:ascii="Times New Roman;Times;serif" w:hAnsi="Times New Roman;Times;serif"/>
          <w:spacing w:val="-4"/>
          <w:sz w:val="20"/>
        </w:rPr>
        <w:t xml:space="preserve"> </w:t>
      </w:r>
      <w:r>
        <w:rPr>
          <w:rFonts w:ascii="Times New Roman;Times;serif" w:hAnsi="Times New Roman;Times;serif"/>
          <w:sz w:val="20"/>
        </w:rPr>
        <w:t>CCD.</w:t>
      </w:r>
      <w:r>
        <w:rPr>
          <w:rFonts w:ascii="Times New Roman;Times;serif" w:hAnsi="Times New Roman;Times;serif"/>
          <w:spacing w:val="-7"/>
          <w:sz w:val="20"/>
        </w:rPr>
        <w:t xml:space="preserve"> </w:t>
      </w:r>
      <w:r>
        <w:rPr>
          <w:rFonts w:ascii="Times New Roman;Times;serif" w:hAnsi="Times New Roman;Times;serif"/>
          <w:sz w:val="20"/>
        </w:rPr>
        <w:t>The</w:t>
      </w:r>
      <w:r>
        <w:rPr>
          <w:rFonts w:ascii="Times New Roman;Times;serif" w:hAnsi="Times New Roman;Times;serif"/>
          <w:spacing w:val="-8"/>
          <w:sz w:val="20"/>
        </w:rPr>
        <w:t xml:space="preserve"> </w:t>
      </w:r>
      <w:r>
        <w:rPr>
          <w:rFonts w:ascii="Times New Roman;Times;serif" w:hAnsi="Times New Roman;Times;serif"/>
          <w:sz w:val="20"/>
        </w:rPr>
        <w:t>CRA</w:t>
      </w:r>
      <w:r>
        <w:rPr>
          <w:rFonts w:ascii="Times New Roman;Times;serif" w:hAnsi="Times New Roman;Times;serif"/>
          <w:spacing w:val="-9"/>
          <w:sz w:val="20"/>
        </w:rPr>
        <w:t xml:space="preserve"> </w:t>
      </w:r>
      <w:r>
        <w:rPr>
          <w:rFonts w:ascii="Times New Roman;Times;serif" w:hAnsi="Times New Roman;Times;serif"/>
          <w:sz w:val="20"/>
        </w:rPr>
        <w:t>provides</w:t>
      </w:r>
      <w:r>
        <w:rPr>
          <w:rFonts w:ascii="Times New Roman;Times;serif" w:hAnsi="Times New Roman;Times;serif"/>
          <w:spacing w:val="-1"/>
          <w:sz w:val="20"/>
        </w:rPr>
        <w:t xml:space="preserve"> </w:t>
      </w:r>
      <w:r>
        <w:rPr>
          <w:rFonts w:ascii="Times New Roman;Times;serif" w:hAnsi="Times New Roman;Times;serif"/>
          <w:sz w:val="20"/>
        </w:rPr>
        <w:t>for</w:t>
      </w:r>
      <w:r>
        <w:rPr>
          <w:rFonts w:ascii="Times New Roman;Times;serif" w:hAnsi="Times New Roman;Times;serif"/>
          <w:spacing w:val="11"/>
          <w:sz w:val="20"/>
        </w:rPr>
        <w:t xml:space="preserve"> </w:t>
      </w:r>
      <w:r>
        <w:rPr>
          <w:rFonts w:ascii="Times New Roman;Times;serif" w:hAnsi="Times New Roman;Times;serif"/>
          <w:sz w:val="20"/>
        </w:rPr>
        <w:t>the</w:t>
      </w:r>
      <w:r>
        <w:rPr>
          <w:rFonts w:ascii="Times New Roman;Times;serif" w:hAnsi="Times New Roman;Times;serif"/>
          <w:spacing w:val="10"/>
          <w:sz w:val="20"/>
        </w:rPr>
        <w:t xml:space="preserve"> </w:t>
      </w:r>
      <w:r>
        <w:rPr>
          <w:rFonts w:ascii="Times New Roman;Times;serif" w:hAnsi="Times New Roman;Times;serif"/>
          <w:sz w:val="20"/>
        </w:rPr>
        <w:t>following</w:t>
      </w:r>
      <w:r>
        <w:rPr>
          <w:rFonts w:ascii="Times New Roman;Times;serif" w:hAnsi="Times New Roman;Times;serif"/>
          <w:spacing w:val="7"/>
          <w:sz w:val="20"/>
        </w:rPr>
        <w:t xml:space="preserve"> </w:t>
      </w:r>
      <w:r>
        <w:rPr>
          <w:rFonts w:ascii="Times New Roman;Times;serif" w:hAnsi="Times New Roman;Times;serif"/>
          <w:sz w:val="20"/>
        </w:rPr>
        <w:t>types</w:t>
      </w:r>
      <w:r>
        <w:rPr>
          <w:rFonts w:ascii="Times New Roman;Times;serif" w:hAnsi="Times New Roman;Times;serif"/>
          <w:spacing w:val="9"/>
          <w:sz w:val="20"/>
        </w:rPr>
        <w:t xml:space="preserve"> </w:t>
      </w:r>
      <w:r>
        <w:rPr>
          <w:rFonts w:ascii="Times New Roman;Times;serif" w:hAnsi="Times New Roman;Times;serif"/>
          <w:sz w:val="20"/>
        </w:rPr>
        <w:t>of</w:t>
      </w:r>
      <w:r>
        <w:rPr>
          <w:rFonts w:ascii="Times New Roman;Times;serif" w:hAnsi="Times New Roman;Times;serif"/>
          <w:spacing w:val="7"/>
          <w:sz w:val="20"/>
        </w:rPr>
        <w:t xml:space="preserve"> </w:t>
      </w:r>
      <w:r>
        <w:rPr>
          <w:rFonts w:ascii="Times New Roman;Times;serif" w:hAnsi="Times New Roman;Times;serif"/>
          <w:sz w:val="20"/>
        </w:rPr>
        <w:t>licenses:</w:t>
      </w:r>
      <w:r>
        <w:rPr>
          <w:rFonts w:ascii="Times New Roman;Times;serif" w:hAnsi="Times New Roman;Times;serif"/>
          <w:spacing w:val="9"/>
          <w:sz w:val="20"/>
        </w:rPr>
        <w:t xml:space="preserve"> </w:t>
      </w:r>
      <w:r>
        <w:rPr>
          <w:rFonts w:ascii="Times New Roman;Times;serif" w:hAnsi="Times New Roman;Times;serif"/>
          <w:sz w:val="20"/>
        </w:rPr>
        <w:t>courier,</w:t>
      </w:r>
      <w:r>
        <w:rPr>
          <w:rFonts w:ascii="Times New Roman;Times;serif" w:hAnsi="Times New Roman;Times;serif"/>
          <w:spacing w:val="11"/>
          <w:sz w:val="20"/>
        </w:rPr>
        <w:t xml:space="preserve"> </w:t>
      </w:r>
      <w:r>
        <w:rPr>
          <w:rFonts w:ascii="Times New Roman;Times;serif" w:hAnsi="Times New Roman;Times;serif"/>
          <w:sz w:val="20"/>
        </w:rPr>
        <w:t>testing</w:t>
      </w:r>
      <w:r>
        <w:rPr>
          <w:rFonts w:ascii="Times New Roman;Times;serif" w:hAnsi="Times New Roman;Times;serif"/>
          <w:spacing w:val="7"/>
          <w:sz w:val="20"/>
        </w:rPr>
        <w:t xml:space="preserve"> </w:t>
      </w:r>
      <w:r>
        <w:rPr>
          <w:rFonts w:ascii="Times New Roman;Times;serif" w:hAnsi="Times New Roman;Times;serif"/>
          <w:sz w:val="20"/>
        </w:rPr>
        <w:t>laboratory,</w:t>
      </w:r>
      <w:r>
        <w:rPr>
          <w:rFonts w:ascii="Times New Roman;Times;serif" w:hAnsi="Times New Roman;Times;serif"/>
          <w:spacing w:val="11"/>
          <w:sz w:val="20"/>
        </w:rPr>
        <w:t xml:space="preserve"> </w:t>
      </w:r>
      <w:r>
        <w:rPr>
          <w:rFonts w:ascii="Times New Roman;Times;serif" w:hAnsi="Times New Roman;Times;serif"/>
          <w:sz w:val="20"/>
        </w:rPr>
        <w:t>manufacturer,</w:t>
      </w:r>
      <w:r>
        <w:rPr>
          <w:rFonts w:ascii="Times New Roman;Times;serif" w:hAnsi="Times New Roman;Times;serif"/>
          <w:spacing w:val="11"/>
          <w:sz w:val="20"/>
        </w:rPr>
        <w:t xml:space="preserve"> </w:t>
      </w:r>
      <w:r>
        <w:rPr>
          <w:rFonts w:ascii="Times New Roman;Times;serif" w:hAnsi="Times New Roman;Times;serif"/>
          <w:sz w:val="20"/>
        </w:rPr>
        <w:t>producer,</w:t>
      </w:r>
      <w:r>
        <w:rPr>
          <w:rFonts w:ascii="Times New Roman;Times;serif" w:hAnsi="Times New Roman;Times;serif"/>
          <w:spacing w:val="9"/>
          <w:sz w:val="20"/>
        </w:rPr>
        <w:t xml:space="preserve"> </w:t>
      </w:r>
      <w:r>
        <w:rPr>
          <w:rFonts w:ascii="Times New Roman;Times;serif" w:hAnsi="Times New Roman;Times;serif"/>
          <w:sz w:val="20"/>
        </w:rPr>
        <w:t>retailer,</w:t>
      </w:r>
      <w:r>
        <w:rPr>
          <w:rFonts w:ascii="Times New Roman;Times;serif" w:hAnsi="Times New Roman;Times;serif"/>
          <w:spacing w:val="11"/>
          <w:sz w:val="20"/>
        </w:rPr>
        <w:t xml:space="preserve"> </w:t>
      </w:r>
      <w:r>
        <w:rPr>
          <w:rFonts w:ascii="Times New Roman;Times;serif" w:hAnsi="Times New Roman;Times;serif"/>
          <w:sz w:val="20"/>
        </w:rPr>
        <w:t>research</w:t>
      </w:r>
      <w:r>
        <w:rPr>
          <w:rFonts w:ascii="Times New Roman;Times;serif" w:hAnsi="Times New Roman;Times;serif"/>
          <w:spacing w:val="7"/>
          <w:sz w:val="20"/>
        </w:rPr>
        <w:t xml:space="preserve"> </w:t>
      </w:r>
      <w:r>
        <w:rPr>
          <w:rFonts w:ascii="Times New Roman;Times;serif" w:hAnsi="Times New Roman;Times;serif"/>
          <w:sz w:val="20"/>
        </w:rPr>
        <w:t>laboratory, vertically integrated, producer</w:t>
      </w:r>
      <w:r>
        <w:rPr>
          <w:rFonts w:ascii="Times New Roman;Times;serif" w:hAnsi="Times New Roman;Times;serif"/>
          <w:spacing w:val="33"/>
          <w:sz w:val="20"/>
        </w:rPr>
        <w:t xml:space="preserve"> </w:t>
      </w:r>
      <w:r>
        <w:rPr>
          <w:rFonts w:ascii="Times New Roman;Times;serif" w:hAnsi="Times New Roman;Times;serif"/>
          <w:sz w:val="20"/>
        </w:rPr>
        <w:t>microbusiness, integrated</w:t>
      </w:r>
      <w:r>
        <w:rPr>
          <w:rFonts w:ascii="Times New Roman;Times;serif" w:hAnsi="Times New Roman;Times;serif"/>
          <w:spacing w:val="36"/>
          <w:sz w:val="20"/>
        </w:rPr>
        <w:t xml:space="preserve"> </w:t>
      </w:r>
      <w:r>
        <w:rPr>
          <w:rFonts w:ascii="Times New Roman;Times;serif" w:hAnsi="Times New Roman;Times;serif"/>
          <w:sz w:val="20"/>
        </w:rPr>
        <w:t>microbusiness and</w:t>
      </w:r>
      <w:r>
        <w:rPr>
          <w:rFonts w:ascii="Times New Roman;Times;serif" w:hAnsi="Times New Roman;Times;serif"/>
          <w:spacing w:val="34"/>
          <w:sz w:val="20"/>
        </w:rPr>
        <w:t xml:space="preserve"> </w:t>
      </w:r>
      <w:r>
        <w:rPr>
          <w:rFonts w:ascii="Times New Roman;Times;serif" w:hAnsi="Times New Roman;Times;serif"/>
          <w:sz w:val="20"/>
        </w:rPr>
        <w:t>cannabis consumption area. The CRA does not create a limit on the</w:t>
      </w:r>
      <w:r>
        <w:rPr>
          <w:rFonts w:ascii="Times New Roman;Times;serif" w:hAnsi="Times New Roman;Times;serif"/>
          <w:spacing w:val="7"/>
          <w:sz w:val="20"/>
        </w:rPr>
        <w:t xml:space="preserve"> </w:t>
      </w:r>
      <w:r>
        <w:rPr>
          <w:rFonts w:ascii="Times New Roman;Times;serif" w:hAnsi="Times New Roman;Times;serif"/>
          <w:sz w:val="20"/>
        </w:rPr>
        <w:t>number</w:t>
      </w:r>
      <w:r>
        <w:rPr>
          <w:rFonts w:ascii="Times New Roman;Times;serif" w:hAnsi="Times New Roman;Times;serif"/>
          <w:spacing w:val="7"/>
          <w:sz w:val="20"/>
        </w:rPr>
        <w:t xml:space="preserve"> </w:t>
      </w:r>
      <w:r>
        <w:rPr>
          <w:rFonts w:ascii="Times New Roman;Times;serif" w:hAnsi="Times New Roman;Times;serif"/>
          <w:sz w:val="20"/>
        </w:rPr>
        <w:t>of licenses issued but</w:t>
      </w:r>
      <w:r>
        <w:rPr>
          <w:rFonts w:ascii="Times New Roman;Times;serif" w:hAnsi="Times New Roman;Times;serif"/>
          <w:spacing w:val="6"/>
          <w:sz w:val="20"/>
        </w:rPr>
        <w:t xml:space="preserve"> </w:t>
      </w:r>
      <w:r>
        <w:rPr>
          <w:rFonts w:ascii="Times New Roman;Times;serif" w:hAnsi="Times New Roman;Times;serif"/>
          <w:sz w:val="20"/>
        </w:rPr>
        <w:t>does limit the</w:t>
      </w:r>
      <w:r>
        <w:rPr>
          <w:rFonts w:ascii="Times New Roman;Times;serif" w:hAnsi="Times New Roman;Times;serif"/>
          <w:spacing w:val="6"/>
          <w:sz w:val="20"/>
        </w:rPr>
        <w:t xml:space="preserve"> </w:t>
      </w:r>
      <w:r>
        <w:rPr>
          <w:rFonts w:ascii="Times New Roman;Times;serif" w:hAnsi="Times New Roman;Times;serif"/>
          <w:sz w:val="20"/>
        </w:rPr>
        <w:t>number of plants that can be grown under</w:t>
      </w:r>
      <w:r>
        <w:rPr>
          <w:rFonts w:ascii="Times New Roman;Times;serif" w:hAnsi="Times New Roman;Times;serif"/>
          <w:spacing w:val="-1"/>
          <w:sz w:val="20"/>
        </w:rPr>
        <w:t xml:space="preserve"> </w:t>
      </w:r>
      <w:r>
        <w:rPr>
          <w:rFonts w:ascii="Times New Roman;Times;serif" w:hAnsi="Times New Roman;Times;serif"/>
          <w:sz w:val="20"/>
        </w:rPr>
        <w:t>each</w:t>
      </w:r>
      <w:r>
        <w:rPr>
          <w:rFonts w:ascii="Times New Roman;Times;serif" w:hAnsi="Times New Roman;Times;serif"/>
          <w:spacing w:val="-5"/>
          <w:sz w:val="20"/>
        </w:rPr>
        <w:t xml:space="preserve"> </w:t>
      </w:r>
      <w:r>
        <w:rPr>
          <w:rFonts w:ascii="Times New Roman;Times;serif" w:hAnsi="Times New Roman;Times;serif"/>
          <w:sz w:val="20"/>
        </w:rPr>
        <w:t>producer</w:t>
      </w:r>
      <w:r>
        <w:rPr>
          <w:rFonts w:ascii="Times New Roman;Times;serif" w:hAnsi="Times New Roman;Times;serif"/>
          <w:spacing w:val="-1"/>
          <w:sz w:val="20"/>
        </w:rPr>
        <w:t xml:space="preserve"> </w:t>
      </w:r>
      <w:r>
        <w:rPr>
          <w:rFonts w:ascii="Times New Roman;Times;serif" w:hAnsi="Times New Roman;Times;serif"/>
          <w:sz w:val="20"/>
        </w:rPr>
        <w:t>license</w:t>
      </w:r>
      <w:r>
        <w:rPr>
          <w:rFonts w:ascii="Times New Roman;Times;serif" w:hAnsi="Times New Roman;Times;serif"/>
          <w:spacing w:val="-2"/>
          <w:sz w:val="20"/>
        </w:rPr>
        <w:t xml:space="preserve"> </w:t>
      </w:r>
      <w:r>
        <w:rPr>
          <w:rFonts w:ascii="Times New Roman;Times;serif" w:hAnsi="Times New Roman;Times;serif"/>
          <w:sz w:val="20"/>
        </w:rPr>
        <w:t>and</w:t>
      </w:r>
      <w:r>
        <w:rPr>
          <w:rFonts w:ascii="Times New Roman;Times;serif" w:hAnsi="Times New Roman;Times;serif"/>
          <w:spacing w:val="-1"/>
          <w:sz w:val="20"/>
        </w:rPr>
        <w:t xml:space="preserve"> </w:t>
      </w:r>
      <w:r>
        <w:rPr>
          <w:rFonts w:ascii="Times New Roman;Times;serif" w:hAnsi="Times New Roman;Times;serif"/>
          <w:sz w:val="20"/>
        </w:rPr>
        <w:t>requires</w:t>
      </w:r>
      <w:r>
        <w:rPr>
          <w:rFonts w:ascii="Times New Roman;Times;serif" w:hAnsi="Times New Roman;Times;serif"/>
          <w:spacing w:val="-3"/>
          <w:sz w:val="20"/>
        </w:rPr>
        <w:t xml:space="preserve"> </w:t>
      </w:r>
      <w:r>
        <w:rPr>
          <w:rFonts w:ascii="Times New Roman;Times;serif" w:hAnsi="Times New Roman;Times;serif"/>
          <w:sz w:val="20"/>
        </w:rPr>
        <w:t>as</w:t>
      </w:r>
      <w:r>
        <w:rPr>
          <w:rFonts w:ascii="Times New Roman;Times;serif" w:hAnsi="Times New Roman;Times;serif"/>
          <w:spacing w:val="-5"/>
          <w:sz w:val="20"/>
        </w:rPr>
        <w:t xml:space="preserve"> </w:t>
      </w:r>
      <w:r>
        <w:rPr>
          <w:rFonts w:ascii="Times New Roman;Times;serif" w:hAnsi="Times New Roman;Times;serif"/>
          <w:sz w:val="20"/>
        </w:rPr>
        <w:t>a</w:t>
      </w:r>
      <w:r>
        <w:rPr>
          <w:rFonts w:ascii="Times New Roman;Times;serif" w:hAnsi="Times New Roman;Times;serif"/>
          <w:spacing w:val="-2"/>
          <w:sz w:val="20"/>
        </w:rPr>
        <w:t xml:space="preserve"> </w:t>
      </w:r>
      <w:r>
        <w:rPr>
          <w:rFonts w:ascii="Times New Roman;Times;serif" w:hAnsi="Times New Roman;Times;serif"/>
          <w:sz w:val="20"/>
        </w:rPr>
        <w:t>condition</w:t>
      </w:r>
      <w:r>
        <w:rPr>
          <w:rFonts w:ascii="Times New Roman;Times;serif" w:hAnsi="Times New Roman;Times;serif"/>
          <w:spacing w:val="-3"/>
          <w:sz w:val="20"/>
        </w:rPr>
        <w:t xml:space="preserve"> </w:t>
      </w:r>
      <w:r>
        <w:rPr>
          <w:rFonts w:ascii="Times New Roman;Times;serif" w:hAnsi="Times New Roman;Times;serif"/>
          <w:sz w:val="20"/>
        </w:rPr>
        <w:t>of</w:t>
      </w:r>
      <w:r>
        <w:rPr>
          <w:rFonts w:ascii="Times New Roman;Times;serif" w:hAnsi="Times New Roman;Times;serif"/>
          <w:spacing w:val="-3"/>
          <w:sz w:val="20"/>
        </w:rPr>
        <w:t xml:space="preserve"> </w:t>
      </w:r>
      <w:r>
        <w:rPr>
          <w:rFonts w:ascii="Times New Roman;Times;serif" w:hAnsi="Times New Roman;Times;serif"/>
          <w:sz w:val="20"/>
        </w:rPr>
        <w:t>licensure</w:t>
      </w:r>
      <w:r>
        <w:rPr>
          <w:rFonts w:ascii="Times New Roman;Times;serif" w:hAnsi="Times New Roman;Times;serif"/>
          <w:spacing w:val="-2"/>
          <w:sz w:val="20"/>
        </w:rPr>
        <w:t xml:space="preserve"> </w:t>
      </w:r>
      <w:r>
        <w:rPr>
          <w:rFonts w:ascii="Times New Roman;Times;serif" w:hAnsi="Times New Roman;Times;serif"/>
          <w:sz w:val="20"/>
        </w:rPr>
        <w:t>that</w:t>
      </w:r>
      <w:r>
        <w:rPr>
          <w:rFonts w:ascii="Times New Roman;Times;serif" w:hAnsi="Times New Roman;Times;serif"/>
          <w:spacing w:val="-2"/>
          <w:sz w:val="20"/>
        </w:rPr>
        <w:t xml:space="preserve"> </w:t>
      </w:r>
      <w:r>
        <w:rPr>
          <w:rFonts w:ascii="Times New Roman;Times;serif" w:hAnsi="Times New Roman;Times;serif"/>
          <w:sz w:val="20"/>
        </w:rPr>
        <w:t>each</w:t>
      </w:r>
      <w:r>
        <w:rPr>
          <w:rFonts w:ascii="Times New Roman;Times;serif" w:hAnsi="Times New Roman;Times;serif"/>
          <w:spacing w:val="-5"/>
          <w:sz w:val="20"/>
        </w:rPr>
        <w:t xml:space="preserve"> </w:t>
      </w:r>
      <w:r>
        <w:rPr>
          <w:rFonts w:ascii="Times New Roman;Times;serif" w:hAnsi="Times New Roman;Times;serif"/>
          <w:sz w:val="20"/>
        </w:rPr>
        <w:t>producer</w:t>
      </w:r>
      <w:r>
        <w:rPr>
          <w:rFonts w:ascii="Times New Roman;Times;serif" w:hAnsi="Times New Roman;Times;serif"/>
          <w:spacing w:val="-1"/>
          <w:sz w:val="20"/>
        </w:rPr>
        <w:t xml:space="preserve"> </w:t>
      </w:r>
      <w:r>
        <w:rPr>
          <w:rFonts w:ascii="Times New Roman;Times;serif" w:hAnsi="Times New Roman;Times;serif"/>
          <w:sz w:val="20"/>
        </w:rPr>
        <w:t>applicant</w:t>
      </w:r>
      <w:r>
        <w:rPr>
          <w:rFonts w:ascii="Times New Roman;Times;serif" w:hAnsi="Times New Roman;Times;serif"/>
          <w:spacing w:val="-3"/>
          <w:sz w:val="20"/>
        </w:rPr>
        <w:t xml:space="preserve"> </w:t>
      </w:r>
      <w:r>
        <w:rPr>
          <w:rFonts w:ascii="Times New Roman;Times;serif" w:hAnsi="Times New Roman;Times;serif"/>
          <w:sz w:val="20"/>
        </w:rPr>
        <w:t>demonstrate</w:t>
      </w:r>
      <w:r>
        <w:rPr>
          <w:rFonts w:ascii="Times New Roman;Times;serif" w:hAnsi="Times New Roman;Times;serif"/>
          <w:spacing w:val="-3"/>
          <w:sz w:val="20"/>
        </w:rPr>
        <w:t xml:space="preserve"> </w:t>
      </w:r>
      <w:r>
        <w:rPr>
          <w:rFonts w:ascii="Times New Roman;Times;serif" w:hAnsi="Times New Roman;Times;serif"/>
          <w:sz w:val="20"/>
        </w:rPr>
        <w:t>the</w:t>
      </w:r>
      <w:r>
        <w:rPr>
          <w:rFonts w:ascii="Times New Roman;Times;serif" w:hAnsi="Times New Roman;Times;serif"/>
          <w:spacing w:val="-3"/>
          <w:sz w:val="20"/>
        </w:rPr>
        <w:t xml:space="preserve"> </w:t>
      </w:r>
      <w:r>
        <w:rPr>
          <w:rFonts w:ascii="Times New Roman;Times;serif" w:hAnsi="Times New Roman;Times;serif"/>
          <w:sz w:val="20"/>
        </w:rPr>
        <w:t>legal</w:t>
      </w:r>
      <w:r>
        <w:rPr>
          <w:rFonts w:ascii="Times New Roman;Times;serif" w:hAnsi="Times New Roman;Times;serif"/>
          <w:spacing w:val="-3"/>
          <w:sz w:val="20"/>
        </w:rPr>
        <w:t xml:space="preserve"> </w:t>
      </w:r>
      <w:r>
        <w:rPr>
          <w:rFonts w:ascii="Times New Roman;Times;serif" w:hAnsi="Times New Roman;Times;serif"/>
          <w:sz w:val="20"/>
        </w:rPr>
        <w:t>right</w:t>
      </w:r>
      <w:r>
        <w:rPr>
          <w:rFonts w:ascii="Times New Roman;Times;serif" w:hAnsi="Times New Roman;Times;serif"/>
          <w:spacing w:val="-1"/>
          <w:sz w:val="20"/>
        </w:rPr>
        <w:t xml:space="preserve"> </w:t>
      </w:r>
      <w:r>
        <w:rPr>
          <w:rFonts w:ascii="Times New Roman;Times;serif" w:hAnsi="Times New Roman;Times;serif"/>
          <w:sz w:val="20"/>
        </w:rPr>
        <w:t>to</w:t>
      </w:r>
      <w:r>
        <w:rPr>
          <w:rFonts w:ascii="Times New Roman;Times;serif" w:hAnsi="Times New Roman;Times;serif"/>
          <w:spacing w:val="21"/>
          <w:sz w:val="20"/>
        </w:rPr>
        <w:t xml:space="preserve"> </w:t>
      </w:r>
      <w:r>
        <w:rPr>
          <w:rFonts w:ascii="Times New Roman;Times;serif" w:hAnsi="Times New Roman;Times;serif"/>
          <w:sz w:val="20"/>
        </w:rPr>
        <w:t>enough</w:t>
      </w:r>
      <w:r>
        <w:rPr>
          <w:rFonts w:ascii="Times New Roman;Times;serif" w:hAnsi="Times New Roman;Times;serif"/>
          <w:spacing w:val="21"/>
          <w:sz w:val="20"/>
        </w:rPr>
        <w:t xml:space="preserve"> </w:t>
      </w:r>
      <w:r>
        <w:rPr>
          <w:rFonts w:ascii="Times New Roman;Times;serif" w:hAnsi="Times New Roman;Times;serif"/>
          <w:sz w:val="20"/>
        </w:rPr>
        <w:t>water</w:t>
      </w:r>
      <w:r>
        <w:rPr>
          <w:rFonts w:ascii="Times New Roman;Times;serif" w:hAnsi="Times New Roman;Times;serif"/>
          <w:spacing w:val="20"/>
          <w:sz w:val="20"/>
        </w:rPr>
        <w:t xml:space="preserve"> </w:t>
      </w:r>
      <w:r>
        <w:rPr>
          <w:rFonts w:ascii="Times New Roman;Times;serif" w:hAnsi="Times New Roman;Times;serif"/>
          <w:sz w:val="20"/>
        </w:rPr>
        <w:t>for</w:t>
      </w:r>
      <w:r>
        <w:rPr>
          <w:rFonts w:ascii="Times New Roman;Times;serif" w:hAnsi="Times New Roman;Times;serif"/>
          <w:spacing w:val="20"/>
          <w:sz w:val="20"/>
        </w:rPr>
        <w:t xml:space="preserve"> </w:t>
      </w:r>
      <w:r>
        <w:rPr>
          <w:rFonts w:ascii="Times New Roman;Times;serif" w:hAnsi="Times New Roman;Times;serif"/>
          <w:sz w:val="20"/>
        </w:rPr>
        <w:t>its</w:t>
      </w:r>
      <w:r>
        <w:rPr>
          <w:rFonts w:ascii="Times New Roman;Times;serif" w:hAnsi="Times New Roman;Times;serif"/>
          <w:spacing w:val="17"/>
          <w:sz w:val="20"/>
        </w:rPr>
        <w:t xml:space="preserve"> </w:t>
      </w:r>
      <w:r>
        <w:rPr>
          <w:rFonts w:ascii="Times New Roman;Times;serif" w:hAnsi="Times New Roman;Times;serif"/>
          <w:sz w:val="20"/>
        </w:rPr>
        <w:t>proposed</w:t>
      </w:r>
      <w:r>
        <w:rPr>
          <w:rFonts w:ascii="Times New Roman;Times;serif" w:hAnsi="Times New Roman;Times;serif"/>
          <w:spacing w:val="21"/>
          <w:sz w:val="20"/>
        </w:rPr>
        <w:t xml:space="preserve"> </w:t>
      </w:r>
      <w:r>
        <w:rPr>
          <w:rFonts w:ascii="Times New Roman;Times;serif" w:hAnsi="Times New Roman;Times;serif"/>
          <w:sz w:val="20"/>
        </w:rPr>
        <w:t>operation</w:t>
      </w:r>
      <w:r>
        <w:rPr>
          <w:rFonts w:ascii="Times New Roman;Times;serif" w:hAnsi="Times New Roman;Times;serif"/>
          <w:spacing w:val="17"/>
          <w:sz w:val="20"/>
        </w:rPr>
        <w:t xml:space="preserve"> </w:t>
      </w:r>
      <w:r>
        <w:rPr>
          <w:rFonts w:ascii="Times New Roman;Times;serif" w:hAnsi="Times New Roman;Times;serif"/>
          <w:sz w:val="20"/>
        </w:rPr>
        <w:t>as</w:t>
      </w:r>
      <w:r>
        <w:rPr>
          <w:rFonts w:ascii="Times New Roman;Times;serif" w:hAnsi="Times New Roman;Times;serif"/>
          <w:spacing w:val="17"/>
          <w:sz w:val="20"/>
        </w:rPr>
        <w:t xml:space="preserve"> </w:t>
      </w:r>
      <w:r>
        <w:rPr>
          <w:rFonts w:ascii="Times New Roman;Times;serif" w:hAnsi="Times New Roman;Times;serif"/>
          <w:sz w:val="20"/>
        </w:rPr>
        <w:t>determined</w:t>
      </w:r>
      <w:r>
        <w:rPr>
          <w:rFonts w:ascii="Times New Roman;Times;serif" w:hAnsi="Times New Roman;Times;serif"/>
          <w:spacing w:val="21"/>
          <w:sz w:val="20"/>
        </w:rPr>
        <w:t xml:space="preserve"> </w:t>
      </w:r>
      <w:r>
        <w:rPr>
          <w:rFonts w:ascii="Times New Roman;Times;serif" w:hAnsi="Times New Roman;Times;serif"/>
          <w:sz w:val="20"/>
        </w:rPr>
        <w:t>by</w:t>
      </w:r>
      <w:r>
        <w:rPr>
          <w:rFonts w:ascii="Times New Roman;Times;serif" w:hAnsi="Times New Roman;Times;serif"/>
          <w:spacing w:val="15"/>
          <w:sz w:val="20"/>
        </w:rPr>
        <w:t xml:space="preserve"> </w:t>
      </w:r>
      <w:r>
        <w:rPr>
          <w:rFonts w:ascii="Times New Roman;Times;serif" w:hAnsi="Times New Roman;Times;serif"/>
          <w:sz w:val="20"/>
        </w:rPr>
        <w:t>the</w:t>
      </w:r>
      <w:r>
        <w:rPr>
          <w:rFonts w:ascii="Times New Roman;Times;serif" w:hAnsi="Times New Roman;Times;serif"/>
          <w:spacing w:val="20"/>
          <w:sz w:val="20"/>
        </w:rPr>
        <w:t xml:space="preserve"> </w:t>
      </w:r>
      <w:r>
        <w:rPr>
          <w:rFonts w:ascii="Times New Roman;Times;serif" w:hAnsi="Times New Roman;Times;serif"/>
          <w:sz w:val="20"/>
        </w:rPr>
        <w:t>CCD</w:t>
      </w:r>
      <w:r>
        <w:rPr>
          <w:rFonts w:ascii="Times New Roman;Times;serif" w:hAnsi="Times New Roman;Times;serif"/>
          <w:spacing w:val="19"/>
          <w:sz w:val="20"/>
        </w:rPr>
        <w:t xml:space="preserve"> </w:t>
      </w:r>
      <w:r>
        <w:rPr>
          <w:rFonts w:ascii="Times New Roman;Times;serif" w:hAnsi="Times New Roman;Times;serif"/>
          <w:sz w:val="20"/>
        </w:rPr>
        <w:t>and</w:t>
      </w:r>
      <w:r>
        <w:rPr>
          <w:rFonts w:ascii="Times New Roman;Times;serif" w:hAnsi="Times New Roman;Times;serif"/>
          <w:spacing w:val="21"/>
          <w:sz w:val="20"/>
        </w:rPr>
        <w:t xml:space="preserve"> </w:t>
      </w:r>
      <w:r>
        <w:rPr>
          <w:rFonts w:ascii="Times New Roman;Times;serif" w:hAnsi="Times New Roman;Times;serif"/>
          <w:sz w:val="20"/>
        </w:rPr>
        <w:t>validated</w:t>
      </w:r>
      <w:r>
        <w:rPr>
          <w:rFonts w:ascii="Times New Roman;Times;serif" w:hAnsi="Times New Roman;Times;serif"/>
          <w:spacing w:val="21"/>
          <w:sz w:val="20"/>
        </w:rPr>
        <w:t xml:space="preserve"> </w:t>
      </w:r>
      <w:r>
        <w:rPr>
          <w:rFonts w:ascii="Times New Roman;Times;serif" w:hAnsi="Times New Roman;Times;serif"/>
          <w:sz w:val="20"/>
        </w:rPr>
        <w:t>by</w:t>
      </w:r>
      <w:r>
        <w:rPr>
          <w:rFonts w:ascii="Times New Roman;Times;serif" w:hAnsi="Times New Roman;Times;serif"/>
          <w:spacing w:val="19"/>
          <w:sz w:val="20"/>
        </w:rPr>
        <w:t xml:space="preserve"> </w:t>
      </w:r>
      <w:r>
        <w:rPr>
          <w:rFonts w:ascii="Times New Roman;Times;serif" w:hAnsi="Times New Roman;Times;serif"/>
          <w:sz w:val="20"/>
        </w:rPr>
        <w:t>documents</w:t>
      </w:r>
      <w:r>
        <w:rPr>
          <w:rFonts w:ascii="Times New Roman;Times;serif" w:hAnsi="Times New Roman;Times;serif"/>
          <w:spacing w:val="19"/>
          <w:sz w:val="20"/>
        </w:rPr>
        <w:t xml:space="preserve"> </w:t>
      </w:r>
      <w:r>
        <w:rPr>
          <w:rFonts w:ascii="Times New Roman;Times;serif" w:hAnsi="Times New Roman;Times;serif"/>
          <w:sz w:val="20"/>
        </w:rPr>
        <w:t>from</w:t>
      </w:r>
      <w:r>
        <w:rPr>
          <w:rFonts w:ascii="Times New Roman;Times;serif" w:hAnsi="Times New Roman;Times;serif"/>
          <w:spacing w:val="16"/>
          <w:sz w:val="20"/>
        </w:rPr>
        <w:t xml:space="preserve"> </w:t>
      </w:r>
      <w:r>
        <w:rPr>
          <w:rFonts w:ascii="Times New Roman;Times;serif" w:hAnsi="Times New Roman;Times;serif"/>
          <w:sz w:val="20"/>
        </w:rPr>
        <w:t>the</w:t>
      </w:r>
      <w:r>
        <w:rPr>
          <w:rFonts w:ascii="Times New Roman;Times;serif" w:hAnsi="Times New Roman;Times;serif"/>
          <w:spacing w:val="20"/>
          <w:sz w:val="20"/>
        </w:rPr>
        <w:t xml:space="preserve"> </w:t>
      </w:r>
      <w:r>
        <w:rPr>
          <w:rFonts w:ascii="Times New Roman;Times;serif" w:hAnsi="Times New Roman;Times;serif"/>
          <w:sz w:val="20"/>
        </w:rPr>
        <w:t>New</w:t>
      </w:r>
      <w:r>
        <w:rPr>
          <w:rFonts w:ascii="Times New Roman;Times;serif" w:hAnsi="Times New Roman;Times;serif"/>
          <w:spacing w:val="-1"/>
          <w:sz w:val="20"/>
        </w:rPr>
        <w:t xml:space="preserve"> </w:t>
      </w:r>
      <w:r>
        <w:rPr>
          <w:rFonts w:ascii="Times New Roman;Times;serif" w:hAnsi="Times New Roman;Times;serif"/>
          <w:sz w:val="20"/>
        </w:rPr>
        <w:t>Mexico Office of</w:t>
      </w:r>
      <w:r>
        <w:rPr>
          <w:rFonts w:ascii="Times New Roman;Times;serif" w:hAnsi="Times New Roman;Times;serif"/>
          <w:spacing w:val="-1"/>
          <w:sz w:val="20"/>
        </w:rPr>
        <w:t xml:space="preserve"> </w:t>
      </w:r>
      <w:r>
        <w:rPr>
          <w:rFonts w:ascii="Times New Roman;Times;serif" w:hAnsi="Times New Roman;Times;serif"/>
          <w:sz w:val="20"/>
        </w:rPr>
        <w:t>the State Engineer.</w:t>
      </w:r>
    </w:p>
    <w:p>
      <w:pPr>
        <w:pStyle w:val="TextBody"/>
        <w:spacing w:before="0" w:after="240"/>
        <w:ind w:left="40" w:right="121" w:hanging="0"/>
        <w:jc w:val="both"/>
        <w:rPr>
          <w:rFonts w:ascii="Times New Roman;Times;serif" w:hAnsi="Times New Roman;Times;serif"/>
          <w:sz w:val="20"/>
        </w:rPr>
      </w:pPr>
      <w:r>
        <w:rPr>
          <w:rFonts w:ascii="Times New Roman;Times;serif" w:hAnsi="Times New Roman;Times;serif"/>
          <w:sz w:val="20"/>
        </w:rPr>
        <w:t>Per</w:t>
      </w:r>
      <w:r>
        <w:rPr>
          <w:rFonts w:ascii="Times New Roman;Times;serif" w:hAnsi="Times New Roman;Times;serif"/>
          <w:spacing w:val="-7"/>
          <w:sz w:val="20"/>
        </w:rPr>
        <w:t xml:space="preserve"> </w:t>
      </w:r>
      <w:r>
        <w:rPr>
          <w:rFonts w:ascii="Times New Roman;Times;serif" w:hAnsi="Times New Roman;Times;serif"/>
          <w:sz w:val="20"/>
        </w:rPr>
        <w:t>the</w:t>
      </w:r>
      <w:r>
        <w:rPr>
          <w:rFonts w:ascii="Times New Roman;Times;serif" w:hAnsi="Times New Roman;Times;serif"/>
          <w:spacing w:val="-7"/>
          <w:sz w:val="20"/>
        </w:rPr>
        <w:t xml:space="preserve"> </w:t>
      </w:r>
      <w:r>
        <w:rPr>
          <w:rFonts w:ascii="Times New Roman;Times;serif" w:hAnsi="Times New Roman;Times;serif"/>
          <w:sz w:val="20"/>
        </w:rPr>
        <w:t>CRA’s</w:t>
      </w:r>
      <w:r>
        <w:rPr>
          <w:rFonts w:ascii="Times New Roman;Times;serif" w:hAnsi="Times New Roman;Times;serif"/>
          <w:spacing w:val="-7"/>
          <w:sz w:val="20"/>
        </w:rPr>
        <w:t xml:space="preserve"> </w:t>
      </w:r>
      <w:r>
        <w:rPr>
          <w:rFonts w:ascii="Times New Roman;Times;serif" w:hAnsi="Times New Roman;Times;serif"/>
          <w:sz w:val="20"/>
        </w:rPr>
        <w:t>express</w:t>
      </w:r>
      <w:r>
        <w:rPr>
          <w:rFonts w:ascii="Times New Roman;Times;serif" w:hAnsi="Times New Roman;Times;serif"/>
          <w:spacing w:val="-7"/>
          <w:sz w:val="20"/>
        </w:rPr>
        <w:t xml:space="preserve"> </w:t>
      </w:r>
      <w:r>
        <w:rPr>
          <w:rFonts w:ascii="Times New Roman;Times;serif" w:hAnsi="Times New Roman;Times;serif"/>
          <w:sz w:val="20"/>
        </w:rPr>
        <w:t>requirement,</w:t>
      </w:r>
      <w:r>
        <w:rPr>
          <w:rFonts w:ascii="Times New Roman;Times;serif" w:hAnsi="Times New Roman;Times;serif"/>
          <w:spacing w:val="-7"/>
          <w:sz w:val="20"/>
        </w:rPr>
        <w:t xml:space="preserve"> </w:t>
      </w:r>
      <w:r>
        <w:rPr>
          <w:rFonts w:ascii="Times New Roman;Times;serif" w:hAnsi="Times New Roman;Times;serif"/>
          <w:sz w:val="20"/>
        </w:rPr>
        <w:t>retail</w:t>
      </w:r>
      <w:r>
        <w:rPr>
          <w:rFonts w:ascii="Times New Roman;Times;serif" w:hAnsi="Times New Roman;Times;serif"/>
          <w:spacing w:val="-7"/>
          <w:sz w:val="20"/>
        </w:rPr>
        <w:t xml:space="preserve"> </w:t>
      </w:r>
      <w:r>
        <w:rPr>
          <w:rFonts w:ascii="Times New Roman;Times;serif" w:hAnsi="Times New Roman;Times;serif"/>
          <w:sz w:val="20"/>
        </w:rPr>
        <w:t>sales</w:t>
      </w:r>
      <w:r>
        <w:rPr>
          <w:rFonts w:ascii="Times New Roman;Times;serif" w:hAnsi="Times New Roman;Times;serif"/>
          <w:spacing w:val="-9"/>
          <w:sz w:val="20"/>
        </w:rPr>
        <w:t xml:space="preserve"> </w:t>
      </w:r>
      <w:r>
        <w:rPr>
          <w:rFonts w:ascii="Times New Roman;Times;serif" w:hAnsi="Times New Roman;Times;serif"/>
          <w:sz w:val="20"/>
        </w:rPr>
        <w:t>of</w:t>
      </w:r>
      <w:r>
        <w:rPr>
          <w:rFonts w:ascii="Times New Roman;Times;serif" w:hAnsi="Times New Roman;Times;serif"/>
          <w:spacing w:val="-9"/>
          <w:sz w:val="20"/>
        </w:rPr>
        <w:t xml:space="preserve"> </w:t>
      </w:r>
      <w:r>
        <w:rPr>
          <w:rFonts w:ascii="Times New Roman;Times;serif" w:hAnsi="Times New Roman;Times;serif"/>
          <w:sz w:val="20"/>
        </w:rPr>
        <w:t>adult</w:t>
      </w:r>
      <w:r>
        <w:rPr>
          <w:rFonts w:ascii="Times New Roman;Times;serif" w:hAnsi="Times New Roman;Times;serif"/>
          <w:spacing w:val="-7"/>
          <w:sz w:val="20"/>
        </w:rPr>
        <w:t xml:space="preserve"> </w:t>
      </w:r>
      <w:r>
        <w:rPr>
          <w:rFonts w:ascii="Times New Roman;Times;serif" w:hAnsi="Times New Roman;Times;serif"/>
          <w:sz w:val="20"/>
        </w:rPr>
        <w:t>use</w:t>
      </w:r>
      <w:r>
        <w:rPr>
          <w:rFonts w:ascii="Times New Roman;Times;serif" w:hAnsi="Times New Roman;Times;serif"/>
          <w:spacing w:val="-8"/>
          <w:sz w:val="20"/>
        </w:rPr>
        <w:t xml:space="preserve"> </w:t>
      </w:r>
      <w:r>
        <w:rPr>
          <w:rFonts w:ascii="Times New Roman;Times;serif" w:hAnsi="Times New Roman;Times;serif"/>
          <w:sz w:val="20"/>
        </w:rPr>
        <w:t>cannabis</w:t>
      </w:r>
      <w:r>
        <w:rPr>
          <w:rFonts w:ascii="Times New Roman;Times;serif" w:hAnsi="Times New Roman;Times;serif"/>
          <w:spacing w:val="-9"/>
          <w:sz w:val="20"/>
        </w:rPr>
        <w:t xml:space="preserve"> </w:t>
      </w:r>
      <w:r>
        <w:rPr>
          <w:rFonts w:ascii="Times New Roman;Times;serif" w:hAnsi="Times New Roman;Times;serif"/>
          <w:sz w:val="20"/>
        </w:rPr>
        <w:t>products</w:t>
      </w:r>
      <w:r>
        <w:rPr>
          <w:rFonts w:ascii="Times New Roman;Times;serif" w:hAnsi="Times New Roman;Times;serif"/>
          <w:spacing w:val="-9"/>
          <w:sz w:val="20"/>
        </w:rPr>
        <w:t xml:space="preserve"> </w:t>
      </w:r>
      <w:r>
        <w:rPr>
          <w:rFonts w:ascii="Times New Roman;Times;serif" w:hAnsi="Times New Roman;Times;serif"/>
          <w:sz w:val="20"/>
        </w:rPr>
        <w:t>in</w:t>
      </w:r>
      <w:r>
        <w:rPr>
          <w:rFonts w:ascii="Times New Roman;Times;serif" w:hAnsi="Times New Roman;Times;serif"/>
          <w:spacing w:val="-9"/>
          <w:sz w:val="20"/>
        </w:rPr>
        <w:t xml:space="preserve"> </w:t>
      </w:r>
      <w:r>
        <w:rPr>
          <w:rFonts w:ascii="Times New Roman;Times;serif" w:hAnsi="Times New Roman;Times;serif"/>
          <w:sz w:val="20"/>
        </w:rPr>
        <w:t>New</w:t>
      </w:r>
      <w:r>
        <w:rPr>
          <w:rFonts w:ascii="Times New Roman;Times;serif" w:hAnsi="Times New Roman;Times;serif"/>
          <w:spacing w:val="-9"/>
          <w:sz w:val="20"/>
        </w:rPr>
        <w:t xml:space="preserve"> </w:t>
      </w:r>
      <w:r>
        <w:rPr>
          <w:rFonts w:ascii="Times New Roman;Times;serif" w:hAnsi="Times New Roman;Times;serif"/>
          <w:sz w:val="20"/>
        </w:rPr>
        <w:t>Mexico</w:t>
      </w:r>
      <w:r>
        <w:rPr>
          <w:rFonts w:ascii="Times New Roman;Times;serif" w:hAnsi="Times New Roman;Times;serif"/>
          <w:spacing w:val="-7"/>
          <w:sz w:val="20"/>
        </w:rPr>
        <w:t xml:space="preserve"> </w:t>
      </w:r>
      <w:r>
        <w:rPr>
          <w:rFonts w:ascii="Times New Roman;Times;serif" w:hAnsi="Times New Roman;Times;serif"/>
          <w:sz w:val="20"/>
        </w:rPr>
        <w:t>began</w:t>
      </w:r>
      <w:r>
        <w:rPr>
          <w:rFonts w:ascii="Times New Roman;Times;serif" w:hAnsi="Times New Roman;Times;serif"/>
          <w:spacing w:val="-9"/>
          <w:sz w:val="20"/>
        </w:rPr>
        <w:t xml:space="preserve"> </w:t>
      </w:r>
      <w:r>
        <w:rPr>
          <w:rFonts w:ascii="Times New Roman;Times;serif" w:hAnsi="Times New Roman;Times;serif"/>
          <w:sz w:val="20"/>
        </w:rPr>
        <w:t>on</w:t>
      </w:r>
      <w:r>
        <w:rPr>
          <w:rFonts w:ascii="Times New Roman;Times;serif" w:hAnsi="Times New Roman;Times;serif"/>
          <w:spacing w:val="-7"/>
          <w:sz w:val="20"/>
        </w:rPr>
        <w:t xml:space="preserve"> </w:t>
      </w:r>
      <w:r>
        <w:rPr>
          <w:rFonts w:ascii="Times New Roman;Times;serif" w:hAnsi="Times New Roman;Times;serif"/>
          <w:sz w:val="20"/>
        </w:rPr>
        <w:t>April</w:t>
      </w:r>
      <w:r>
        <w:rPr>
          <w:rFonts w:ascii="Times New Roman;Times;serif" w:hAnsi="Times New Roman;Times;serif"/>
          <w:spacing w:val="-9"/>
          <w:sz w:val="20"/>
        </w:rPr>
        <w:t xml:space="preserve"> </w:t>
      </w:r>
      <w:r>
        <w:rPr>
          <w:rFonts w:ascii="Times New Roman;Times;serif" w:hAnsi="Times New Roman;Times;serif"/>
          <w:sz w:val="20"/>
        </w:rPr>
        <w:t>1,</w:t>
      </w:r>
      <w:r>
        <w:rPr>
          <w:rFonts w:ascii="Times New Roman;Times;serif" w:hAnsi="Times New Roman;Times;serif"/>
          <w:spacing w:val="-7"/>
          <w:sz w:val="20"/>
        </w:rPr>
        <w:t xml:space="preserve"> </w:t>
      </w:r>
      <w:r>
        <w:rPr>
          <w:rFonts w:ascii="Times New Roman;Times;serif" w:hAnsi="Times New Roman;Times;serif"/>
          <w:sz w:val="20"/>
        </w:rPr>
        <w:t>2022. In</w:t>
      </w:r>
      <w:r>
        <w:rPr>
          <w:rFonts w:ascii="Times New Roman;Times;serif" w:hAnsi="Times New Roman;Times;serif"/>
          <w:spacing w:val="-9"/>
          <w:sz w:val="20"/>
        </w:rPr>
        <w:t xml:space="preserve"> </w:t>
      </w:r>
      <w:r>
        <w:rPr>
          <w:rFonts w:ascii="Times New Roman;Times;serif" w:hAnsi="Times New Roman;Times;serif"/>
          <w:sz w:val="20"/>
        </w:rPr>
        <w:t>January</w:t>
      </w:r>
      <w:r>
        <w:rPr>
          <w:rFonts w:ascii="Times New Roman;Times;serif" w:hAnsi="Times New Roman;Times;serif"/>
          <w:spacing w:val="-11"/>
          <w:sz w:val="20"/>
        </w:rPr>
        <w:t xml:space="preserve"> </w:t>
      </w:r>
      <w:r>
        <w:rPr>
          <w:rFonts w:ascii="Times New Roman;Times;serif" w:hAnsi="Times New Roman;Times;serif"/>
          <w:sz w:val="20"/>
        </w:rPr>
        <w:t>and</w:t>
      </w:r>
      <w:r>
        <w:rPr>
          <w:rFonts w:ascii="Times New Roman;Times;serif" w:hAnsi="Times New Roman;Times;serif"/>
          <w:spacing w:val="-7"/>
          <w:sz w:val="20"/>
        </w:rPr>
        <w:t xml:space="preserve"> </w:t>
      </w:r>
      <w:r>
        <w:rPr>
          <w:rFonts w:ascii="Times New Roman;Times;serif" w:hAnsi="Times New Roman;Times;serif"/>
          <w:sz w:val="20"/>
        </w:rPr>
        <w:t>March</w:t>
      </w:r>
      <w:r>
        <w:rPr>
          <w:rFonts w:ascii="Times New Roman;Times;serif" w:hAnsi="Times New Roman;Times;serif"/>
          <w:spacing w:val="-9"/>
          <w:sz w:val="20"/>
        </w:rPr>
        <w:t xml:space="preserve"> </w:t>
      </w:r>
      <w:r>
        <w:rPr>
          <w:rFonts w:ascii="Times New Roman;Times;serif" w:hAnsi="Times New Roman;Times;serif"/>
          <w:sz w:val="20"/>
        </w:rPr>
        <w:t>of</w:t>
      </w:r>
      <w:r>
        <w:rPr>
          <w:rFonts w:ascii="Times New Roman;Times;serif" w:hAnsi="Times New Roman;Times;serif"/>
          <w:spacing w:val="-9"/>
          <w:sz w:val="20"/>
        </w:rPr>
        <w:t xml:space="preserve"> </w:t>
      </w:r>
      <w:r>
        <w:rPr>
          <w:rFonts w:ascii="Times New Roman;Times;serif" w:hAnsi="Times New Roman;Times;serif"/>
          <w:sz w:val="20"/>
        </w:rPr>
        <w:t>2022,</w:t>
      </w:r>
      <w:r>
        <w:rPr>
          <w:rFonts w:ascii="Times New Roman;Times;serif" w:hAnsi="Times New Roman;Times;serif"/>
          <w:spacing w:val="-11"/>
          <w:sz w:val="20"/>
        </w:rPr>
        <w:t xml:space="preserve"> </w:t>
      </w:r>
      <w:r>
        <w:rPr>
          <w:rFonts w:ascii="Times New Roman;Times;serif" w:hAnsi="Times New Roman;Times;serif"/>
          <w:sz w:val="20"/>
        </w:rPr>
        <w:t>the</w:t>
      </w:r>
      <w:r>
        <w:rPr>
          <w:rFonts w:ascii="Times New Roman;Times;serif" w:hAnsi="Times New Roman;Times;serif"/>
          <w:spacing w:val="-7"/>
          <w:sz w:val="20"/>
        </w:rPr>
        <w:t xml:space="preserve"> </w:t>
      </w:r>
      <w:r>
        <w:rPr>
          <w:rFonts w:ascii="Times New Roman;Times;serif" w:hAnsi="Times New Roman;Times;serif"/>
          <w:sz w:val="20"/>
        </w:rPr>
        <w:t>CCD</w:t>
      </w:r>
      <w:r>
        <w:rPr>
          <w:rFonts w:ascii="Times New Roman;Times;serif" w:hAnsi="Times New Roman;Times;serif"/>
          <w:spacing w:val="-7"/>
          <w:sz w:val="20"/>
        </w:rPr>
        <w:t xml:space="preserve"> </w:t>
      </w:r>
      <w:r>
        <w:rPr>
          <w:rFonts w:ascii="Times New Roman;Times;serif" w:hAnsi="Times New Roman;Times;serif"/>
          <w:sz w:val="20"/>
        </w:rPr>
        <w:t>amended</w:t>
      </w:r>
      <w:r>
        <w:rPr>
          <w:rFonts w:ascii="Times New Roman;Times;serif" w:hAnsi="Times New Roman;Times;serif"/>
          <w:spacing w:val="-7"/>
          <w:sz w:val="20"/>
        </w:rPr>
        <w:t xml:space="preserve"> </w:t>
      </w:r>
      <w:r>
        <w:rPr>
          <w:rFonts w:ascii="Times New Roman;Times;serif" w:hAnsi="Times New Roman;Times;serif"/>
          <w:sz w:val="20"/>
        </w:rPr>
        <w:t>its</w:t>
      </w:r>
      <w:r>
        <w:rPr>
          <w:rFonts w:ascii="Times New Roman;Times;serif" w:hAnsi="Times New Roman;Times;serif"/>
          <w:spacing w:val="-7"/>
          <w:sz w:val="20"/>
        </w:rPr>
        <w:t xml:space="preserve"> </w:t>
      </w:r>
      <w:r>
        <w:rPr>
          <w:rFonts w:ascii="Times New Roman;Times;serif" w:hAnsi="Times New Roman;Times;serif"/>
          <w:sz w:val="20"/>
        </w:rPr>
        <w:t>rules</w:t>
      </w:r>
      <w:r>
        <w:rPr>
          <w:rFonts w:ascii="Times New Roman;Times;serif" w:hAnsi="Times New Roman;Times;serif"/>
          <w:spacing w:val="-9"/>
          <w:sz w:val="20"/>
        </w:rPr>
        <w:t xml:space="preserve"> </w:t>
      </w:r>
      <w:r>
        <w:rPr>
          <w:rFonts w:ascii="Times New Roman;Times;serif" w:hAnsi="Times New Roman;Times;serif"/>
          <w:sz w:val="20"/>
        </w:rPr>
        <w:t>to</w:t>
      </w:r>
      <w:r>
        <w:rPr>
          <w:rFonts w:ascii="Times New Roman;Times;serif" w:hAnsi="Times New Roman;Times;serif"/>
          <w:spacing w:val="-5"/>
          <w:sz w:val="20"/>
        </w:rPr>
        <w:t xml:space="preserve"> </w:t>
      </w:r>
      <w:r>
        <w:rPr>
          <w:rFonts w:ascii="Times New Roman;Times;serif" w:hAnsi="Times New Roman;Times;serif"/>
          <w:sz w:val="20"/>
        </w:rPr>
        <w:t>increase</w:t>
      </w:r>
      <w:r>
        <w:rPr>
          <w:rFonts w:ascii="Times New Roman;Times;serif" w:hAnsi="Times New Roman;Times;serif"/>
          <w:spacing w:val="-6"/>
          <w:sz w:val="20"/>
        </w:rPr>
        <w:t xml:space="preserve"> </w:t>
      </w:r>
      <w:r>
        <w:rPr>
          <w:rFonts w:ascii="Times New Roman;Times;serif" w:hAnsi="Times New Roman;Times;serif"/>
          <w:sz w:val="20"/>
        </w:rPr>
        <w:t>plant</w:t>
      </w:r>
      <w:r>
        <w:rPr>
          <w:rFonts w:ascii="Times New Roman;Times;serif" w:hAnsi="Times New Roman;Times;serif"/>
          <w:spacing w:val="-7"/>
          <w:sz w:val="20"/>
        </w:rPr>
        <w:t xml:space="preserve"> </w:t>
      </w:r>
      <w:r>
        <w:rPr>
          <w:rFonts w:ascii="Times New Roman;Times;serif" w:hAnsi="Times New Roman;Times;serif"/>
          <w:sz w:val="20"/>
        </w:rPr>
        <w:t>counts</w:t>
      </w:r>
      <w:r>
        <w:rPr>
          <w:rFonts w:ascii="Times New Roman;Times;serif" w:hAnsi="Times New Roman;Times;serif"/>
          <w:spacing w:val="-5"/>
          <w:sz w:val="20"/>
        </w:rPr>
        <w:t xml:space="preserve"> </w:t>
      </w:r>
      <w:r>
        <w:rPr>
          <w:rFonts w:ascii="Times New Roman;Times;serif" w:hAnsi="Times New Roman;Times;serif"/>
          <w:sz w:val="20"/>
        </w:rPr>
        <w:t>for</w:t>
      </w:r>
      <w:r>
        <w:rPr>
          <w:rFonts w:ascii="Times New Roman;Times;serif" w:hAnsi="Times New Roman;Times;serif"/>
          <w:spacing w:val="-3"/>
          <w:sz w:val="20"/>
        </w:rPr>
        <w:t xml:space="preserve"> </w:t>
      </w:r>
      <w:r>
        <w:rPr>
          <w:rFonts w:ascii="Times New Roman;Times;serif" w:hAnsi="Times New Roman;Times;serif"/>
          <w:sz w:val="20"/>
        </w:rPr>
        <w:t>most</w:t>
      </w:r>
      <w:r>
        <w:rPr>
          <w:rFonts w:ascii="Times New Roman;Times;serif" w:hAnsi="Times New Roman;Times;serif"/>
          <w:spacing w:val="-5"/>
          <w:sz w:val="20"/>
        </w:rPr>
        <w:t xml:space="preserve"> </w:t>
      </w:r>
      <w:r>
        <w:rPr>
          <w:rFonts w:ascii="Times New Roman;Times;serif" w:hAnsi="Times New Roman;Times;serif"/>
          <w:sz w:val="20"/>
        </w:rPr>
        <w:t>license</w:t>
      </w:r>
      <w:r>
        <w:rPr>
          <w:rFonts w:ascii="Times New Roman;Times;serif" w:hAnsi="Times New Roman;Times;serif"/>
          <w:spacing w:val="-8"/>
          <w:sz w:val="20"/>
        </w:rPr>
        <w:t xml:space="preserve"> </w:t>
      </w:r>
      <w:r>
        <w:rPr>
          <w:rFonts w:ascii="Times New Roman;Times;serif" w:hAnsi="Times New Roman;Times;serif"/>
          <w:sz w:val="20"/>
        </w:rPr>
        <w:t>types</w:t>
      </w:r>
      <w:r>
        <w:rPr>
          <w:rFonts w:ascii="Times New Roman;Times;serif" w:hAnsi="Times New Roman;Times;serif"/>
          <w:spacing w:val="-9"/>
          <w:sz w:val="20"/>
        </w:rPr>
        <w:t xml:space="preserve"> </w:t>
      </w:r>
      <w:r>
        <w:rPr>
          <w:rFonts w:ascii="Times New Roman;Times;serif" w:hAnsi="Times New Roman;Times;serif"/>
          <w:sz w:val="20"/>
        </w:rPr>
        <w:t>and</w:t>
      </w:r>
      <w:r>
        <w:rPr>
          <w:rFonts w:ascii="Times New Roman;Times;serif" w:hAnsi="Times New Roman;Times;serif"/>
          <w:spacing w:val="-5"/>
          <w:sz w:val="20"/>
        </w:rPr>
        <w:t xml:space="preserve"> </w:t>
      </w:r>
      <w:r>
        <w:rPr>
          <w:rFonts w:ascii="Times New Roman;Times;serif" w:hAnsi="Times New Roman;Times;serif"/>
          <w:sz w:val="20"/>
        </w:rPr>
        <w:t>modified the</w:t>
      </w:r>
      <w:r>
        <w:rPr>
          <w:rFonts w:ascii="Times New Roman;Times;serif" w:hAnsi="Times New Roman;Times;serif"/>
          <w:spacing w:val="8"/>
          <w:sz w:val="20"/>
        </w:rPr>
        <w:t xml:space="preserve"> </w:t>
      </w:r>
      <w:r>
        <w:rPr>
          <w:rFonts w:ascii="Times New Roman;Times;serif" w:hAnsi="Times New Roman;Times;serif"/>
          <w:sz w:val="20"/>
        </w:rPr>
        <w:t>testing requirements for</w:t>
      </w:r>
      <w:r>
        <w:rPr>
          <w:rFonts w:ascii="Times New Roman;Times;serif" w:hAnsi="Times New Roman;Times;serif"/>
          <w:spacing w:val="9"/>
          <w:sz w:val="20"/>
        </w:rPr>
        <w:t xml:space="preserve"> </w:t>
      </w:r>
      <w:r>
        <w:rPr>
          <w:rFonts w:ascii="Times New Roman;Times;serif" w:hAnsi="Times New Roman;Times;serif"/>
          <w:sz w:val="20"/>
        </w:rPr>
        <w:t>cannabis</w:t>
      </w:r>
      <w:r>
        <w:rPr>
          <w:rFonts w:ascii="Times New Roman;Times;serif" w:hAnsi="Times New Roman;Times;serif"/>
          <w:spacing w:val="7"/>
          <w:sz w:val="20"/>
        </w:rPr>
        <w:t xml:space="preserve"> </w:t>
      </w:r>
      <w:r>
        <w:rPr>
          <w:rFonts w:ascii="Times New Roman;Times;serif" w:hAnsi="Times New Roman;Times;serif"/>
          <w:sz w:val="20"/>
        </w:rPr>
        <w:t>products.</w:t>
      </w:r>
      <w:r>
        <w:rPr>
          <w:rFonts w:ascii="Times New Roman;Times;serif" w:hAnsi="Times New Roman;Times;serif"/>
          <w:spacing w:val="7"/>
          <w:sz w:val="20"/>
        </w:rPr>
        <w:t xml:space="preserve"> </w:t>
      </w:r>
      <w:r>
        <w:rPr>
          <w:rFonts w:ascii="Times New Roman;Times;serif" w:hAnsi="Times New Roman;Times;serif"/>
          <w:sz w:val="20"/>
        </w:rPr>
        <w:t>Since</w:t>
      </w:r>
      <w:r>
        <w:rPr>
          <w:rFonts w:ascii="Times New Roman;Times;serif" w:hAnsi="Times New Roman;Times;serif"/>
          <w:spacing w:val="9"/>
          <w:sz w:val="20"/>
        </w:rPr>
        <w:t xml:space="preserve"> </w:t>
      </w:r>
      <w:r>
        <w:rPr>
          <w:rFonts w:ascii="Times New Roman;Times;serif" w:hAnsi="Times New Roman;Times;serif"/>
          <w:sz w:val="20"/>
        </w:rPr>
        <w:t>April</w:t>
      </w:r>
      <w:r>
        <w:rPr>
          <w:rFonts w:ascii="Times New Roman;Times;serif" w:hAnsi="Times New Roman;Times;serif"/>
          <w:spacing w:val="7"/>
          <w:sz w:val="20"/>
        </w:rPr>
        <w:t xml:space="preserve"> </w:t>
      </w:r>
      <w:r>
        <w:rPr>
          <w:rFonts w:ascii="Times New Roman;Times;serif" w:hAnsi="Times New Roman;Times;serif"/>
          <w:sz w:val="20"/>
        </w:rPr>
        <w:t>1,</w:t>
      </w:r>
      <w:r>
        <w:rPr>
          <w:rFonts w:ascii="Times New Roman;Times;serif" w:hAnsi="Times New Roman;Times;serif"/>
          <w:spacing w:val="7"/>
          <w:sz w:val="20"/>
        </w:rPr>
        <w:t xml:space="preserve"> </w:t>
      </w:r>
      <w:r>
        <w:rPr>
          <w:rFonts w:ascii="Times New Roman;Times;serif" w:hAnsi="Times New Roman;Times;serif"/>
          <w:sz w:val="20"/>
        </w:rPr>
        <w:t>2022, there</w:t>
      </w:r>
      <w:r>
        <w:rPr>
          <w:rFonts w:ascii="Times New Roman;Times;serif" w:hAnsi="Times New Roman;Times;serif"/>
          <w:spacing w:val="7"/>
          <w:sz w:val="20"/>
        </w:rPr>
        <w:t xml:space="preserve"> </w:t>
      </w:r>
      <w:r>
        <w:rPr>
          <w:rFonts w:ascii="Times New Roman;Times;serif" w:hAnsi="Times New Roman;Times;serif"/>
          <w:sz w:val="20"/>
        </w:rPr>
        <w:t>have</w:t>
      </w:r>
      <w:r>
        <w:rPr>
          <w:rFonts w:ascii="Times New Roman;Times;serif" w:hAnsi="Times New Roman;Times;serif"/>
          <w:spacing w:val="7"/>
          <w:sz w:val="20"/>
        </w:rPr>
        <w:t xml:space="preserve"> </w:t>
      </w:r>
      <w:r>
        <w:rPr>
          <w:rFonts w:ascii="Times New Roman;Times;serif" w:hAnsi="Times New Roman;Times;serif"/>
          <w:sz w:val="20"/>
        </w:rPr>
        <w:t>been</w:t>
      </w:r>
      <w:r>
        <w:rPr>
          <w:rFonts w:ascii="Times New Roman;Times;serif" w:hAnsi="Times New Roman;Times;serif"/>
          <w:spacing w:val="7"/>
          <w:sz w:val="20"/>
        </w:rPr>
        <w:t xml:space="preserve"> </w:t>
      </w:r>
      <w:r>
        <w:rPr>
          <w:rFonts w:ascii="Times New Roman;Times;serif" w:hAnsi="Times New Roman;Times;serif"/>
          <w:sz w:val="20"/>
        </w:rPr>
        <w:t>no</w:t>
      </w:r>
      <w:r>
        <w:rPr>
          <w:rFonts w:ascii="Times New Roman;Times;serif" w:hAnsi="Times New Roman;Times;serif"/>
          <w:spacing w:val="7"/>
          <w:sz w:val="20"/>
        </w:rPr>
        <w:t xml:space="preserve"> </w:t>
      </w:r>
      <w:r>
        <w:rPr>
          <w:rFonts w:ascii="Times New Roman;Times;serif" w:hAnsi="Times New Roman;Times;serif"/>
          <w:sz w:val="20"/>
        </w:rPr>
        <w:t>substantive</w:t>
      </w:r>
      <w:r>
        <w:rPr>
          <w:rFonts w:ascii="Times New Roman;Times;serif" w:hAnsi="Times New Roman;Times;serif"/>
          <w:spacing w:val="7"/>
          <w:sz w:val="20"/>
        </w:rPr>
        <w:t xml:space="preserve"> </w:t>
      </w:r>
      <w:r>
        <w:rPr>
          <w:rFonts w:ascii="Times New Roman;Times;serif" w:hAnsi="Times New Roman;Times;serif"/>
          <w:sz w:val="20"/>
        </w:rPr>
        <w:t>changes in</w:t>
      </w:r>
      <w:r>
        <w:rPr>
          <w:rFonts w:ascii="Times New Roman;Times;serif" w:hAnsi="Times New Roman;Times;serif"/>
          <w:spacing w:val="7"/>
          <w:sz w:val="20"/>
        </w:rPr>
        <w:t xml:space="preserve"> </w:t>
      </w:r>
      <w:r>
        <w:rPr>
          <w:rFonts w:ascii="Times New Roman;Times;serif" w:hAnsi="Times New Roman;Times;serif"/>
          <w:sz w:val="20"/>
        </w:rPr>
        <w:t>New Mexico’s</w:t>
      </w:r>
      <w:r>
        <w:rPr>
          <w:rFonts w:ascii="Times New Roman;Times;serif" w:hAnsi="Times New Roman;Times;serif"/>
          <w:spacing w:val="-1"/>
          <w:sz w:val="20"/>
        </w:rPr>
        <w:t xml:space="preserve"> </w:t>
      </w:r>
      <w:r>
        <w:rPr>
          <w:rFonts w:ascii="Times New Roman;Times;serif" w:hAnsi="Times New Roman;Times;serif"/>
          <w:sz w:val="20"/>
        </w:rPr>
        <w:t>regulatory</w:t>
      </w:r>
      <w:r>
        <w:rPr>
          <w:rFonts w:ascii="Times New Roman;Times;serif" w:hAnsi="Times New Roman;Times;serif"/>
          <w:spacing w:val="-3"/>
          <w:sz w:val="20"/>
        </w:rPr>
        <w:t xml:space="preserve"> </w:t>
      </w:r>
      <w:r>
        <w:rPr>
          <w:rFonts w:ascii="Times New Roman;Times;serif" w:hAnsi="Times New Roman;Times;serif"/>
          <w:sz w:val="20"/>
        </w:rPr>
        <w:t>framework.</w:t>
      </w:r>
    </w:p>
    <w:p>
      <w:pPr>
        <w:pStyle w:val="TextBody"/>
        <w:spacing w:before="0" w:after="240"/>
        <w:ind w:left="40" w:right="124" w:hanging="0"/>
        <w:jc w:val="both"/>
        <w:rPr>
          <w:rFonts w:ascii="Times New Roman;Times;serif" w:hAnsi="Times New Roman;Times;serif"/>
          <w:sz w:val="20"/>
        </w:rPr>
      </w:pPr>
      <w:r>
        <w:rPr>
          <w:rFonts w:ascii="Times New Roman;Times;serif" w:hAnsi="Times New Roman;Times;serif"/>
          <w:sz w:val="20"/>
        </w:rPr>
        <w:t>The Company</w:t>
      </w:r>
      <w:r>
        <w:rPr>
          <w:rFonts w:ascii="Times New Roman;Times;serif" w:hAnsi="Times New Roman;Times;serif"/>
          <w:spacing w:val="12"/>
          <w:sz w:val="20"/>
        </w:rPr>
        <w:t xml:space="preserve"> </w:t>
      </w:r>
      <w:r>
        <w:rPr>
          <w:rFonts w:ascii="Times New Roman;Times;serif" w:hAnsi="Times New Roman;Times;serif"/>
          <w:sz w:val="20"/>
        </w:rPr>
        <w:t>is</w:t>
      </w:r>
      <w:r>
        <w:rPr>
          <w:rFonts w:ascii="Times New Roman;Times;serif" w:hAnsi="Times New Roman;Times;serif"/>
          <w:spacing w:val="10"/>
          <w:sz w:val="20"/>
        </w:rPr>
        <w:t xml:space="preserve"> </w:t>
      </w:r>
      <w:r>
        <w:rPr>
          <w:rFonts w:ascii="Times New Roman;Times;serif" w:hAnsi="Times New Roman;Times;serif"/>
          <w:sz w:val="20"/>
        </w:rPr>
        <w:t>in</w:t>
      </w:r>
      <w:r>
        <w:rPr>
          <w:rFonts w:ascii="Times New Roman;Times;serif" w:hAnsi="Times New Roman;Times;serif"/>
          <w:spacing w:val="10"/>
          <w:sz w:val="20"/>
        </w:rPr>
        <w:t xml:space="preserve"> </w:t>
      </w:r>
      <w:r>
        <w:rPr>
          <w:rFonts w:ascii="Times New Roman;Times;serif" w:hAnsi="Times New Roman;Times;serif"/>
          <w:sz w:val="20"/>
        </w:rPr>
        <w:t>compliance</w:t>
      </w:r>
      <w:r>
        <w:rPr>
          <w:rFonts w:ascii="Times New Roman;Times;serif" w:hAnsi="Times New Roman;Times;serif"/>
          <w:spacing w:val="13"/>
          <w:sz w:val="20"/>
        </w:rPr>
        <w:t xml:space="preserve"> </w:t>
      </w:r>
      <w:r>
        <w:rPr>
          <w:rFonts w:ascii="Times New Roman;Times;serif" w:hAnsi="Times New Roman;Times;serif"/>
          <w:sz w:val="20"/>
        </w:rPr>
        <w:t>with</w:t>
      </w:r>
      <w:r>
        <w:rPr>
          <w:rFonts w:ascii="Times New Roman;Times;serif" w:hAnsi="Times New Roman;Times;serif"/>
          <w:spacing w:val="10"/>
          <w:sz w:val="20"/>
        </w:rPr>
        <w:t xml:space="preserve"> </w:t>
      </w:r>
      <w:r>
        <w:rPr>
          <w:rFonts w:ascii="Times New Roman;Times;serif" w:hAnsi="Times New Roman;Times;serif"/>
          <w:sz w:val="20"/>
        </w:rPr>
        <w:t>applicable</w:t>
      </w:r>
      <w:r>
        <w:rPr>
          <w:rFonts w:ascii="Times New Roman;Times;serif" w:hAnsi="Times New Roman;Times;serif"/>
          <w:spacing w:val="11"/>
          <w:sz w:val="20"/>
        </w:rPr>
        <w:t xml:space="preserve"> </w:t>
      </w:r>
      <w:r>
        <w:rPr>
          <w:rFonts w:ascii="Times New Roman;Times;serif" w:hAnsi="Times New Roman;Times;serif"/>
          <w:sz w:val="20"/>
        </w:rPr>
        <w:t>licensing</w:t>
      </w:r>
      <w:r>
        <w:rPr>
          <w:rFonts w:ascii="Times New Roman;Times;serif" w:hAnsi="Times New Roman;Times;serif"/>
          <w:spacing w:val="7"/>
          <w:sz w:val="20"/>
        </w:rPr>
        <w:t xml:space="preserve"> </w:t>
      </w:r>
      <w:r>
        <w:rPr>
          <w:rFonts w:ascii="Times New Roman;Times;serif" w:hAnsi="Times New Roman;Times;serif"/>
          <w:sz w:val="20"/>
        </w:rPr>
        <w:t>requirements</w:t>
      </w:r>
      <w:r>
        <w:rPr>
          <w:rFonts w:ascii="Times New Roman;Times;serif" w:hAnsi="Times New Roman;Times;serif"/>
          <w:spacing w:val="10"/>
          <w:sz w:val="20"/>
        </w:rPr>
        <w:t xml:space="preserve"> </w:t>
      </w:r>
      <w:r>
        <w:rPr>
          <w:rFonts w:ascii="Times New Roman;Times;serif" w:hAnsi="Times New Roman;Times;serif"/>
          <w:sz w:val="20"/>
        </w:rPr>
        <w:t>and</w:t>
      </w:r>
      <w:r>
        <w:rPr>
          <w:rFonts w:ascii="Times New Roman;Times;serif" w:hAnsi="Times New Roman;Times;serif"/>
          <w:spacing w:val="12"/>
          <w:sz w:val="20"/>
        </w:rPr>
        <w:t xml:space="preserve"> </w:t>
      </w:r>
      <w:r>
        <w:rPr>
          <w:rFonts w:ascii="Times New Roman;Times;serif" w:hAnsi="Times New Roman;Times;serif"/>
          <w:sz w:val="20"/>
        </w:rPr>
        <w:t>the</w:t>
      </w:r>
      <w:r>
        <w:rPr>
          <w:rFonts w:ascii="Times New Roman;Times;serif" w:hAnsi="Times New Roman;Times;serif"/>
          <w:spacing w:val="10"/>
          <w:sz w:val="20"/>
        </w:rPr>
        <w:t xml:space="preserve"> </w:t>
      </w:r>
      <w:r>
        <w:rPr>
          <w:rFonts w:ascii="Times New Roman;Times;serif" w:hAnsi="Times New Roman;Times;serif"/>
          <w:sz w:val="20"/>
        </w:rPr>
        <w:t>regulatory</w:t>
      </w:r>
      <w:r>
        <w:rPr>
          <w:rFonts w:ascii="Times New Roman;Times;serif" w:hAnsi="Times New Roman;Times;serif"/>
          <w:spacing w:val="7"/>
          <w:sz w:val="20"/>
        </w:rPr>
        <w:t xml:space="preserve"> </w:t>
      </w:r>
      <w:r>
        <w:rPr>
          <w:rFonts w:ascii="Times New Roman;Times;serif" w:hAnsi="Times New Roman;Times;serif"/>
          <w:sz w:val="20"/>
        </w:rPr>
        <w:t>framework</w:t>
      </w:r>
      <w:r>
        <w:rPr>
          <w:rFonts w:ascii="Times New Roman;Times;serif" w:hAnsi="Times New Roman;Times;serif"/>
          <w:spacing w:val="10"/>
          <w:sz w:val="20"/>
        </w:rPr>
        <w:t xml:space="preserve"> </w:t>
      </w:r>
      <w:r>
        <w:rPr>
          <w:rFonts w:ascii="Times New Roman;Times;serif" w:hAnsi="Times New Roman;Times;serif"/>
          <w:sz w:val="20"/>
        </w:rPr>
        <w:t>enacted</w:t>
      </w:r>
      <w:r>
        <w:rPr>
          <w:rFonts w:ascii="Times New Roman;Times;serif" w:hAnsi="Times New Roman;Times;serif"/>
          <w:spacing w:val="12"/>
          <w:sz w:val="20"/>
        </w:rPr>
        <w:t xml:space="preserve"> </w:t>
      </w:r>
      <w:r>
        <w:rPr>
          <w:rFonts w:ascii="Times New Roman;Times;serif" w:hAnsi="Times New Roman;Times;serif"/>
          <w:sz w:val="20"/>
        </w:rPr>
        <w:t>by</w:t>
      </w:r>
      <w:r>
        <w:rPr>
          <w:rFonts w:ascii="Times New Roman;Times;serif" w:hAnsi="Times New Roman;Times;serif"/>
          <w:spacing w:val="7"/>
          <w:sz w:val="20"/>
        </w:rPr>
        <w:t xml:space="preserve"> </w:t>
      </w:r>
      <w:r>
        <w:rPr>
          <w:rFonts w:ascii="Times New Roman;Times;serif" w:hAnsi="Times New Roman;Times;serif"/>
          <w:sz w:val="20"/>
        </w:rPr>
        <w:t>the</w:t>
      </w:r>
      <w:r>
        <w:rPr>
          <w:rFonts w:ascii="Times New Roman;Times;serif" w:hAnsi="Times New Roman;Times;serif"/>
          <w:spacing w:val="11"/>
          <w:sz w:val="20"/>
        </w:rPr>
        <w:t xml:space="preserve"> </w:t>
      </w:r>
      <w:r>
        <w:rPr>
          <w:rFonts w:ascii="Times New Roman;Times;serif" w:hAnsi="Times New Roman;Times;serif"/>
          <w:sz w:val="20"/>
        </w:rPr>
        <w:t>State</w:t>
      </w:r>
      <w:r>
        <w:rPr>
          <w:rFonts w:ascii="Times New Roman;Times;serif" w:hAnsi="Times New Roman;Times;serif"/>
          <w:spacing w:val="11"/>
          <w:sz w:val="20"/>
        </w:rPr>
        <w:t xml:space="preserve"> </w:t>
      </w:r>
      <w:r>
        <w:rPr>
          <w:rFonts w:ascii="Times New Roman;Times;serif" w:hAnsi="Times New Roman;Times;serif"/>
          <w:sz w:val="20"/>
        </w:rPr>
        <w:t>of New</w:t>
      </w:r>
      <w:r>
        <w:rPr>
          <w:rFonts w:ascii="Times New Roman;Times;serif" w:hAnsi="Times New Roman;Times;serif"/>
          <w:spacing w:val="30"/>
          <w:sz w:val="20"/>
        </w:rPr>
        <w:t xml:space="preserve"> </w:t>
      </w:r>
      <w:r>
        <w:rPr>
          <w:rFonts w:ascii="Times New Roman;Times;serif" w:hAnsi="Times New Roman;Times;serif"/>
          <w:sz w:val="20"/>
        </w:rPr>
        <w:t>Mexico.</w:t>
      </w:r>
      <w:r>
        <w:rPr>
          <w:rFonts w:ascii="Times New Roman;Times;serif" w:hAnsi="Times New Roman;Times;serif"/>
          <w:spacing w:val="34"/>
          <w:sz w:val="20"/>
        </w:rPr>
        <w:t xml:space="preserve"> </w:t>
      </w:r>
      <w:r>
        <w:rPr>
          <w:rFonts w:ascii="Times New Roman;Times;serif" w:hAnsi="Times New Roman;Times;serif"/>
          <w:sz w:val="20"/>
        </w:rPr>
        <w:t>Any</w:t>
      </w:r>
      <w:r>
        <w:rPr>
          <w:rFonts w:ascii="Times New Roman;Times;serif" w:hAnsi="Times New Roman;Times;serif"/>
          <w:spacing w:val="32"/>
          <w:sz w:val="20"/>
        </w:rPr>
        <w:t xml:space="preserve"> </w:t>
      </w:r>
      <w:r>
        <w:rPr>
          <w:rFonts w:ascii="Times New Roman;Times;serif" w:hAnsi="Times New Roman;Times;serif"/>
          <w:sz w:val="20"/>
        </w:rPr>
        <w:t>non-compliance</w:t>
      </w:r>
      <w:r>
        <w:rPr>
          <w:rFonts w:ascii="Times New Roman;Times;serif" w:hAnsi="Times New Roman;Times;serif"/>
          <w:spacing w:val="35"/>
          <w:sz w:val="20"/>
        </w:rPr>
        <w:t xml:space="preserve"> </w:t>
      </w:r>
      <w:r>
        <w:rPr>
          <w:rFonts w:ascii="Times New Roman;Times;serif" w:hAnsi="Times New Roman;Times;serif"/>
          <w:sz w:val="20"/>
        </w:rPr>
        <w:t>citations</w:t>
      </w:r>
      <w:r>
        <w:rPr>
          <w:rFonts w:ascii="Times New Roman;Times;serif" w:hAnsi="Times New Roman;Times;serif"/>
          <w:spacing w:val="34"/>
          <w:sz w:val="20"/>
        </w:rPr>
        <w:t xml:space="preserve"> </w:t>
      </w:r>
      <w:r>
        <w:rPr>
          <w:rFonts w:ascii="Times New Roman;Times;serif" w:hAnsi="Times New Roman;Times;serif"/>
          <w:sz w:val="20"/>
        </w:rPr>
        <w:t>or</w:t>
      </w:r>
      <w:r>
        <w:rPr>
          <w:rFonts w:ascii="Times New Roman;Times;serif" w:hAnsi="Times New Roman;Times;serif"/>
          <w:spacing w:val="35"/>
          <w:sz w:val="20"/>
        </w:rPr>
        <w:t xml:space="preserve"> </w:t>
      </w:r>
      <w:r>
        <w:rPr>
          <w:rFonts w:ascii="Times New Roman;Times;serif" w:hAnsi="Times New Roman;Times;serif"/>
          <w:sz w:val="20"/>
        </w:rPr>
        <w:t>notices</w:t>
      </w:r>
      <w:r>
        <w:rPr>
          <w:rFonts w:ascii="Times New Roman;Times;serif" w:hAnsi="Times New Roman;Times;serif"/>
          <w:spacing w:val="34"/>
          <w:sz w:val="20"/>
        </w:rPr>
        <w:t xml:space="preserve"> </w:t>
      </w:r>
      <w:r>
        <w:rPr>
          <w:rFonts w:ascii="Times New Roman;Times;serif" w:hAnsi="Times New Roman;Times;serif"/>
          <w:sz w:val="20"/>
        </w:rPr>
        <w:t>of</w:t>
      </w:r>
      <w:r>
        <w:rPr>
          <w:rFonts w:ascii="Times New Roman;Times;serif" w:hAnsi="Times New Roman;Times;serif"/>
          <w:spacing w:val="34"/>
          <w:sz w:val="20"/>
        </w:rPr>
        <w:t xml:space="preserve"> </w:t>
      </w:r>
      <w:r>
        <w:rPr>
          <w:rFonts w:ascii="Times New Roman;Times;serif" w:hAnsi="Times New Roman;Times;serif"/>
          <w:sz w:val="20"/>
        </w:rPr>
        <w:t>violation</w:t>
      </w:r>
      <w:r>
        <w:rPr>
          <w:rFonts w:ascii="Times New Roman;Times;serif" w:hAnsi="Times New Roman;Times;serif"/>
          <w:spacing w:val="36"/>
          <w:sz w:val="20"/>
        </w:rPr>
        <w:t xml:space="preserve"> </w:t>
      </w:r>
      <w:r>
        <w:rPr>
          <w:rFonts w:ascii="Times New Roman;Times;serif" w:hAnsi="Times New Roman;Times;serif"/>
          <w:sz w:val="20"/>
        </w:rPr>
        <w:t>which</w:t>
      </w:r>
      <w:r>
        <w:rPr>
          <w:rFonts w:ascii="Times New Roman;Times;serif" w:hAnsi="Times New Roman;Times;serif"/>
          <w:spacing w:val="36"/>
          <w:sz w:val="20"/>
        </w:rPr>
        <w:t xml:space="preserve"> </w:t>
      </w:r>
      <w:r>
        <w:rPr>
          <w:rFonts w:ascii="Times New Roman;Times;serif" w:hAnsi="Times New Roman;Times;serif"/>
          <w:sz w:val="20"/>
        </w:rPr>
        <w:t>may</w:t>
      </w:r>
      <w:r>
        <w:rPr>
          <w:rFonts w:ascii="Times New Roman;Times;serif" w:hAnsi="Times New Roman;Times;serif"/>
          <w:spacing w:val="34"/>
          <w:sz w:val="20"/>
        </w:rPr>
        <w:t xml:space="preserve"> </w:t>
      </w:r>
      <w:r>
        <w:rPr>
          <w:rFonts w:ascii="Times New Roman;Times;serif" w:hAnsi="Times New Roman;Times;serif"/>
          <w:sz w:val="20"/>
        </w:rPr>
        <w:t>have</w:t>
      </w:r>
      <w:r>
        <w:rPr>
          <w:rFonts w:ascii="Times New Roman;Times;serif" w:hAnsi="Times New Roman;Times;serif"/>
          <w:spacing w:val="35"/>
          <w:sz w:val="20"/>
        </w:rPr>
        <w:t xml:space="preserve"> </w:t>
      </w:r>
      <w:r>
        <w:rPr>
          <w:rFonts w:ascii="Times New Roman;Times;serif" w:hAnsi="Times New Roman;Times;serif"/>
          <w:sz w:val="20"/>
        </w:rPr>
        <w:t>an</w:t>
      </w:r>
      <w:r>
        <w:rPr>
          <w:rFonts w:ascii="Times New Roman;Times;serif" w:hAnsi="Times New Roman;Times;serif"/>
          <w:spacing w:val="34"/>
          <w:sz w:val="20"/>
        </w:rPr>
        <w:t xml:space="preserve"> </w:t>
      </w:r>
      <w:r>
        <w:rPr>
          <w:rFonts w:ascii="Times New Roman;Times;serif" w:hAnsi="Times New Roman;Times;serif"/>
          <w:sz w:val="20"/>
        </w:rPr>
        <w:t>impact</w:t>
      </w:r>
      <w:r>
        <w:rPr>
          <w:rFonts w:ascii="Times New Roman;Times;serif" w:hAnsi="Times New Roman;Times;serif"/>
          <w:spacing w:val="34"/>
          <w:sz w:val="20"/>
        </w:rPr>
        <w:t xml:space="preserve"> </w:t>
      </w:r>
      <w:r>
        <w:rPr>
          <w:rFonts w:ascii="Times New Roman;Times;serif" w:hAnsi="Times New Roman;Times;serif"/>
          <w:sz w:val="20"/>
        </w:rPr>
        <w:t>on</w:t>
      </w:r>
      <w:r>
        <w:rPr>
          <w:rFonts w:ascii="Times New Roman;Times;serif" w:hAnsi="Times New Roman;Times;serif"/>
          <w:spacing w:val="34"/>
          <w:sz w:val="20"/>
        </w:rPr>
        <w:t xml:space="preserve"> </w:t>
      </w:r>
      <w:r>
        <w:rPr>
          <w:rFonts w:ascii="Times New Roman;Times;serif" w:hAnsi="Times New Roman;Times;serif"/>
          <w:sz w:val="20"/>
        </w:rPr>
        <w:t>the Company’s licensing,</w:t>
      </w:r>
      <w:r>
        <w:rPr>
          <w:rFonts w:ascii="Times New Roman;Times;serif" w:hAnsi="Times New Roman;Times;serif"/>
          <w:spacing w:val="-7"/>
          <w:sz w:val="20"/>
        </w:rPr>
        <w:t xml:space="preserve"> </w:t>
      </w:r>
      <w:r>
        <w:rPr>
          <w:rFonts w:ascii="Times New Roman;Times;serif" w:hAnsi="Times New Roman;Times;serif"/>
          <w:sz w:val="20"/>
        </w:rPr>
        <w:t>business</w:t>
      </w:r>
      <w:r>
        <w:rPr>
          <w:rFonts w:ascii="Times New Roman;Times;serif" w:hAnsi="Times New Roman;Times;serif"/>
          <w:spacing w:val="-9"/>
          <w:sz w:val="20"/>
        </w:rPr>
        <w:t xml:space="preserve"> </w:t>
      </w:r>
      <w:r>
        <w:rPr>
          <w:rFonts w:ascii="Times New Roman;Times;serif" w:hAnsi="Times New Roman;Times;serif"/>
          <w:sz w:val="20"/>
        </w:rPr>
        <w:t>activities</w:t>
      </w:r>
      <w:r>
        <w:rPr>
          <w:rFonts w:ascii="Times New Roman;Times;serif" w:hAnsi="Times New Roman;Times;serif"/>
          <w:spacing w:val="-9"/>
          <w:sz w:val="20"/>
        </w:rPr>
        <w:t xml:space="preserve"> </w:t>
      </w:r>
      <w:r>
        <w:rPr>
          <w:rFonts w:ascii="Times New Roman;Times;serif" w:hAnsi="Times New Roman;Times;serif"/>
          <w:sz w:val="20"/>
        </w:rPr>
        <w:t>or</w:t>
      </w:r>
      <w:r>
        <w:rPr>
          <w:rFonts w:ascii="Times New Roman;Times;serif" w:hAnsi="Times New Roman;Times;serif"/>
          <w:spacing w:val="-7"/>
          <w:sz w:val="20"/>
        </w:rPr>
        <w:t xml:space="preserve"> </w:t>
      </w:r>
      <w:r>
        <w:rPr>
          <w:rFonts w:ascii="Times New Roman;Times;serif" w:hAnsi="Times New Roman;Times;serif"/>
          <w:sz w:val="20"/>
        </w:rPr>
        <w:t>operations</w:t>
      </w:r>
      <w:r>
        <w:rPr>
          <w:rFonts w:ascii="Times New Roman;Times;serif" w:hAnsi="Times New Roman;Times;serif"/>
          <w:spacing w:val="-9"/>
          <w:sz w:val="20"/>
        </w:rPr>
        <w:t xml:space="preserve"> </w:t>
      </w:r>
      <w:r>
        <w:rPr>
          <w:rFonts w:ascii="Times New Roman;Times;serif" w:hAnsi="Times New Roman;Times;serif"/>
          <w:sz w:val="20"/>
        </w:rPr>
        <w:t>are</w:t>
      </w:r>
      <w:r>
        <w:rPr>
          <w:rFonts w:ascii="Times New Roman;Times;serif" w:hAnsi="Times New Roman;Times;serif"/>
          <w:spacing w:val="-8"/>
          <w:sz w:val="20"/>
        </w:rPr>
        <w:t xml:space="preserve"> </w:t>
      </w:r>
      <w:r>
        <w:rPr>
          <w:rFonts w:ascii="Times New Roman;Times;serif" w:hAnsi="Times New Roman;Times;serif"/>
          <w:sz w:val="20"/>
        </w:rPr>
        <w:t>required</w:t>
      </w:r>
      <w:r>
        <w:rPr>
          <w:rFonts w:ascii="Times New Roman;Times;serif" w:hAnsi="Times New Roman;Times;serif"/>
          <w:spacing w:val="-9"/>
          <w:sz w:val="20"/>
        </w:rPr>
        <w:t xml:space="preserve"> </w:t>
      </w:r>
      <w:r>
        <w:rPr>
          <w:rFonts w:ascii="Times New Roman;Times;serif" w:hAnsi="Times New Roman;Times;serif"/>
          <w:sz w:val="20"/>
        </w:rPr>
        <w:t>by</w:t>
      </w:r>
      <w:r>
        <w:rPr>
          <w:rFonts w:ascii="Times New Roman;Times;serif" w:hAnsi="Times New Roman;Times;serif"/>
          <w:spacing w:val="-11"/>
          <w:sz w:val="20"/>
        </w:rPr>
        <w:t xml:space="preserve"> </w:t>
      </w:r>
      <w:r>
        <w:rPr>
          <w:rFonts w:ascii="Times New Roman;Times;serif" w:hAnsi="Times New Roman;Times;serif"/>
          <w:sz w:val="20"/>
        </w:rPr>
        <w:t>Staff</w:t>
      </w:r>
      <w:r>
        <w:rPr>
          <w:rFonts w:ascii="Times New Roman;Times;serif" w:hAnsi="Times New Roman;Times;serif"/>
          <w:spacing w:val="-7"/>
          <w:sz w:val="20"/>
        </w:rPr>
        <w:t xml:space="preserve"> </w:t>
      </w:r>
      <w:r>
        <w:rPr>
          <w:rFonts w:ascii="Times New Roman;Times;serif" w:hAnsi="Times New Roman;Times;serif"/>
          <w:sz w:val="20"/>
        </w:rPr>
        <w:t>Notice</w:t>
      </w:r>
      <w:r>
        <w:rPr>
          <w:rFonts w:ascii="Times New Roman;Times;serif" w:hAnsi="Times New Roman;Times;serif"/>
          <w:spacing w:val="-8"/>
          <w:sz w:val="20"/>
        </w:rPr>
        <w:t xml:space="preserve"> </w:t>
      </w:r>
      <w:r>
        <w:rPr>
          <w:rFonts w:ascii="Times New Roman;Times;serif" w:hAnsi="Times New Roman;Times;serif"/>
          <w:sz w:val="20"/>
        </w:rPr>
        <w:t>51-352</w:t>
      </w:r>
      <w:r>
        <w:rPr>
          <w:rFonts w:ascii="Times New Roman;Times;serif" w:hAnsi="Times New Roman;Times;serif"/>
          <w:spacing w:val="-7"/>
          <w:sz w:val="20"/>
        </w:rPr>
        <w:t xml:space="preserve"> </w:t>
      </w:r>
      <w:r>
        <w:rPr>
          <w:rFonts w:ascii="Times New Roman;Times;serif" w:hAnsi="Times New Roman;Times;serif"/>
          <w:sz w:val="20"/>
        </w:rPr>
        <w:t>to</w:t>
      </w:r>
      <w:r>
        <w:rPr>
          <w:rFonts w:ascii="Times New Roman;Times;serif" w:hAnsi="Times New Roman;Times;serif"/>
          <w:spacing w:val="-7"/>
          <w:sz w:val="20"/>
        </w:rPr>
        <w:t xml:space="preserve"> </w:t>
      </w:r>
      <w:r>
        <w:rPr>
          <w:rFonts w:ascii="Times New Roman;Times;serif" w:hAnsi="Times New Roman;Times;serif"/>
          <w:sz w:val="20"/>
        </w:rPr>
        <w:t>be</w:t>
      </w:r>
      <w:r>
        <w:rPr>
          <w:rFonts w:ascii="Times New Roman;Times;serif" w:hAnsi="Times New Roman;Times;serif"/>
          <w:spacing w:val="-10"/>
          <w:sz w:val="20"/>
        </w:rPr>
        <w:t xml:space="preserve"> </w:t>
      </w:r>
      <w:r>
        <w:rPr>
          <w:rFonts w:ascii="Times New Roman;Times;serif" w:hAnsi="Times New Roman;Times;serif"/>
          <w:sz w:val="20"/>
        </w:rPr>
        <w:t>promptly</w:t>
      </w:r>
      <w:r>
        <w:rPr>
          <w:rFonts w:ascii="Times New Roman;Times;serif" w:hAnsi="Times New Roman;Times;serif"/>
          <w:spacing w:val="-11"/>
          <w:sz w:val="20"/>
        </w:rPr>
        <w:t xml:space="preserve"> </w:t>
      </w:r>
      <w:r>
        <w:rPr>
          <w:rFonts w:ascii="Times New Roman;Times;serif" w:hAnsi="Times New Roman;Times;serif"/>
          <w:sz w:val="20"/>
        </w:rPr>
        <w:t>disclosed</w:t>
      </w:r>
      <w:r>
        <w:rPr>
          <w:rFonts w:ascii="Times New Roman;Times;serif" w:hAnsi="Times New Roman;Times;serif"/>
          <w:spacing w:val="-7"/>
          <w:sz w:val="20"/>
        </w:rPr>
        <w:t xml:space="preserve"> </w:t>
      </w:r>
      <w:r>
        <w:rPr>
          <w:rFonts w:ascii="Times New Roman;Times;serif" w:hAnsi="Times New Roman;Times;serif"/>
          <w:sz w:val="20"/>
        </w:rPr>
        <w:t>by</w:t>
      </w:r>
      <w:r>
        <w:rPr>
          <w:rFonts w:ascii="Times New Roman;Times;serif" w:hAnsi="Times New Roman;Times;serif"/>
          <w:spacing w:val="-11"/>
          <w:sz w:val="20"/>
        </w:rPr>
        <w:t xml:space="preserve"> </w:t>
      </w:r>
      <w:r>
        <w:rPr>
          <w:rFonts w:ascii="Times New Roman;Times;serif" w:hAnsi="Times New Roman;Times;serif"/>
          <w:sz w:val="20"/>
        </w:rPr>
        <w:t>the Company.</w:t>
      </w:r>
    </w:p>
    <w:p>
      <w:pPr>
        <w:pStyle w:val="TextBody"/>
        <w:spacing w:before="0" w:after="240"/>
        <w:ind w:left="87" w:right="0" w:hanging="0"/>
        <w:jc w:val="both"/>
        <w:rPr>
          <w:rFonts w:ascii="Times New Roman;Times;serif" w:hAnsi="Times New Roman;Times;serif"/>
          <w:i/>
          <w:sz w:val="20"/>
        </w:rPr>
      </w:pPr>
      <w:r>
        <w:rPr>
          <w:rFonts w:ascii="Times New Roman;Times;serif" w:hAnsi="Times New Roman;Times;serif"/>
          <w:i/>
          <w:sz w:val="20"/>
        </w:rPr>
        <w:t>New Mexico Licensing Requirements</w:t>
      </w:r>
    </w:p>
    <w:p>
      <w:pPr>
        <w:pStyle w:val="TextBody"/>
        <w:spacing w:before="0" w:after="0"/>
        <w:ind w:left="87" w:right="122" w:hanging="0"/>
        <w:jc w:val="both"/>
        <w:rPr>
          <w:rFonts w:ascii="Times New Roman;Times;serif" w:hAnsi="Times New Roman;Times;serif"/>
          <w:sz w:val="20"/>
        </w:rPr>
      </w:pPr>
      <w:r>
        <w:rPr>
          <w:rFonts w:ascii="Times New Roman;Times;serif" w:hAnsi="Times New Roman;Times;serif"/>
          <w:sz w:val="20"/>
        </w:rPr>
        <w:t>In</w:t>
      </w:r>
      <w:r>
        <w:rPr>
          <w:rFonts w:ascii="Times New Roman;Times;serif" w:hAnsi="Times New Roman;Times;serif"/>
          <w:spacing w:val="-12"/>
          <w:sz w:val="20"/>
        </w:rPr>
        <w:t xml:space="preserve"> </w:t>
      </w:r>
      <w:r>
        <w:rPr>
          <w:rFonts w:ascii="Times New Roman;Times;serif" w:hAnsi="Times New Roman;Times;serif"/>
          <w:sz w:val="20"/>
        </w:rPr>
        <w:t>New</w:t>
      </w:r>
      <w:r>
        <w:rPr>
          <w:rFonts w:ascii="Times New Roman;Times;serif" w:hAnsi="Times New Roman;Times;serif"/>
          <w:spacing w:val="-5"/>
          <w:sz w:val="20"/>
        </w:rPr>
        <w:t xml:space="preserve"> </w:t>
      </w:r>
      <w:r>
        <w:rPr>
          <w:rFonts w:ascii="Times New Roman;Times;serif" w:hAnsi="Times New Roman;Times;serif"/>
          <w:sz w:val="20"/>
        </w:rPr>
        <w:t>Mexico,</w:t>
      </w:r>
      <w:r>
        <w:rPr>
          <w:rFonts w:ascii="Times New Roman;Times;serif" w:hAnsi="Times New Roman;Times;serif"/>
          <w:spacing w:val="-2"/>
          <w:sz w:val="20"/>
        </w:rPr>
        <w:t xml:space="preserve"> </w:t>
      </w:r>
      <w:r>
        <w:rPr>
          <w:rFonts w:ascii="Times New Roman;Times;serif" w:hAnsi="Times New Roman;Times;serif"/>
          <w:sz w:val="20"/>
        </w:rPr>
        <w:t>licenses</w:t>
      </w:r>
      <w:r>
        <w:rPr>
          <w:rFonts w:ascii="Times New Roman;Times;serif" w:hAnsi="Times New Roman;Times;serif"/>
          <w:spacing w:val="-2"/>
          <w:sz w:val="20"/>
        </w:rPr>
        <w:t xml:space="preserve"> </w:t>
      </w:r>
      <w:r>
        <w:rPr>
          <w:rFonts w:ascii="Times New Roman;Times;serif" w:hAnsi="Times New Roman;Times;serif"/>
          <w:sz w:val="20"/>
        </w:rPr>
        <w:t>are</w:t>
      </w:r>
      <w:r>
        <w:rPr>
          <w:rFonts w:ascii="Times New Roman;Times;serif" w:hAnsi="Times New Roman;Times;serif"/>
          <w:spacing w:val="-2"/>
          <w:sz w:val="20"/>
        </w:rPr>
        <w:t xml:space="preserve"> </w:t>
      </w:r>
      <w:r>
        <w:rPr>
          <w:rFonts w:ascii="Times New Roman;Times;serif" w:hAnsi="Times New Roman;Times;serif"/>
          <w:sz w:val="20"/>
        </w:rPr>
        <w:t>renewed annually.</w:t>
      </w:r>
      <w:r>
        <w:rPr>
          <w:rFonts w:ascii="Times New Roman;Times;serif" w:hAnsi="Times New Roman;Times;serif"/>
          <w:spacing w:val="-2"/>
          <w:sz w:val="20"/>
        </w:rPr>
        <w:t xml:space="preserve"> </w:t>
      </w:r>
      <w:r>
        <w:rPr>
          <w:rFonts w:ascii="Times New Roman;Times;serif" w:hAnsi="Times New Roman;Times;serif"/>
          <w:sz w:val="20"/>
        </w:rPr>
        <w:t>In</w:t>
      </w:r>
      <w:r>
        <w:rPr>
          <w:rFonts w:ascii="Times New Roman;Times;serif" w:hAnsi="Times New Roman;Times;serif"/>
          <w:spacing w:val="-2"/>
          <w:sz w:val="20"/>
        </w:rPr>
        <w:t xml:space="preserve"> </w:t>
      </w:r>
      <w:r>
        <w:rPr>
          <w:rFonts w:ascii="Times New Roman;Times;serif" w:hAnsi="Times New Roman;Times;serif"/>
          <w:sz w:val="20"/>
        </w:rPr>
        <w:t>order to</w:t>
      </w:r>
      <w:r>
        <w:rPr>
          <w:rFonts w:ascii="Times New Roman;Times;serif" w:hAnsi="Times New Roman;Times;serif"/>
          <w:spacing w:val="-2"/>
          <w:sz w:val="20"/>
        </w:rPr>
        <w:t xml:space="preserve"> </w:t>
      </w:r>
      <w:r>
        <w:rPr>
          <w:rFonts w:ascii="Times New Roman;Times;serif" w:hAnsi="Times New Roman;Times;serif"/>
          <w:sz w:val="20"/>
        </w:rPr>
        <w:t>operate</w:t>
      </w:r>
      <w:r>
        <w:rPr>
          <w:rFonts w:ascii="Times New Roman;Times;serif" w:hAnsi="Times New Roman;Times;serif"/>
          <w:spacing w:val="-1"/>
          <w:sz w:val="20"/>
        </w:rPr>
        <w:t xml:space="preserve"> </w:t>
      </w:r>
      <w:r>
        <w:rPr>
          <w:rFonts w:ascii="Times New Roman;Times;serif" w:hAnsi="Times New Roman;Times;serif"/>
          <w:sz w:val="20"/>
        </w:rPr>
        <w:t>in</w:t>
      </w:r>
      <w:r>
        <w:rPr>
          <w:rFonts w:ascii="Times New Roman;Times;serif" w:hAnsi="Times New Roman;Times;serif"/>
          <w:spacing w:val="-2"/>
          <w:sz w:val="20"/>
        </w:rPr>
        <w:t xml:space="preserve"> </w:t>
      </w:r>
      <w:r>
        <w:rPr>
          <w:rFonts w:ascii="Times New Roman;Times;serif" w:hAnsi="Times New Roman;Times;serif"/>
          <w:sz w:val="20"/>
        </w:rPr>
        <w:t>New</w:t>
      </w:r>
      <w:r>
        <w:rPr>
          <w:rFonts w:ascii="Times New Roman;Times;serif" w:hAnsi="Times New Roman;Times;serif"/>
          <w:spacing w:val="-6"/>
          <w:sz w:val="20"/>
        </w:rPr>
        <w:t xml:space="preserve"> </w:t>
      </w:r>
      <w:r>
        <w:rPr>
          <w:rFonts w:ascii="Times New Roman;Times;serif" w:hAnsi="Times New Roman;Times;serif"/>
          <w:sz w:val="20"/>
        </w:rPr>
        <w:t>Mexico an</w:t>
      </w:r>
      <w:r>
        <w:rPr>
          <w:rFonts w:ascii="Times New Roman;Times;serif" w:hAnsi="Times New Roman;Times;serif"/>
          <w:spacing w:val="-4"/>
          <w:sz w:val="20"/>
        </w:rPr>
        <w:t xml:space="preserve"> </w:t>
      </w:r>
      <w:r>
        <w:rPr>
          <w:rFonts w:ascii="Times New Roman;Times;serif" w:hAnsi="Times New Roman;Times;serif"/>
          <w:sz w:val="20"/>
        </w:rPr>
        <w:t>operator</w:t>
      </w:r>
      <w:r>
        <w:rPr>
          <w:rFonts w:ascii="Times New Roman;Times;serif" w:hAnsi="Times New Roman;Times;serif"/>
          <w:spacing w:val="-2"/>
          <w:sz w:val="20"/>
        </w:rPr>
        <w:t xml:space="preserve"> </w:t>
      </w:r>
      <w:r>
        <w:rPr>
          <w:rFonts w:ascii="Times New Roman;Times;serif" w:hAnsi="Times New Roman;Times;serif"/>
          <w:sz w:val="20"/>
        </w:rPr>
        <w:t>is</w:t>
      </w:r>
      <w:r>
        <w:rPr>
          <w:rFonts w:ascii="Times New Roman;Times;serif" w:hAnsi="Times New Roman;Times;serif"/>
          <w:spacing w:val="-2"/>
          <w:sz w:val="20"/>
        </w:rPr>
        <w:t xml:space="preserve"> </w:t>
      </w:r>
      <w:r>
        <w:rPr>
          <w:rFonts w:ascii="Times New Roman;Times;serif" w:hAnsi="Times New Roman;Times;serif"/>
          <w:sz w:val="20"/>
        </w:rPr>
        <w:t>required</w:t>
      </w:r>
      <w:r>
        <w:rPr>
          <w:rFonts w:ascii="Times New Roman;Times;serif" w:hAnsi="Times New Roman;Times;serif"/>
          <w:spacing w:val="-2"/>
          <w:sz w:val="20"/>
        </w:rPr>
        <w:t xml:space="preserve"> </w:t>
      </w:r>
      <w:r>
        <w:rPr>
          <w:rFonts w:ascii="Times New Roman;Times;serif" w:hAnsi="Times New Roman;Times;serif"/>
          <w:sz w:val="20"/>
        </w:rPr>
        <w:t>to</w:t>
      </w:r>
      <w:r>
        <w:rPr>
          <w:rFonts w:ascii="Times New Roman;Times;serif" w:hAnsi="Times New Roman;Times;serif"/>
          <w:spacing w:val="-2"/>
          <w:sz w:val="20"/>
        </w:rPr>
        <w:t xml:space="preserve"> </w:t>
      </w:r>
      <w:r>
        <w:rPr>
          <w:rFonts w:ascii="Times New Roman;Times;serif" w:hAnsi="Times New Roman;Times;serif"/>
          <w:sz w:val="20"/>
        </w:rPr>
        <w:t>obtain</w:t>
      </w:r>
      <w:r>
        <w:rPr>
          <w:rFonts w:ascii="Times New Roman;Times;serif" w:hAnsi="Times New Roman;Times;serif"/>
          <w:spacing w:val="-2"/>
          <w:sz w:val="20"/>
        </w:rPr>
        <w:t xml:space="preserve"> </w:t>
      </w:r>
      <w:r>
        <w:rPr>
          <w:rFonts w:ascii="Times New Roman;Times;serif" w:hAnsi="Times New Roman;Times;serif"/>
          <w:sz w:val="20"/>
        </w:rPr>
        <w:t>a</w:t>
      </w:r>
      <w:r>
        <w:rPr>
          <w:rFonts w:ascii="Times New Roman;Times;serif" w:hAnsi="Times New Roman;Times;serif"/>
          <w:spacing w:val="-2"/>
          <w:sz w:val="20"/>
        </w:rPr>
        <w:t xml:space="preserve"> </w:t>
      </w:r>
      <w:r>
        <w:rPr>
          <w:rFonts w:ascii="Times New Roman;Times;serif" w:hAnsi="Times New Roman;Times;serif"/>
          <w:sz w:val="20"/>
        </w:rPr>
        <w:t>license</w:t>
      </w:r>
      <w:r>
        <w:rPr>
          <w:rFonts w:ascii="Times New Roman;Times;serif" w:hAnsi="Times New Roman;Times;serif"/>
          <w:spacing w:val="18"/>
          <w:sz w:val="20"/>
        </w:rPr>
        <w:t xml:space="preserve"> </w:t>
      </w:r>
      <w:r>
        <w:rPr>
          <w:rFonts w:ascii="Times New Roman;Times;serif" w:hAnsi="Times New Roman;Times;serif"/>
          <w:sz w:val="20"/>
        </w:rPr>
        <w:t>from</w:t>
      </w:r>
      <w:r>
        <w:rPr>
          <w:rFonts w:ascii="Times New Roman;Times;serif" w:hAnsi="Times New Roman;Times;serif"/>
          <w:spacing w:val="12"/>
          <w:sz w:val="20"/>
        </w:rPr>
        <w:t xml:space="preserve"> </w:t>
      </w:r>
      <w:r>
        <w:rPr>
          <w:rFonts w:ascii="Times New Roman;Times;serif" w:hAnsi="Times New Roman;Times;serif"/>
          <w:sz w:val="20"/>
        </w:rPr>
        <w:t>the</w:t>
      </w:r>
      <w:r>
        <w:rPr>
          <w:rFonts w:ascii="Times New Roman;Times;serif" w:hAnsi="Times New Roman;Times;serif"/>
          <w:spacing w:val="16"/>
          <w:sz w:val="20"/>
        </w:rPr>
        <w:t xml:space="preserve"> </w:t>
      </w:r>
      <w:r>
        <w:rPr>
          <w:rFonts w:ascii="Times New Roman;Times;serif" w:hAnsi="Times New Roman;Times;serif"/>
          <w:sz w:val="20"/>
        </w:rPr>
        <w:t>CCD,</w:t>
      </w:r>
      <w:r>
        <w:rPr>
          <w:rFonts w:ascii="Times New Roman;Times;serif" w:hAnsi="Times New Roman;Times;serif"/>
          <w:spacing w:val="15"/>
          <w:sz w:val="20"/>
        </w:rPr>
        <w:t xml:space="preserve"> </w:t>
      </w:r>
      <w:r>
        <w:rPr>
          <w:rFonts w:ascii="Times New Roman;Times;serif" w:hAnsi="Times New Roman;Times;serif"/>
          <w:sz w:val="20"/>
        </w:rPr>
        <w:t>a</w:t>
      </w:r>
      <w:r>
        <w:rPr>
          <w:rFonts w:ascii="Times New Roman;Times;serif" w:hAnsi="Times New Roman;Times;serif"/>
          <w:spacing w:val="16"/>
          <w:sz w:val="20"/>
        </w:rPr>
        <w:t xml:space="preserve"> </w:t>
      </w:r>
      <w:r>
        <w:rPr>
          <w:rFonts w:ascii="Times New Roman;Times;serif" w:hAnsi="Times New Roman;Times;serif"/>
          <w:sz w:val="20"/>
        </w:rPr>
        <w:t>certificate</w:t>
      </w:r>
      <w:r>
        <w:rPr>
          <w:rFonts w:ascii="Times New Roman;Times;serif" w:hAnsi="Times New Roman;Times;serif"/>
          <w:spacing w:val="15"/>
          <w:sz w:val="20"/>
        </w:rPr>
        <w:t xml:space="preserve"> </w:t>
      </w:r>
      <w:r>
        <w:rPr>
          <w:rFonts w:ascii="Times New Roman;Times;serif" w:hAnsi="Times New Roman;Times;serif"/>
          <w:sz w:val="20"/>
        </w:rPr>
        <w:t>of</w:t>
      </w:r>
      <w:r>
        <w:rPr>
          <w:rFonts w:ascii="Times New Roman;Times;serif" w:hAnsi="Times New Roman;Times;serif"/>
          <w:spacing w:val="13"/>
          <w:sz w:val="20"/>
        </w:rPr>
        <w:t xml:space="preserve"> </w:t>
      </w:r>
      <w:r>
        <w:rPr>
          <w:rFonts w:ascii="Times New Roman;Times;serif" w:hAnsi="Times New Roman;Times;serif"/>
          <w:sz w:val="20"/>
        </w:rPr>
        <w:t>occupancy</w:t>
      </w:r>
      <w:r>
        <w:rPr>
          <w:rFonts w:ascii="Times New Roman;Times;serif" w:hAnsi="Times New Roman;Times;serif"/>
          <w:spacing w:val="15"/>
          <w:sz w:val="20"/>
        </w:rPr>
        <w:t xml:space="preserve"> </w:t>
      </w:r>
      <w:r>
        <w:rPr>
          <w:rFonts w:ascii="Times New Roman;Times;serif" w:hAnsi="Times New Roman;Times;serif"/>
          <w:sz w:val="20"/>
        </w:rPr>
        <w:t>from</w:t>
      </w:r>
      <w:r>
        <w:rPr>
          <w:rFonts w:ascii="Times New Roman;Times;serif" w:hAnsi="Times New Roman;Times;serif"/>
          <w:spacing w:val="12"/>
          <w:sz w:val="20"/>
        </w:rPr>
        <w:t xml:space="preserve"> </w:t>
      </w:r>
      <w:r>
        <w:rPr>
          <w:rFonts w:ascii="Times New Roman;Times;serif" w:hAnsi="Times New Roman;Times;serif"/>
          <w:sz w:val="20"/>
        </w:rPr>
        <w:t>the</w:t>
      </w:r>
      <w:r>
        <w:rPr>
          <w:rFonts w:ascii="Times New Roman;Times;serif" w:hAnsi="Times New Roman;Times;serif"/>
          <w:spacing w:val="18"/>
          <w:sz w:val="20"/>
        </w:rPr>
        <w:t xml:space="preserve"> </w:t>
      </w:r>
      <w:r>
        <w:rPr>
          <w:rFonts w:ascii="Times New Roman;Times;serif" w:hAnsi="Times New Roman;Times;serif"/>
          <w:sz w:val="20"/>
        </w:rPr>
        <w:t>applicable</w:t>
      </w:r>
      <w:r>
        <w:rPr>
          <w:rFonts w:ascii="Times New Roman;Times;serif" w:hAnsi="Times New Roman;Times;serif"/>
          <w:spacing w:val="16"/>
          <w:sz w:val="20"/>
        </w:rPr>
        <w:t xml:space="preserve"> </w:t>
      </w:r>
      <w:r>
        <w:rPr>
          <w:rFonts w:ascii="Times New Roman;Times;serif" w:hAnsi="Times New Roman;Times;serif"/>
          <w:sz w:val="20"/>
        </w:rPr>
        <w:t>local</w:t>
      </w:r>
      <w:r>
        <w:rPr>
          <w:rFonts w:ascii="Times New Roman;Times;serif" w:hAnsi="Times New Roman;Times;serif"/>
          <w:spacing w:val="15"/>
          <w:sz w:val="20"/>
        </w:rPr>
        <w:t xml:space="preserve"> </w:t>
      </w:r>
      <w:r>
        <w:rPr>
          <w:rFonts w:ascii="Times New Roman;Times;serif" w:hAnsi="Times New Roman;Times;serif"/>
          <w:sz w:val="20"/>
        </w:rPr>
        <w:t>government</w:t>
      </w:r>
      <w:r>
        <w:rPr>
          <w:rFonts w:ascii="Times New Roman;Times;serif" w:hAnsi="Times New Roman;Times;serif"/>
          <w:spacing w:val="14"/>
          <w:sz w:val="20"/>
        </w:rPr>
        <w:t xml:space="preserve"> </w:t>
      </w:r>
      <w:r>
        <w:rPr>
          <w:rFonts w:ascii="Times New Roman;Times;serif" w:hAnsi="Times New Roman;Times;serif"/>
          <w:sz w:val="20"/>
        </w:rPr>
        <w:t>and</w:t>
      </w:r>
      <w:r>
        <w:rPr>
          <w:rFonts w:ascii="Times New Roman;Times;serif" w:hAnsi="Times New Roman;Times;serif"/>
          <w:spacing w:val="15"/>
          <w:sz w:val="20"/>
        </w:rPr>
        <w:t xml:space="preserve"> </w:t>
      </w:r>
      <w:r>
        <w:rPr>
          <w:rFonts w:ascii="Times New Roman;Times;serif" w:hAnsi="Times New Roman;Times;serif"/>
          <w:sz w:val="20"/>
        </w:rPr>
        <w:t>a</w:t>
      </w:r>
      <w:r>
        <w:rPr>
          <w:rFonts w:ascii="Times New Roman;Times;serif" w:hAnsi="Times New Roman;Times;serif"/>
          <w:spacing w:val="14"/>
          <w:sz w:val="20"/>
        </w:rPr>
        <w:t xml:space="preserve"> </w:t>
      </w:r>
      <w:r>
        <w:rPr>
          <w:rFonts w:ascii="Times New Roman;Times;serif" w:hAnsi="Times New Roman;Times;serif"/>
          <w:sz w:val="20"/>
        </w:rPr>
        <w:t>certificate</w:t>
      </w:r>
      <w:r>
        <w:rPr>
          <w:rFonts w:ascii="Times New Roman;Times;serif" w:hAnsi="Times New Roman;Times;serif"/>
          <w:spacing w:val="15"/>
          <w:sz w:val="20"/>
        </w:rPr>
        <w:t xml:space="preserve"> </w:t>
      </w:r>
      <w:r>
        <w:rPr>
          <w:rFonts w:ascii="Times New Roman;Times;serif" w:hAnsi="Times New Roman;Times;serif"/>
          <w:sz w:val="20"/>
        </w:rPr>
        <w:t>of</w:t>
      </w:r>
      <w:r>
        <w:rPr>
          <w:rFonts w:ascii="Times New Roman;Times;serif" w:hAnsi="Times New Roman;Times;serif"/>
          <w:spacing w:val="17"/>
          <w:sz w:val="20"/>
        </w:rPr>
        <w:t xml:space="preserve"> </w:t>
      </w:r>
      <w:r>
        <w:rPr>
          <w:rFonts w:ascii="Times New Roman;Times;serif" w:hAnsi="Times New Roman;Times;serif"/>
          <w:sz w:val="20"/>
        </w:rPr>
        <w:t>fitness</w:t>
      </w:r>
      <w:r>
        <w:rPr>
          <w:rFonts w:ascii="Times New Roman;Times;serif" w:hAnsi="Times New Roman;Times;serif"/>
          <w:spacing w:val="-2"/>
          <w:sz w:val="20"/>
        </w:rPr>
        <w:t xml:space="preserve"> </w:t>
      </w:r>
      <w:r>
        <w:rPr>
          <w:rFonts w:ascii="Times New Roman;Times;serif" w:hAnsi="Times New Roman;Times;serif"/>
          <w:sz w:val="20"/>
        </w:rPr>
        <w:t>from</w:t>
      </w:r>
      <w:r>
        <w:rPr>
          <w:rFonts w:ascii="Times New Roman;Times;serif" w:hAnsi="Times New Roman;Times;serif"/>
          <w:spacing w:val="-16"/>
          <w:sz w:val="20"/>
        </w:rPr>
        <w:t xml:space="preserve"> </w:t>
      </w:r>
      <w:r>
        <w:rPr>
          <w:rFonts w:ascii="Times New Roman;Times;serif" w:hAnsi="Times New Roman;Times;serif"/>
          <w:sz w:val="20"/>
        </w:rPr>
        <w:t>the</w:t>
      </w:r>
      <w:r>
        <w:rPr>
          <w:rFonts w:ascii="Times New Roman;Times;serif" w:hAnsi="Times New Roman;Times;serif"/>
          <w:spacing w:val="-12"/>
          <w:sz w:val="20"/>
        </w:rPr>
        <w:t xml:space="preserve"> </w:t>
      </w:r>
      <w:r>
        <w:rPr>
          <w:rFonts w:ascii="Times New Roman;Times;serif" w:hAnsi="Times New Roman;Times;serif"/>
          <w:sz w:val="20"/>
        </w:rPr>
        <w:t>State</w:t>
      </w:r>
      <w:r>
        <w:rPr>
          <w:rFonts w:ascii="Times New Roman;Times;serif" w:hAnsi="Times New Roman;Times;serif"/>
          <w:spacing w:val="-12"/>
          <w:sz w:val="20"/>
        </w:rPr>
        <w:t xml:space="preserve"> </w:t>
      </w:r>
      <w:r>
        <w:rPr>
          <w:rFonts w:ascii="Times New Roman;Times;serif" w:hAnsi="Times New Roman;Times;serif"/>
          <w:sz w:val="20"/>
        </w:rPr>
        <w:t>Fire</w:t>
      </w:r>
      <w:r>
        <w:rPr>
          <w:rFonts w:ascii="Times New Roman;Times;serif" w:hAnsi="Times New Roman;Times;serif"/>
          <w:spacing w:val="-12"/>
          <w:sz w:val="20"/>
        </w:rPr>
        <w:t xml:space="preserve"> </w:t>
      </w:r>
      <w:r>
        <w:rPr>
          <w:rFonts w:ascii="Times New Roman;Times;serif" w:hAnsi="Times New Roman;Times;serif"/>
          <w:sz w:val="20"/>
        </w:rPr>
        <w:t>Marshall.</w:t>
      </w:r>
      <w:r>
        <w:rPr>
          <w:rFonts w:ascii="Times New Roman;Times;serif" w:hAnsi="Times New Roman;Times;serif"/>
          <w:spacing w:val="-12"/>
          <w:sz w:val="20"/>
        </w:rPr>
        <w:t xml:space="preserve"> </w:t>
      </w:r>
      <w:r>
        <w:rPr>
          <w:rFonts w:ascii="Times New Roman;Times;serif" w:hAnsi="Times New Roman;Times;serif"/>
          <w:sz w:val="20"/>
        </w:rPr>
        <w:t>Each</w:t>
      </w:r>
      <w:r>
        <w:rPr>
          <w:rFonts w:ascii="Times New Roman;Times;serif" w:hAnsi="Times New Roman;Times;serif"/>
          <w:spacing w:val="-12"/>
          <w:sz w:val="20"/>
        </w:rPr>
        <w:t xml:space="preserve"> </w:t>
      </w:r>
      <w:r>
        <w:rPr>
          <w:rFonts w:ascii="Times New Roman;Times;serif" w:hAnsi="Times New Roman;Times;serif"/>
          <w:sz w:val="20"/>
        </w:rPr>
        <w:t>year,</w:t>
      </w:r>
      <w:r>
        <w:rPr>
          <w:rFonts w:ascii="Times New Roman;Times;serif" w:hAnsi="Times New Roman;Times;serif"/>
          <w:spacing w:val="-12"/>
          <w:sz w:val="20"/>
        </w:rPr>
        <w:t xml:space="preserve"> </w:t>
      </w:r>
      <w:r>
        <w:rPr>
          <w:rFonts w:ascii="Times New Roman;Times;serif" w:hAnsi="Times New Roman;Times;serif"/>
          <w:sz w:val="20"/>
        </w:rPr>
        <w:t>licensees</w:t>
      </w:r>
      <w:r>
        <w:rPr>
          <w:rFonts w:ascii="Times New Roman;Times;serif" w:hAnsi="Times New Roman;Times;serif"/>
          <w:spacing w:val="-13"/>
          <w:sz w:val="20"/>
        </w:rPr>
        <w:t xml:space="preserve"> </w:t>
      </w:r>
      <w:r>
        <w:rPr>
          <w:rFonts w:ascii="Times New Roman;Times;serif" w:hAnsi="Times New Roman;Times;serif"/>
          <w:sz w:val="20"/>
        </w:rPr>
        <w:t>are</w:t>
      </w:r>
      <w:r>
        <w:rPr>
          <w:rFonts w:ascii="Times New Roman;Times;serif" w:hAnsi="Times New Roman;Times;serif"/>
          <w:spacing w:val="-13"/>
          <w:sz w:val="20"/>
        </w:rPr>
        <w:t xml:space="preserve"> </w:t>
      </w:r>
      <w:r>
        <w:rPr>
          <w:rFonts w:ascii="Times New Roman;Times;serif" w:hAnsi="Times New Roman;Times;serif"/>
          <w:sz w:val="20"/>
        </w:rPr>
        <w:t>required</w:t>
      </w:r>
      <w:r>
        <w:rPr>
          <w:rFonts w:ascii="Times New Roman;Times;serif" w:hAnsi="Times New Roman;Times;serif"/>
          <w:spacing w:val="-12"/>
          <w:sz w:val="20"/>
        </w:rPr>
        <w:t xml:space="preserve"> </w:t>
      </w:r>
      <w:r>
        <w:rPr>
          <w:rFonts w:ascii="Times New Roman;Times;serif" w:hAnsi="Times New Roman;Times;serif"/>
          <w:sz w:val="20"/>
        </w:rPr>
        <w:t>to</w:t>
      </w:r>
      <w:r>
        <w:rPr>
          <w:rFonts w:ascii="Times New Roman;Times;serif" w:hAnsi="Times New Roman;Times;serif"/>
          <w:spacing w:val="-12"/>
          <w:sz w:val="20"/>
        </w:rPr>
        <w:t xml:space="preserve"> </w:t>
      </w:r>
      <w:r>
        <w:rPr>
          <w:rFonts w:ascii="Times New Roman;Times;serif" w:hAnsi="Times New Roman;Times;serif"/>
          <w:sz w:val="20"/>
        </w:rPr>
        <w:t>submit</w:t>
      </w:r>
      <w:r>
        <w:rPr>
          <w:rFonts w:ascii="Times New Roman;Times;serif" w:hAnsi="Times New Roman;Times;serif"/>
          <w:spacing w:val="-12"/>
          <w:sz w:val="20"/>
        </w:rPr>
        <w:t xml:space="preserve"> </w:t>
      </w:r>
      <w:r>
        <w:rPr>
          <w:rFonts w:ascii="Times New Roman;Times;serif" w:hAnsi="Times New Roman;Times;serif"/>
          <w:sz w:val="20"/>
        </w:rPr>
        <w:t>a</w:t>
      </w:r>
      <w:r>
        <w:rPr>
          <w:rFonts w:ascii="Times New Roman;Times;serif" w:hAnsi="Times New Roman;Times;serif"/>
          <w:spacing w:val="-13"/>
          <w:sz w:val="20"/>
        </w:rPr>
        <w:t xml:space="preserve"> </w:t>
      </w:r>
      <w:r>
        <w:rPr>
          <w:rFonts w:ascii="Times New Roman;Times;serif" w:hAnsi="Times New Roman;Times;serif"/>
          <w:sz w:val="20"/>
        </w:rPr>
        <w:t>renewal</w:t>
      </w:r>
      <w:r>
        <w:rPr>
          <w:rFonts w:ascii="Times New Roman;Times;serif" w:hAnsi="Times New Roman;Times;serif"/>
          <w:spacing w:val="-13"/>
          <w:sz w:val="20"/>
        </w:rPr>
        <w:t xml:space="preserve"> </w:t>
      </w:r>
      <w:r>
        <w:rPr>
          <w:rFonts w:ascii="Times New Roman;Times;serif" w:hAnsi="Times New Roman;Times;serif"/>
          <w:sz w:val="20"/>
        </w:rPr>
        <w:t>application</w:t>
      </w:r>
      <w:r>
        <w:rPr>
          <w:rFonts w:ascii="Times New Roman;Times;serif" w:hAnsi="Times New Roman;Times;serif"/>
          <w:spacing w:val="-13"/>
          <w:sz w:val="20"/>
        </w:rPr>
        <w:t xml:space="preserve"> </w:t>
      </w:r>
      <w:r>
        <w:rPr>
          <w:rFonts w:ascii="Times New Roman;Times;serif" w:hAnsi="Times New Roman;Times;serif"/>
          <w:sz w:val="20"/>
        </w:rPr>
        <w:t>per</w:t>
      </w:r>
      <w:r>
        <w:rPr>
          <w:rFonts w:ascii="Times New Roman;Times;serif" w:hAnsi="Times New Roman;Times;serif"/>
          <w:spacing w:val="-12"/>
          <w:sz w:val="20"/>
        </w:rPr>
        <w:t xml:space="preserve"> </w:t>
      </w:r>
      <w:r>
        <w:rPr>
          <w:rFonts w:ascii="Times New Roman;Times;serif" w:hAnsi="Times New Roman;Times;serif"/>
          <w:sz w:val="20"/>
        </w:rPr>
        <w:t>guidelines</w:t>
      </w:r>
      <w:r>
        <w:rPr>
          <w:rFonts w:ascii="Times New Roman;Times;serif" w:hAnsi="Times New Roman;Times;serif"/>
          <w:spacing w:val="-13"/>
          <w:sz w:val="20"/>
        </w:rPr>
        <w:t xml:space="preserve"> </w:t>
      </w:r>
      <w:r>
        <w:rPr>
          <w:rFonts w:ascii="Times New Roman;Times;serif" w:hAnsi="Times New Roman;Times;serif"/>
          <w:sz w:val="20"/>
        </w:rPr>
        <w:t>published</w:t>
      </w:r>
      <w:r>
        <w:rPr>
          <w:rFonts w:ascii="Times New Roman;Times;serif" w:hAnsi="Times New Roman;Times;serif"/>
          <w:spacing w:val="-2"/>
          <w:sz w:val="20"/>
        </w:rPr>
        <w:t xml:space="preserve"> </w:t>
      </w:r>
      <w:r>
        <w:rPr>
          <w:rFonts w:ascii="Times New Roman;Times;serif" w:hAnsi="Times New Roman;Times;serif"/>
          <w:sz w:val="20"/>
        </w:rPr>
        <w:t>by</w:t>
      </w:r>
      <w:r>
        <w:rPr>
          <w:rFonts w:ascii="Times New Roman;Times;serif" w:hAnsi="Times New Roman;Times;serif"/>
          <w:spacing w:val="11"/>
          <w:sz w:val="20"/>
        </w:rPr>
        <w:t xml:space="preserve"> </w:t>
      </w:r>
      <w:r>
        <w:rPr>
          <w:rFonts w:ascii="Times New Roman;Times;serif" w:hAnsi="Times New Roman;Times;serif"/>
          <w:sz w:val="20"/>
        </w:rPr>
        <w:t>CCD.</w:t>
      </w:r>
      <w:r>
        <w:rPr>
          <w:rFonts w:ascii="Times New Roman;Times;serif" w:hAnsi="Times New Roman;Times;serif"/>
          <w:spacing w:val="11"/>
          <w:sz w:val="20"/>
        </w:rPr>
        <w:t xml:space="preserve"> </w:t>
      </w:r>
      <w:r>
        <w:rPr>
          <w:rFonts w:ascii="Times New Roman;Times;serif" w:hAnsi="Times New Roman;Times;serif"/>
          <w:sz w:val="20"/>
        </w:rPr>
        <w:t>While</w:t>
      </w:r>
      <w:r>
        <w:rPr>
          <w:rFonts w:ascii="Times New Roman;Times;serif" w:hAnsi="Times New Roman;Times;serif"/>
          <w:spacing w:val="12"/>
          <w:sz w:val="20"/>
        </w:rPr>
        <w:t xml:space="preserve"> </w:t>
      </w:r>
      <w:r>
        <w:rPr>
          <w:rFonts w:ascii="Times New Roman;Times;serif" w:hAnsi="Times New Roman;Times;serif"/>
          <w:sz w:val="20"/>
        </w:rPr>
        <w:t>renewals</w:t>
      </w:r>
      <w:r>
        <w:rPr>
          <w:rFonts w:ascii="Times New Roman;Times;serif" w:hAnsi="Times New Roman;Times;serif"/>
          <w:spacing w:val="13"/>
          <w:sz w:val="20"/>
        </w:rPr>
        <w:t xml:space="preserve"> </w:t>
      </w:r>
      <w:r>
        <w:rPr>
          <w:rFonts w:ascii="Times New Roman;Times;serif" w:hAnsi="Times New Roman;Times;serif"/>
          <w:sz w:val="20"/>
        </w:rPr>
        <w:t>are</w:t>
      </w:r>
      <w:r>
        <w:rPr>
          <w:rFonts w:ascii="Times New Roman;Times;serif" w:hAnsi="Times New Roman;Times;serif"/>
          <w:spacing w:val="13"/>
          <w:sz w:val="20"/>
        </w:rPr>
        <w:t xml:space="preserve"> </w:t>
      </w:r>
      <w:r>
        <w:rPr>
          <w:rFonts w:ascii="Times New Roman;Times;serif" w:hAnsi="Times New Roman;Times;serif"/>
          <w:sz w:val="20"/>
        </w:rPr>
        <w:t>annual,</w:t>
      </w:r>
      <w:r>
        <w:rPr>
          <w:rFonts w:ascii="Times New Roman;Times;serif" w:hAnsi="Times New Roman;Times;serif"/>
          <w:spacing w:val="13"/>
          <w:sz w:val="20"/>
        </w:rPr>
        <w:t xml:space="preserve"> </w:t>
      </w:r>
      <w:r>
        <w:rPr>
          <w:rFonts w:ascii="Times New Roman;Times;serif" w:hAnsi="Times New Roman;Times;serif"/>
          <w:sz w:val="20"/>
        </w:rPr>
        <w:t>there</w:t>
      </w:r>
      <w:r>
        <w:rPr>
          <w:rFonts w:ascii="Times New Roman;Times;serif" w:hAnsi="Times New Roman;Times;serif"/>
          <w:spacing w:val="13"/>
          <w:sz w:val="20"/>
        </w:rPr>
        <w:t xml:space="preserve"> </w:t>
      </w:r>
      <w:r>
        <w:rPr>
          <w:rFonts w:ascii="Times New Roman;Times;serif" w:hAnsi="Times New Roman;Times;serif"/>
          <w:sz w:val="20"/>
        </w:rPr>
        <w:t>is</w:t>
      </w:r>
      <w:r>
        <w:rPr>
          <w:rFonts w:ascii="Times New Roman;Times;serif" w:hAnsi="Times New Roman;Times;serif"/>
          <w:spacing w:val="15"/>
          <w:sz w:val="20"/>
        </w:rPr>
        <w:t xml:space="preserve"> </w:t>
      </w:r>
      <w:r>
        <w:rPr>
          <w:rFonts w:ascii="Times New Roman;Times;serif" w:hAnsi="Times New Roman;Times;serif"/>
          <w:sz w:val="20"/>
        </w:rPr>
        <w:t>no</w:t>
      </w:r>
      <w:r>
        <w:rPr>
          <w:rFonts w:ascii="Times New Roman;Times;serif" w:hAnsi="Times New Roman;Times;serif"/>
          <w:spacing w:val="15"/>
          <w:sz w:val="20"/>
        </w:rPr>
        <w:t xml:space="preserve"> </w:t>
      </w:r>
      <w:r>
        <w:rPr>
          <w:rFonts w:ascii="Times New Roman;Times;serif" w:hAnsi="Times New Roman;Times;serif"/>
          <w:sz w:val="20"/>
        </w:rPr>
        <w:t>limit</w:t>
      </w:r>
      <w:r>
        <w:rPr>
          <w:rFonts w:ascii="Times New Roman;Times;serif" w:hAnsi="Times New Roman;Times;serif"/>
          <w:spacing w:val="13"/>
          <w:sz w:val="20"/>
        </w:rPr>
        <w:t xml:space="preserve"> </w:t>
      </w:r>
      <w:r>
        <w:rPr>
          <w:rFonts w:ascii="Times New Roman;Times;serif" w:hAnsi="Times New Roman;Times;serif"/>
          <w:sz w:val="20"/>
        </w:rPr>
        <w:t>to</w:t>
      </w:r>
      <w:r>
        <w:rPr>
          <w:rFonts w:ascii="Times New Roman;Times;serif" w:hAnsi="Times New Roman;Times;serif"/>
          <w:spacing w:val="13"/>
          <w:sz w:val="20"/>
        </w:rPr>
        <w:t xml:space="preserve"> </w:t>
      </w:r>
      <w:r>
        <w:rPr>
          <w:rFonts w:ascii="Times New Roman;Times;serif" w:hAnsi="Times New Roman;Times;serif"/>
          <w:sz w:val="20"/>
        </w:rPr>
        <w:t>the</w:t>
      </w:r>
      <w:r>
        <w:rPr>
          <w:rFonts w:ascii="Times New Roman;Times;serif" w:hAnsi="Times New Roman;Times;serif"/>
          <w:spacing w:val="13"/>
          <w:sz w:val="20"/>
        </w:rPr>
        <w:t xml:space="preserve"> </w:t>
      </w:r>
      <w:r>
        <w:rPr>
          <w:rFonts w:ascii="Times New Roman;Times;serif" w:hAnsi="Times New Roman;Times;serif"/>
          <w:sz w:val="20"/>
        </w:rPr>
        <w:t>number</w:t>
      </w:r>
      <w:r>
        <w:rPr>
          <w:rFonts w:ascii="Times New Roman;Times;serif" w:hAnsi="Times New Roman;Times;serif"/>
          <w:spacing w:val="13"/>
          <w:sz w:val="20"/>
        </w:rPr>
        <w:t xml:space="preserve"> </w:t>
      </w:r>
      <w:r>
        <w:rPr>
          <w:rFonts w:ascii="Times New Roman;Times;serif" w:hAnsi="Times New Roman;Times;serif"/>
          <w:sz w:val="20"/>
        </w:rPr>
        <w:t>of</w:t>
      </w:r>
      <w:r>
        <w:rPr>
          <w:rFonts w:ascii="Times New Roman;Times;serif" w:hAnsi="Times New Roman;Times;serif"/>
          <w:spacing w:val="11"/>
          <w:sz w:val="20"/>
        </w:rPr>
        <w:t xml:space="preserve"> </w:t>
      </w:r>
      <w:r>
        <w:rPr>
          <w:rFonts w:ascii="Times New Roman;Times;serif" w:hAnsi="Times New Roman;Times;serif"/>
          <w:sz w:val="20"/>
        </w:rPr>
        <w:t>renewals</w:t>
      </w:r>
      <w:r>
        <w:rPr>
          <w:rFonts w:ascii="Times New Roman;Times;serif" w:hAnsi="Times New Roman;Times;serif"/>
          <w:spacing w:val="11"/>
          <w:sz w:val="20"/>
        </w:rPr>
        <w:t xml:space="preserve"> </w:t>
      </w:r>
      <w:r>
        <w:rPr>
          <w:rFonts w:ascii="Times New Roman;Times;serif" w:hAnsi="Times New Roman;Times;serif"/>
          <w:sz w:val="20"/>
        </w:rPr>
        <w:t>a</w:t>
      </w:r>
      <w:r>
        <w:rPr>
          <w:rFonts w:ascii="Times New Roman;Times;serif" w:hAnsi="Times New Roman;Times;serif"/>
          <w:spacing w:val="14"/>
          <w:sz w:val="20"/>
        </w:rPr>
        <w:t xml:space="preserve"> </w:t>
      </w:r>
      <w:r>
        <w:rPr>
          <w:rFonts w:ascii="Times New Roman;Times;serif" w:hAnsi="Times New Roman;Times;serif"/>
          <w:sz w:val="20"/>
        </w:rPr>
        <w:t>licensee</w:t>
      </w:r>
      <w:r>
        <w:rPr>
          <w:rFonts w:ascii="Times New Roman;Times;serif" w:hAnsi="Times New Roman;Times;serif"/>
          <w:spacing w:val="14"/>
          <w:sz w:val="20"/>
        </w:rPr>
        <w:t xml:space="preserve"> </w:t>
      </w:r>
      <w:r>
        <w:rPr>
          <w:rFonts w:ascii="Times New Roman;Times;serif" w:hAnsi="Times New Roman;Times;serif"/>
          <w:sz w:val="20"/>
        </w:rPr>
        <w:t>may</w:t>
      </w:r>
      <w:r>
        <w:rPr>
          <w:rFonts w:ascii="Times New Roman;Times;serif" w:hAnsi="Times New Roman;Times;serif"/>
          <w:spacing w:val="11"/>
          <w:sz w:val="20"/>
        </w:rPr>
        <w:t xml:space="preserve"> </w:t>
      </w:r>
      <w:r>
        <w:rPr>
          <w:rFonts w:ascii="Times New Roman;Times;serif" w:hAnsi="Times New Roman;Times;serif"/>
          <w:sz w:val="20"/>
        </w:rPr>
        <w:t>obtain.</w:t>
      </w:r>
      <w:r>
        <w:rPr>
          <w:rFonts w:ascii="Times New Roman;Times;serif" w:hAnsi="Times New Roman;Times;serif"/>
          <w:spacing w:val="15"/>
          <w:sz w:val="20"/>
        </w:rPr>
        <w:t xml:space="preserve"> </w:t>
      </w:r>
      <w:r>
        <w:rPr>
          <w:rFonts w:ascii="Times New Roman;Times;serif" w:hAnsi="Times New Roman;Times;serif"/>
          <w:sz w:val="20"/>
        </w:rPr>
        <w:t>Assuming</w:t>
      </w:r>
      <w:r>
        <w:rPr>
          <w:rFonts w:ascii="Times New Roman;Times;serif" w:hAnsi="Times New Roman;Times;serif"/>
          <w:spacing w:val="-2"/>
          <w:sz w:val="20"/>
        </w:rPr>
        <w:t xml:space="preserve"> </w:t>
      </w:r>
      <w:r>
        <w:rPr>
          <w:rFonts w:ascii="Times New Roman;Times;serif" w:hAnsi="Times New Roman;Times;serif"/>
          <w:sz w:val="20"/>
        </w:rPr>
        <w:t>requisite</w:t>
      </w:r>
      <w:r>
        <w:rPr>
          <w:rFonts w:ascii="Times New Roman;Times;serif" w:hAnsi="Times New Roman;Times;serif"/>
          <w:spacing w:val="3"/>
          <w:sz w:val="20"/>
        </w:rPr>
        <w:t xml:space="preserve"> </w:t>
      </w:r>
      <w:r>
        <w:rPr>
          <w:rFonts w:ascii="Times New Roman;Times;serif" w:hAnsi="Times New Roman;Times;serif"/>
          <w:sz w:val="20"/>
        </w:rPr>
        <w:t>renewal</w:t>
      </w:r>
      <w:r>
        <w:rPr>
          <w:rFonts w:ascii="Times New Roman;Times;serif" w:hAnsi="Times New Roman;Times;serif"/>
          <w:spacing w:val="4"/>
          <w:sz w:val="20"/>
        </w:rPr>
        <w:t xml:space="preserve"> </w:t>
      </w:r>
      <w:r>
        <w:rPr>
          <w:rFonts w:ascii="Times New Roman;Times;serif" w:hAnsi="Times New Roman;Times;serif"/>
          <w:sz w:val="20"/>
        </w:rPr>
        <w:t>fees are paid, renewal applications are submitted in a timely manner, and the establishment</w:t>
      </w:r>
      <w:r>
        <w:rPr>
          <w:rFonts w:ascii="Times New Roman;Times;serif" w:hAnsi="Times New Roman;Times;serif"/>
          <w:spacing w:val="4"/>
          <w:sz w:val="20"/>
        </w:rPr>
        <w:t xml:space="preserve"> </w:t>
      </w:r>
      <w:r>
        <w:rPr>
          <w:rFonts w:ascii="Times New Roman;Times;serif" w:hAnsi="Times New Roman;Times;serif"/>
          <w:sz w:val="20"/>
        </w:rPr>
        <w:t>has not</w:t>
      </w:r>
      <w:r>
        <w:rPr>
          <w:rFonts w:ascii="Times New Roman;Times;serif" w:hAnsi="Times New Roman;Times;serif"/>
          <w:spacing w:val="-2"/>
          <w:sz w:val="20"/>
        </w:rPr>
        <w:t xml:space="preserv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87" w:right="122" w:hanging="0"/>
        <w:jc w:val="both"/>
        <w:rPr>
          <w:rFonts w:ascii="Times New Roman;Times;serif" w:hAnsi="Times New Roman;Times;serif"/>
          <w:sz w:val="20"/>
        </w:rPr>
      </w:pPr>
      <w:r>
        <w:rPr>
          <w:rFonts w:ascii="Times New Roman;Times;serif" w:hAnsi="Times New Roman;Times;serif"/>
          <w:sz w:val="20"/>
        </w:rPr>
        <w:t>been</w:t>
      </w:r>
      <w:r>
        <w:rPr>
          <w:rFonts w:ascii="Times New Roman;Times;serif" w:hAnsi="Times New Roman;Times;serif"/>
          <w:spacing w:val="25"/>
          <w:sz w:val="20"/>
        </w:rPr>
        <w:t xml:space="preserve"> </w:t>
      </w:r>
      <w:r>
        <w:rPr>
          <w:rFonts w:ascii="Times New Roman;Times;serif" w:hAnsi="Times New Roman;Times;serif"/>
          <w:sz w:val="20"/>
        </w:rPr>
        <w:t>cited</w:t>
      </w:r>
      <w:r>
        <w:rPr>
          <w:rFonts w:ascii="Times New Roman;Times;serif" w:hAnsi="Times New Roman;Times;serif"/>
          <w:spacing w:val="27"/>
          <w:sz w:val="20"/>
        </w:rPr>
        <w:t xml:space="preserve"> </w:t>
      </w:r>
      <w:r>
        <w:rPr>
          <w:rFonts w:ascii="Times New Roman;Times;serif" w:hAnsi="Times New Roman;Times;serif"/>
          <w:sz w:val="20"/>
        </w:rPr>
        <w:t>for</w:t>
      </w:r>
      <w:r>
        <w:rPr>
          <w:rFonts w:ascii="Times New Roman;Times;serif" w:hAnsi="Times New Roman;Times;serif"/>
          <w:spacing w:val="28"/>
          <w:sz w:val="20"/>
        </w:rPr>
        <w:t xml:space="preserve"> </w:t>
      </w:r>
      <w:r>
        <w:rPr>
          <w:rFonts w:ascii="Times New Roman;Times;serif" w:hAnsi="Times New Roman;Times;serif"/>
          <w:sz w:val="20"/>
        </w:rPr>
        <w:t>material</w:t>
      </w:r>
      <w:r>
        <w:rPr>
          <w:rFonts w:ascii="Times New Roman;Times;serif" w:hAnsi="Times New Roman;Times;serif"/>
          <w:spacing w:val="29"/>
          <w:sz w:val="20"/>
        </w:rPr>
        <w:t xml:space="preserve"> </w:t>
      </w:r>
      <w:r>
        <w:rPr>
          <w:rFonts w:ascii="Times New Roman;Times;serif" w:hAnsi="Times New Roman;Times;serif"/>
          <w:sz w:val="20"/>
        </w:rPr>
        <w:t>violations,</w:t>
      </w:r>
      <w:r>
        <w:rPr>
          <w:rFonts w:ascii="Times New Roman;Times;serif" w:hAnsi="Times New Roman;Times;serif"/>
          <w:spacing w:val="27"/>
          <w:sz w:val="20"/>
        </w:rPr>
        <w:t xml:space="preserve"> </w:t>
      </w:r>
      <w:r>
        <w:rPr>
          <w:rFonts w:ascii="Times New Roman;Times;serif" w:hAnsi="Times New Roman;Times;serif"/>
          <w:sz w:val="20"/>
        </w:rPr>
        <w:t>renewal</w:t>
      </w:r>
      <w:r>
        <w:rPr>
          <w:rFonts w:ascii="Times New Roman;Times;serif" w:hAnsi="Times New Roman;Times;serif"/>
          <w:spacing w:val="27"/>
          <w:sz w:val="20"/>
        </w:rPr>
        <w:t xml:space="preserve"> </w:t>
      </w:r>
      <w:r>
        <w:rPr>
          <w:rFonts w:ascii="Times New Roman;Times;serif" w:hAnsi="Times New Roman;Times;serif"/>
          <w:sz w:val="20"/>
        </w:rPr>
        <w:t>applicants</w:t>
      </w:r>
      <w:r>
        <w:rPr>
          <w:rFonts w:ascii="Times New Roman;Times;serif" w:hAnsi="Times New Roman;Times;serif"/>
          <w:spacing w:val="27"/>
          <w:sz w:val="20"/>
        </w:rPr>
        <w:t xml:space="preserve"> </w:t>
      </w:r>
      <w:r>
        <w:rPr>
          <w:rFonts w:ascii="Times New Roman;Times;serif" w:hAnsi="Times New Roman;Times;serif"/>
          <w:sz w:val="20"/>
        </w:rPr>
        <w:t>can</w:t>
      </w:r>
      <w:r>
        <w:rPr>
          <w:rFonts w:ascii="Times New Roman;Times;serif" w:hAnsi="Times New Roman;Times;serif"/>
          <w:spacing w:val="27"/>
          <w:sz w:val="20"/>
        </w:rPr>
        <w:t xml:space="preserve"> </w:t>
      </w:r>
      <w:r>
        <w:rPr>
          <w:rFonts w:ascii="Times New Roman;Times;serif" w:hAnsi="Times New Roman;Times;serif"/>
          <w:sz w:val="20"/>
        </w:rPr>
        <w:t>anticipate</w:t>
      </w:r>
      <w:r>
        <w:rPr>
          <w:rFonts w:ascii="Times New Roman;Times;serif" w:hAnsi="Times New Roman;Times;serif"/>
          <w:spacing w:val="28"/>
          <w:sz w:val="20"/>
        </w:rPr>
        <w:t xml:space="preserve"> </w:t>
      </w:r>
      <w:r>
        <w:rPr>
          <w:rFonts w:ascii="Times New Roman;Times;serif" w:hAnsi="Times New Roman;Times;serif"/>
          <w:sz w:val="20"/>
        </w:rPr>
        <w:t>approval</w:t>
      </w:r>
      <w:r>
        <w:rPr>
          <w:rFonts w:ascii="Times New Roman;Times;serif" w:hAnsi="Times New Roman;Times;serif"/>
          <w:spacing w:val="27"/>
          <w:sz w:val="20"/>
        </w:rPr>
        <w:t xml:space="preserve"> </w:t>
      </w:r>
      <w:r>
        <w:rPr>
          <w:rFonts w:ascii="Times New Roman;Times;serif" w:hAnsi="Times New Roman;Times;serif"/>
          <w:sz w:val="20"/>
        </w:rPr>
        <w:t>in</w:t>
      </w:r>
      <w:r>
        <w:rPr>
          <w:rFonts w:ascii="Times New Roman;Times;serif" w:hAnsi="Times New Roman;Times;serif"/>
          <w:spacing w:val="27"/>
          <w:sz w:val="20"/>
        </w:rPr>
        <w:t xml:space="preserve"> </w:t>
      </w:r>
      <w:r>
        <w:rPr>
          <w:rFonts w:ascii="Times New Roman;Times;serif" w:hAnsi="Times New Roman;Times;serif"/>
          <w:sz w:val="20"/>
        </w:rPr>
        <w:t>the</w:t>
      </w:r>
      <w:r>
        <w:rPr>
          <w:rFonts w:ascii="Times New Roman;Times;serif" w:hAnsi="Times New Roman;Times;serif"/>
          <w:spacing w:val="26"/>
          <w:sz w:val="20"/>
        </w:rPr>
        <w:t xml:space="preserve"> </w:t>
      </w:r>
      <w:r>
        <w:rPr>
          <w:rFonts w:ascii="Times New Roman;Times;serif" w:hAnsi="Times New Roman;Times;serif"/>
          <w:sz w:val="20"/>
        </w:rPr>
        <w:t>ordinary</w:t>
      </w:r>
      <w:r>
        <w:rPr>
          <w:rFonts w:ascii="Times New Roman;Times;serif" w:hAnsi="Times New Roman;Times;serif"/>
          <w:spacing w:val="23"/>
          <w:sz w:val="20"/>
        </w:rPr>
        <w:t xml:space="preserve"> </w:t>
      </w:r>
      <w:r>
        <w:rPr>
          <w:rFonts w:ascii="Times New Roman;Times;serif" w:hAnsi="Times New Roman;Times;serif"/>
          <w:sz w:val="20"/>
        </w:rPr>
        <w:t>course</w:t>
      </w:r>
      <w:r>
        <w:rPr>
          <w:rFonts w:ascii="Times New Roman;Times;serif" w:hAnsi="Times New Roman;Times;serif"/>
          <w:spacing w:val="27"/>
          <w:sz w:val="20"/>
        </w:rPr>
        <w:t xml:space="preserve"> </w:t>
      </w:r>
      <w:r>
        <w:rPr>
          <w:rFonts w:ascii="Times New Roman;Times;serif" w:hAnsi="Times New Roman;Times;serif"/>
          <w:sz w:val="20"/>
        </w:rPr>
        <w:t>of</w:t>
      </w:r>
      <w:r>
        <w:rPr>
          <w:rFonts w:ascii="Times New Roman;Times;serif" w:hAnsi="Times New Roman;Times;serif"/>
          <w:spacing w:val="25"/>
          <w:sz w:val="20"/>
        </w:rPr>
        <w:t xml:space="preserve"> </w:t>
      </w:r>
      <w:r>
        <w:rPr>
          <w:rFonts w:ascii="Times New Roman;Times;serif" w:hAnsi="Times New Roman;Times;serif"/>
          <w:sz w:val="20"/>
        </w:rPr>
        <w:t>business.</w:t>
      </w:r>
      <w:r>
        <w:rPr>
          <w:rFonts w:ascii="Times New Roman;Times;serif" w:hAnsi="Times New Roman;Times;serif"/>
          <w:spacing w:val="-2"/>
          <w:sz w:val="20"/>
        </w:rPr>
        <w:t xml:space="preserve"> </w:t>
      </w:r>
      <w:r>
        <w:rPr>
          <w:rFonts w:ascii="Times New Roman;Times;serif" w:hAnsi="Times New Roman;Times;serif"/>
          <w:sz w:val="20"/>
        </w:rPr>
        <w:t>However,</w:t>
      </w:r>
      <w:r>
        <w:rPr>
          <w:rFonts w:ascii="Times New Roman;Times;serif" w:hAnsi="Times New Roman;Times;serif"/>
          <w:spacing w:val="-13"/>
          <w:sz w:val="20"/>
        </w:rPr>
        <w:t xml:space="preserve"> </w:t>
      </w:r>
      <w:r>
        <w:rPr>
          <w:rFonts w:ascii="Times New Roman;Times;serif" w:hAnsi="Times New Roman;Times;serif"/>
          <w:sz w:val="20"/>
        </w:rPr>
        <w:t>any</w:t>
      </w:r>
      <w:r>
        <w:rPr>
          <w:rFonts w:ascii="Times New Roman;Times;serif" w:hAnsi="Times New Roman;Times;serif"/>
          <w:spacing w:val="-13"/>
          <w:sz w:val="20"/>
        </w:rPr>
        <w:t xml:space="preserve"> </w:t>
      </w:r>
      <w:r>
        <w:rPr>
          <w:rFonts w:ascii="Times New Roman;Times;serif" w:hAnsi="Times New Roman;Times;serif"/>
          <w:sz w:val="20"/>
        </w:rPr>
        <w:t>unexpected</w:t>
      </w:r>
      <w:r>
        <w:rPr>
          <w:rFonts w:ascii="Times New Roman;Times;serif" w:hAnsi="Times New Roman;Times;serif"/>
          <w:spacing w:val="-12"/>
          <w:sz w:val="20"/>
        </w:rPr>
        <w:t xml:space="preserve"> </w:t>
      </w:r>
      <w:r>
        <w:rPr>
          <w:rFonts w:ascii="Times New Roman;Times;serif" w:hAnsi="Times New Roman;Times;serif"/>
          <w:sz w:val="20"/>
        </w:rPr>
        <w:t>denials,</w:t>
      </w:r>
      <w:r>
        <w:rPr>
          <w:rFonts w:ascii="Times New Roman;Times;serif" w:hAnsi="Times New Roman;Times;serif"/>
          <w:spacing w:val="-12"/>
          <w:sz w:val="20"/>
        </w:rPr>
        <w:t xml:space="preserve"> </w:t>
      </w:r>
      <w:r>
        <w:rPr>
          <w:rFonts w:ascii="Times New Roman;Times;serif" w:hAnsi="Times New Roman;Times;serif"/>
          <w:sz w:val="20"/>
        </w:rPr>
        <w:t>delays</w:t>
      </w:r>
      <w:r>
        <w:rPr>
          <w:rFonts w:ascii="Times New Roman;Times;serif" w:hAnsi="Times New Roman;Times;serif"/>
          <w:spacing w:val="-13"/>
          <w:sz w:val="20"/>
        </w:rPr>
        <w:t xml:space="preserve"> </w:t>
      </w:r>
      <w:r>
        <w:rPr>
          <w:rFonts w:ascii="Times New Roman;Times;serif" w:hAnsi="Times New Roman;Times;serif"/>
          <w:sz w:val="20"/>
        </w:rPr>
        <w:t>or</w:t>
      </w:r>
      <w:r>
        <w:rPr>
          <w:rFonts w:ascii="Times New Roman;Times;serif" w:hAnsi="Times New Roman;Times;serif"/>
          <w:spacing w:val="-13"/>
          <w:sz w:val="20"/>
        </w:rPr>
        <w:t xml:space="preserve"> </w:t>
      </w:r>
      <w:r>
        <w:rPr>
          <w:rFonts w:ascii="Times New Roman;Times;serif" w:hAnsi="Times New Roman;Times;serif"/>
          <w:sz w:val="20"/>
        </w:rPr>
        <w:t>costs</w:t>
      </w:r>
      <w:r>
        <w:rPr>
          <w:rFonts w:ascii="Times New Roman;Times;serif" w:hAnsi="Times New Roman;Times;serif"/>
          <w:spacing w:val="-13"/>
          <w:sz w:val="20"/>
        </w:rPr>
        <w:t xml:space="preserve"> </w:t>
      </w:r>
      <w:r>
        <w:rPr>
          <w:rFonts w:ascii="Times New Roman;Times;serif" w:hAnsi="Times New Roman;Times;serif"/>
          <w:sz w:val="20"/>
        </w:rPr>
        <w:t>associated</w:t>
      </w:r>
      <w:r>
        <w:rPr>
          <w:rFonts w:ascii="Times New Roman;Times;serif" w:hAnsi="Times New Roman;Times;serif"/>
          <w:spacing w:val="-12"/>
          <w:sz w:val="20"/>
        </w:rPr>
        <w:t xml:space="preserve"> </w:t>
      </w:r>
      <w:r>
        <w:rPr>
          <w:rFonts w:ascii="Times New Roman;Times;serif" w:hAnsi="Times New Roman;Times;serif"/>
          <w:sz w:val="20"/>
        </w:rPr>
        <w:t>with</w:t>
      </w:r>
      <w:r>
        <w:rPr>
          <w:rFonts w:ascii="Times New Roman;Times;serif" w:hAnsi="Times New Roman;Times;serif"/>
          <w:spacing w:val="-13"/>
          <w:sz w:val="20"/>
        </w:rPr>
        <w:t xml:space="preserve"> </w:t>
      </w:r>
      <w:r>
        <w:rPr>
          <w:rFonts w:ascii="Times New Roman;Times;serif" w:hAnsi="Times New Roman;Times;serif"/>
          <w:sz w:val="20"/>
        </w:rPr>
        <w:t>a</w:t>
      </w:r>
      <w:r>
        <w:rPr>
          <w:rFonts w:ascii="Times New Roman;Times;serif" w:hAnsi="Times New Roman;Times;serif"/>
          <w:spacing w:val="-12"/>
          <w:sz w:val="20"/>
        </w:rPr>
        <w:t xml:space="preserve"> </w:t>
      </w:r>
      <w:r>
        <w:rPr>
          <w:rFonts w:ascii="Times New Roman;Times;serif" w:hAnsi="Times New Roman;Times;serif"/>
          <w:sz w:val="20"/>
        </w:rPr>
        <w:t>licensing</w:t>
      </w:r>
      <w:r>
        <w:rPr>
          <w:rFonts w:ascii="Times New Roman;Times;serif" w:hAnsi="Times New Roman;Times;serif"/>
          <w:spacing w:val="-15"/>
          <w:sz w:val="20"/>
        </w:rPr>
        <w:t xml:space="preserve"> </w:t>
      </w:r>
      <w:r>
        <w:rPr>
          <w:rFonts w:ascii="Times New Roman;Times;serif" w:hAnsi="Times New Roman;Times;serif"/>
          <w:sz w:val="20"/>
        </w:rPr>
        <w:t>renewal</w:t>
      </w:r>
      <w:r>
        <w:rPr>
          <w:rFonts w:ascii="Times New Roman;Times;serif" w:hAnsi="Times New Roman;Times;serif"/>
          <w:spacing w:val="-13"/>
          <w:sz w:val="20"/>
        </w:rPr>
        <w:t xml:space="preserve"> </w:t>
      </w:r>
      <w:r>
        <w:rPr>
          <w:rFonts w:ascii="Times New Roman;Times;serif" w:hAnsi="Times New Roman;Times;serif"/>
          <w:sz w:val="20"/>
        </w:rPr>
        <w:t>could</w:t>
      </w:r>
      <w:r>
        <w:rPr>
          <w:rFonts w:ascii="Times New Roman;Times;serif" w:hAnsi="Times New Roman;Times;serif"/>
          <w:spacing w:val="-12"/>
          <w:sz w:val="20"/>
        </w:rPr>
        <w:t xml:space="preserve"> </w:t>
      </w:r>
      <w:r>
        <w:rPr>
          <w:rFonts w:ascii="Times New Roman;Times;serif" w:hAnsi="Times New Roman;Times;serif"/>
          <w:sz w:val="20"/>
        </w:rPr>
        <w:t>impede</w:t>
      </w:r>
      <w:r>
        <w:rPr>
          <w:rFonts w:ascii="Times New Roman;Times;serif" w:hAnsi="Times New Roman;Times;serif"/>
          <w:spacing w:val="-12"/>
          <w:sz w:val="20"/>
        </w:rPr>
        <w:t xml:space="preserve"> </w:t>
      </w:r>
      <w:r>
        <w:rPr>
          <w:rFonts w:ascii="Times New Roman;Times;serif" w:hAnsi="Times New Roman;Times;serif"/>
          <w:sz w:val="20"/>
        </w:rPr>
        <w:t>planned</w:t>
      </w:r>
      <w:r>
        <w:rPr>
          <w:rFonts w:ascii="Times New Roman;Times;serif" w:hAnsi="Times New Roman;Times;serif"/>
          <w:spacing w:val="-12"/>
          <w:sz w:val="20"/>
        </w:rPr>
        <w:t xml:space="preserve"> </w:t>
      </w:r>
      <w:r>
        <w:rPr>
          <w:rFonts w:ascii="Times New Roman;Times;serif" w:hAnsi="Times New Roman;Times;serif"/>
          <w:sz w:val="20"/>
        </w:rPr>
        <w:t>operations</w:t>
      </w:r>
      <w:r>
        <w:rPr>
          <w:rFonts w:ascii="Times New Roman;Times;serif" w:hAnsi="Times New Roman;Times;serif"/>
          <w:spacing w:val="-2"/>
          <w:sz w:val="20"/>
        </w:rPr>
        <w:t xml:space="preserve"> </w:t>
      </w:r>
      <w:r>
        <w:rPr>
          <w:rFonts w:ascii="Times New Roman;Times;serif" w:hAnsi="Times New Roman;Times;serif"/>
          <w:sz w:val="20"/>
        </w:rPr>
        <w:t>and</w:t>
      </w:r>
      <w:r>
        <w:rPr>
          <w:rFonts w:ascii="Times New Roman;Times;serif" w:hAnsi="Times New Roman;Times;serif"/>
          <w:spacing w:val="7"/>
          <w:sz w:val="20"/>
        </w:rPr>
        <w:t xml:space="preserve"> </w:t>
      </w:r>
      <w:r>
        <w:rPr>
          <w:rFonts w:ascii="Times New Roman;Times;serif" w:hAnsi="Times New Roman;Times;serif"/>
          <w:sz w:val="20"/>
        </w:rPr>
        <w:t>may have</w:t>
      </w:r>
      <w:r>
        <w:rPr>
          <w:rFonts w:ascii="Times New Roman;Times;serif" w:hAnsi="Times New Roman;Times;serif"/>
          <w:spacing w:val="4"/>
          <w:sz w:val="20"/>
        </w:rPr>
        <w:t xml:space="preserve"> </w:t>
      </w:r>
      <w:r>
        <w:rPr>
          <w:rFonts w:ascii="Times New Roman;Times;serif" w:hAnsi="Times New Roman;Times;serif"/>
          <w:sz w:val="20"/>
        </w:rPr>
        <w:t>a</w:t>
      </w:r>
      <w:r>
        <w:rPr>
          <w:rFonts w:ascii="Times New Roman;Times;serif" w:hAnsi="Times New Roman;Times;serif"/>
          <w:spacing w:val="6"/>
          <w:sz w:val="20"/>
        </w:rPr>
        <w:t xml:space="preserve"> </w:t>
      </w:r>
      <w:r>
        <w:rPr>
          <w:rFonts w:ascii="Times New Roman;Times;serif" w:hAnsi="Times New Roman;Times;serif"/>
          <w:sz w:val="20"/>
        </w:rPr>
        <w:t>material</w:t>
      </w:r>
      <w:r>
        <w:rPr>
          <w:rFonts w:ascii="Times New Roman;Times;serif" w:hAnsi="Times New Roman;Times;serif"/>
          <w:spacing w:val="4"/>
          <w:sz w:val="20"/>
        </w:rPr>
        <w:t xml:space="preserve"> </w:t>
      </w:r>
      <w:r>
        <w:rPr>
          <w:rFonts w:ascii="Times New Roman;Times;serif" w:hAnsi="Times New Roman;Times;serif"/>
          <w:sz w:val="20"/>
        </w:rPr>
        <w:t>adverse effect</w:t>
      </w:r>
      <w:r>
        <w:rPr>
          <w:rFonts w:ascii="Times New Roman;Times;serif" w:hAnsi="Times New Roman;Times;serif"/>
          <w:spacing w:val="3"/>
          <w:sz w:val="20"/>
        </w:rPr>
        <w:t xml:space="preserve"> </w:t>
      </w:r>
      <w:r>
        <w:rPr>
          <w:rFonts w:ascii="Times New Roman;Times;serif" w:hAnsi="Times New Roman;Times;serif"/>
          <w:sz w:val="20"/>
        </w:rPr>
        <w:t>the Company’s business,</w:t>
      </w:r>
      <w:r>
        <w:rPr>
          <w:rFonts w:ascii="Times New Roman;Times;serif" w:hAnsi="Times New Roman;Times;serif"/>
          <w:spacing w:val="4"/>
          <w:sz w:val="20"/>
        </w:rPr>
        <w:t xml:space="preserve"> </w:t>
      </w:r>
      <w:r>
        <w:rPr>
          <w:rFonts w:ascii="Times New Roman;Times;serif" w:hAnsi="Times New Roman;Times;serif"/>
          <w:sz w:val="20"/>
        </w:rPr>
        <w:t>financial</w:t>
      </w:r>
      <w:r>
        <w:rPr>
          <w:rFonts w:ascii="Times New Roman;Times;serif" w:hAnsi="Times New Roman;Times;serif"/>
          <w:spacing w:val="3"/>
          <w:sz w:val="20"/>
        </w:rPr>
        <w:t xml:space="preserve"> </w:t>
      </w:r>
      <w:r>
        <w:rPr>
          <w:rFonts w:ascii="Times New Roman;Times;serif" w:hAnsi="Times New Roman;Times;serif"/>
          <w:sz w:val="20"/>
        </w:rPr>
        <w:t>condition,</w:t>
      </w:r>
      <w:r>
        <w:rPr>
          <w:rFonts w:ascii="Times New Roman;Times;serif" w:hAnsi="Times New Roman;Times;serif"/>
          <w:spacing w:val="4"/>
          <w:sz w:val="20"/>
        </w:rPr>
        <w:t xml:space="preserve"> </w:t>
      </w:r>
      <w:r>
        <w:rPr>
          <w:rFonts w:ascii="Times New Roman;Times;serif" w:hAnsi="Times New Roman;Times;serif"/>
          <w:sz w:val="20"/>
        </w:rPr>
        <w:t>results</w:t>
      </w:r>
      <w:r>
        <w:rPr>
          <w:rFonts w:ascii="Times New Roman;Times;serif" w:hAnsi="Times New Roman;Times;serif"/>
          <w:spacing w:val="6"/>
          <w:sz w:val="20"/>
        </w:rPr>
        <w:t xml:space="preserve"> </w:t>
      </w:r>
      <w:r>
        <w:rPr>
          <w:rFonts w:ascii="Times New Roman;Times;serif" w:hAnsi="Times New Roman;Times;serif"/>
          <w:sz w:val="20"/>
        </w:rPr>
        <w:t>of operations or</w:t>
      </w:r>
      <w:r>
        <w:rPr>
          <w:rFonts w:ascii="Times New Roman;Times;serif" w:hAnsi="Times New Roman;Times;serif"/>
          <w:spacing w:val="4"/>
          <w:sz w:val="20"/>
        </w:rPr>
        <w:t xml:space="preserve"> </w:t>
      </w:r>
      <w:r>
        <w:rPr>
          <w:rFonts w:ascii="Times New Roman;Times;serif" w:hAnsi="Times New Roman;Times;serif"/>
          <w:sz w:val="20"/>
        </w:rPr>
        <w:t>prospects.</w:t>
      </w:r>
      <w:r>
        <w:rPr>
          <w:rFonts w:ascii="Times New Roman;Times;serif" w:hAnsi="Times New Roman;Times;serif"/>
          <w:spacing w:val="-2"/>
          <w:sz w:val="20"/>
        </w:rPr>
        <w:t xml:space="preserve"> </w:t>
      </w:r>
    </w:p>
    <w:p>
      <w:pPr>
        <w:pStyle w:val="TextBody"/>
        <w:spacing w:before="0" w:after="240"/>
        <w:ind w:left="87" w:right="124" w:hanging="0"/>
        <w:jc w:val="both"/>
        <w:rPr>
          <w:rFonts w:ascii="Times New Roman;Times;serif" w:hAnsi="Times New Roman;Times;serif"/>
          <w:sz w:val="20"/>
        </w:rPr>
      </w:pPr>
      <w:r>
        <w:rPr>
          <w:rFonts w:ascii="Times New Roman;Times;serif" w:hAnsi="Times New Roman;Times;serif"/>
          <w:sz w:val="20"/>
        </w:rPr>
        <w:t>A vertically</w:t>
      </w:r>
      <w:r>
        <w:rPr>
          <w:rFonts w:ascii="Times New Roman;Times;serif" w:hAnsi="Times New Roman;Times;serif"/>
          <w:spacing w:val="-4"/>
          <w:sz w:val="20"/>
        </w:rPr>
        <w:t xml:space="preserve"> </w:t>
      </w:r>
      <w:r>
        <w:rPr>
          <w:rFonts w:ascii="Times New Roman;Times;serif" w:hAnsi="Times New Roman;Times;serif"/>
          <w:sz w:val="20"/>
        </w:rPr>
        <w:t>integrated cannabis</w:t>
      </w:r>
      <w:r>
        <w:rPr>
          <w:rFonts w:ascii="Times New Roman;Times;serif" w:hAnsi="Times New Roman;Times;serif"/>
          <w:spacing w:val="-2"/>
          <w:sz w:val="20"/>
        </w:rPr>
        <w:t xml:space="preserve"> </w:t>
      </w:r>
      <w:r>
        <w:rPr>
          <w:rFonts w:ascii="Times New Roman;Times;serif" w:hAnsi="Times New Roman;Times;serif"/>
          <w:sz w:val="20"/>
        </w:rPr>
        <w:t>establishment</w:t>
      </w:r>
      <w:r>
        <w:rPr>
          <w:rFonts w:ascii="Times New Roman;Times;serif" w:hAnsi="Times New Roman;Times;serif"/>
          <w:spacing w:val="-1"/>
          <w:sz w:val="20"/>
        </w:rPr>
        <w:t xml:space="preserve"> </w:t>
      </w:r>
      <w:r>
        <w:rPr>
          <w:rFonts w:ascii="Times New Roman;Times;serif" w:hAnsi="Times New Roman;Times;serif"/>
          <w:sz w:val="20"/>
        </w:rPr>
        <w:t>license</w:t>
      </w:r>
      <w:r>
        <w:rPr>
          <w:rFonts w:ascii="Times New Roman;Times;serif" w:hAnsi="Times New Roman;Times;serif"/>
          <w:spacing w:val="-1"/>
          <w:sz w:val="20"/>
        </w:rPr>
        <w:t xml:space="preserve"> </w:t>
      </w:r>
      <w:r>
        <w:rPr>
          <w:rFonts w:ascii="Times New Roman;Times;serif" w:hAnsi="Times New Roman;Times;serif"/>
          <w:sz w:val="20"/>
        </w:rPr>
        <w:t>permits</w:t>
      </w:r>
      <w:r>
        <w:rPr>
          <w:rFonts w:ascii="Times New Roman;Times;serif" w:hAnsi="Times New Roman;Times;serif"/>
          <w:spacing w:val="-2"/>
          <w:sz w:val="20"/>
        </w:rPr>
        <w:t xml:space="preserve"> </w:t>
      </w:r>
      <w:r>
        <w:rPr>
          <w:rFonts w:ascii="Times New Roman;Times;serif" w:hAnsi="Times New Roman;Times;serif"/>
          <w:sz w:val="20"/>
        </w:rPr>
        <w:t>the</w:t>
      </w:r>
      <w:r>
        <w:rPr>
          <w:rFonts w:ascii="Times New Roman;Times;serif" w:hAnsi="Times New Roman;Times;serif"/>
          <w:spacing w:val="-1"/>
          <w:sz w:val="20"/>
        </w:rPr>
        <w:t xml:space="preserve"> </w:t>
      </w:r>
      <w:r>
        <w:rPr>
          <w:rFonts w:ascii="Times New Roman;Times;serif" w:hAnsi="Times New Roman;Times;serif"/>
          <w:sz w:val="20"/>
        </w:rPr>
        <w:t>holder</w:t>
      </w:r>
      <w:r>
        <w:rPr>
          <w:rFonts w:ascii="Times New Roman;Times;serif" w:hAnsi="Times New Roman;Times;serif"/>
          <w:spacing w:val="-2"/>
          <w:sz w:val="20"/>
        </w:rPr>
        <w:t xml:space="preserve"> </w:t>
      </w:r>
      <w:r>
        <w:rPr>
          <w:rFonts w:ascii="Times New Roman;Times;serif" w:hAnsi="Times New Roman;Times;serif"/>
          <w:sz w:val="20"/>
        </w:rPr>
        <w:t>to conduct</w:t>
      </w:r>
      <w:r>
        <w:rPr>
          <w:rFonts w:ascii="Times New Roman;Times;serif" w:hAnsi="Times New Roman;Times;serif"/>
          <w:spacing w:val="-2"/>
          <w:sz w:val="20"/>
        </w:rPr>
        <w:t xml:space="preserve"> </w:t>
      </w:r>
      <w:r>
        <w:rPr>
          <w:rFonts w:ascii="Times New Roman;Times;serif" w:hAnsi="Times New Roman;Times;serif"/>
          <w:sz w:val="20"/>
        </w:rPr>
        <w:t>one</w:t>
      </w:r>
      <w:r>
        <w:rPr>
          <w:rFonts w:ascii="Times New Roman;Times;serif" w:hAnsi="Times New Roman;Times;serif"/>
          <w:spacing w:val="-2"/>
          <w:sz w:val="20"/>
        </w:rPr>
        <w:t xml:space="preserve"> </w:t>
      </w:r>
      <w:r>
        <w:rPr>
          <w:rFonts w:ascii="Times New Roman;Times;serif" w:hAnsi="Times New Roman;Times;serif"/>
          <w:sz w:val="20"/>
        </w:rPr>
        <w:t>or more</w:t>
      </w:r>
      <w:r>
        <w:rPr>
          <w:rFonts w:ascii="Times New Roman;Times;serif" w:hAnsi="Times New Roman;Times;serif"/>
          <w:spacing w:val="-2"/>
          <w:sz w:val="20"/>
        </w:rPr>
        <w:t xml:space="preserve"> </w:t>
      </w:r>
      <w:r>
        <w:rPr>
          <w:rFonts w:ascii="Times New Roman;Times;serif" w:hAnsi="Times New Roman;Times;serif"/>
          <w:sz w:val="20"/>
        </w:rPr>
        <w:t>of</w:t>
      </w:r>
      <w:r>
        <w:rPr>
          <w:rFonts w:ascii="Times New Roman;Times;serif" w:hAnsi="Times New Roman;Times;serif"/>
          <w:spacing w:val="-2"/>
          <w:sz w:val="20"/>
        </w:rPr>
        <w:t xml:space="preserve"> </w:t>
      </w:r>
      <w:r>
        <w:rPr>
          <w:rFonts w:ascii="Times New Roman;Times;serif" w:hAnsi="Times New Roman;Times;serif"/>
          <w:sz w:val="20"/>
        </w:rPr>
        <w:t>the following:</w:t>
      </w:r>
      <w:r>
        <w:rPr>
          <w:rFonts w:ascii="Times New Roman;Times;serif" w:hAnsi="Times New Roman;Times;serif"/>
          <w:spacing w:val="-2"/>
          <w:sz w:val="20"/>
        </w:rPr>
        <w:t xml:space="preserve"> </w:t>
      </w:r>
      <w:r>
        <w:rPr>
          <w:rFonts w:ascii="Times New Roman;Times;serif" w:hAnsi="Times New Roman;Times;serif"/>
          <w:sz w:val="20"/>
        </w:rPr>
        <w:t>(i)</w:t>
      </w:r>
      <w:r>
        <w:rPr>
          <w:rFonts w:ascii="Times New Roman;Times;serif" w:hAnsi="Times New Roman;Times;serif"/>
          <w:spacing w:val="-1"/>
          <w:sz w:val="20"/>
        </w:rPr>
        <w:t xml:space="preserve"> </w:t>
      </w:r>
      <w:r>
        <w:rPr>
          <w:rFonts w:ascii="Times New Roman;Times;serif" w:hAnsi="Times New Roman;Times;serif"/>
          <w:sz w:val="20"/>
        </w:rPr>
        <w:t>production of cannabis, (ii)</w:t>
      </w:r>
      <w:r>
        <w:rPr>
          <w:rFonts w:ascii="Times New Roman;Times;serif" w:hAnsi="Times New Roman;Times;serif"/>
          <w:spacing w:val="6"/>
          <w:sz w:val="20"/>
        </w:rPr>
        <w:t xml:space="preserve"> </w:t>
      </w:r>
      <w:r>
        <w:rPr>
          <w:rFonts w:ascii="Times New Roman;Times;serif" w:hAnsi="Times New Roman;Times;serif"/>
          <w:sz w:val="20"/>
        </w:rPr>
        <w:t>manufacturing of cannabis products,</w:t>
      </w:r>
      <w:r>
        <w:rPr>
          <w:rFonts w:ascii="Times New Roman;Times;serif" w:hAnsi="Times New Roman;Times;serif"/>
          <w:spacing w:val="6"/>
          <w:sz w:val="20"/>
        </w:rPr>
        <w:t xml:space="preserve"> </w:t>
      </w:r>
      <w:r>
        <w:rPr>
          <w:rFonts w:ascii="Times New Roman;Times;serif" w:hAnsi="Times New Roman;Times;serif"/>
          <w:sz w:val="20"/>
        </w:rPr>
        <w:t>(iii) retail establishment,</w:t>
      </w:r>
      <w:r>
        <w:rPr>
          <w:rFonts w:ascii="Times New Roman;Times;serif" w:hAnsi="Times New Roman;Times;serif"/>
          <w:spacing w:val="8"/>
          <w:sz w:val="20"/>
        </w:rPr>
        <w:t xml:space="preserve"> </w:t>
      </w:r>
      <w:r>
        <w:rPr>
          <w:rFonts w:ascii="Times New Roman;Times;serif" w:hAnsi="Times New Roman;Times;serif"/>
          <w:sz w:val="20"/>
        </w:rPr>
        <w:t>or</w:t>
      </w:r>
      <w:r>
        <w:rPr>
          <w:rFonts w:ascii="Times New Roman;Times;serif" w:hAnsi="Times New Roman;Times;serif"/>
          <w:spacing w:val="6"/>
          <w:sz w:val="20"/>
        </w:rPr>
        <w:t xml:space="preserve"> </w:t>
      </w:r>
      <w:r>
        <w:rPr>
          <w:rFonts w:ascii="Times New Roman;Times;serif" w:hAnsi="Times New Roman;Times;serif"/>
          <w:sz w:val="20"/>
        </w:rPr>
        <w:t>(iv) courier of cannabis</w:t>
      </w:r>
      <w:r>
        <w:rPr>
          <w:rFonts w:ascii="Times New Roman;Times;serif" w:hAnsi="Times New Roman;Times;serif"/>
          <w:spacing w:val="-1"/>
          <w:sz w:val="20"/>
        </w:rPr>
        <w:t xml:space="preserve"> </w:t>
      </w:r>
      <w:r>
        <w:rPr>
          <w:rFonts w:ascii="Times New Roman;Times;serif" w:hAnsi="Times New Roman;Times;serif"/>
          <w:sz w:val="20"/>
        </w:rPr>
        <w:t>products. Only</w:t>
      </w:r>
      <w:r>
        <w:rPr>
          <w:rFonts w:ascii="Times New Roman;Times;serif" w:hAnsi="Times New Roman;Times;serif"/>
          <w:spacing w:val="-4"/>
          <w:sz w:val="20"/>
        </w:rPr>
        <w:t xml:space="preserve"> </w:t>
      </w:r>
      <w:r>
        <w:rPr>
          <w:rFonts w:ascii="Times New Roman;Times;serif" w:hAnsi="Times New Roman;Times;serif"/>
          <w:sz w:val="20"/>
        </w:rPr>
        <w:t>certified physicians may</w:t>
      </w:r>
      <w:r>
        <w:rPr>
          <w:rFonts w:ascii="Times New Roman;Times;serif" w:hAnsi="Times New Roman;Times;serif"/>
          <w:spacing w:val="-6"/>
          <w:sz w:val="20"/>
        </w:rPr>
        <w:t xml:space="preserve"> </w:t>
      </w:r>
      <w:r>
        <w:rPr>
          <w:rFonts w:ascii="Times New Roman;Times;serif" w:hAnsi="Times New Roman;Times;serif"/>
          <w:sz w:val="20"/>
        </w:rPr>
        <w:t>provide medicinal marijuana</w:t>
      </w:r>
      <w:r>
        <w:rPr>
          <w:rFonts w:ascii="Times New Roman;Times;serif" w:hAnsi="Times New Roman;Times;serif"/>
          <w:spacing w:val="-1"/>
          <w:sz w:val="20"/>
        </w:rPr>
        <w:t xml:space="preserve"> </w:t>
      </w:r>
      <w:r>
        <w:rPr>
          <w:rFonts w:ascii="Times New Roman;Times;serif" w:hAnsi="Times New Roman;Times;serif"/>
          <w:sz w:val="20"/>
        </w:rPr>
        <w:t>recommendations. An</w:t>
      </w:r>
      <w:r>
        <w:rPr>
          <w:rFonts w:ascii="Times New Roman;Times;serif" w:hAnsi="Times New Roman;Times;serif"/>
          <w:spacing w:val="-2"/>
          <w:sz w:val="20"/>
        </w:rPr>
        <w:t xml:space="preserve"> </w:t>
      </w:r>
      <w:r>
        <w:rPr>
          <w:rFonts w:ascii="Times New Roman;Times;serif" w:hAnsi="Times New Roman;Times;serif"/>
          <w:sz w:val="20"/>
        </w:rPr>
        <w:t>adult-use</w:t>
      </w:r>
      <w:r>
        <w:rPr>
          <w:rFonts w:ascii="Times New Roman;Times;serif" w:hAnsi="Times New Roman;Times;serif"/>
          <w:spacing w:val="-1"/>
          <w:sz w:val="20"/>
        </w:rPr>
        <w:t xml:space="preserve"> </w:t>
      </w:r>
      <w:r>
        <w:rPr>
          <w:rFonts w:ascii="Times New Roman;Times;serif" w:hAnsi="Times New Roman;Times;serif"/>
          <w:sz w:val="20"/>
        </w:rPr>
        <w:t>retailer</w:t>
      </w:r>
      <w:r>
        <w:rPr>
          <w:rFonts w:ascii="Times New Roman;Times;serif" w:hAnsi="Times New Roman;Times;serif"/>
          <w:spacing w:val="-2"/>
          <w:sz w:val="20"/>
        </w:rPr>
        <w:t xml:space="preserve"> </w:t>
      </w:r>
      <w:r>
        <w:rPr>
          <w:rFonts w:ascii="Times New Roman;Times;serif" w:hAnsi="Times New Roman;Times;serif"/>
          <w:sz w:val="20"/>
        </w:rPr>
        <w:t>license</w:t>
      </w:r>
      <w:r>
        <w:rPr>
          <w:rFonts w:ascii="Times New Roman;Times;serif" w:hAnsi="Times New Roman;Times;serif"/>
          <w:spacing w:val="-1"/>
          <w:sz w:val="20"/>
        </w:rPr>
        <w:t xml:space="preserve"> </w:t>
      </w:r>
      <w:r>
        <w:rPr>
          <w:rFonts w:ascii="Times New Roman;Times;serif" w:hAnsi="Times New Roman;Times;serif"/>
          <w:sz w:val="20"/>
        </w:rPr>
        <w:t>permits</w:t>
      </w:r>
      <w:r>
        <w:rPr>
          <w:rFonts w:ascii="Times New Roman;Times;serif" w:hAnsi="Times New Roman;Times;serif"/>
          <w:spacing w:val="-2"/>
          <w:sz w:val="20"/>
        </w:rPr>
        <w:t xml:space="preserve"> </w:t>
      </w:r>
      <w:r>
        <w:rPr>
          <w:rFonts w:ascii="Times New Roman;Times;serif" w:hAnsi="Times New Roman;Times;serif"/>
          <w:sz w:val="20"/>
        </w:rPr>
        <w:t>the sale</w:t>
      </w:r>
      <w:r>
        <w:rPr>
          <w:rFonts w:ascii="Times New Roman;Times;serif" w:hAnsi="Times New Roman;Times;serif"/>
          <w:spacing w:val="-2"/>
          <w:sz w:val="20"/>
        </w:rPr>
        <w:t xml:space="preserve"> </w:t>
      </w:r>
      <w:r>
        <w:rPr>
          <w:rFonts w:ascii="Times New Roman;Times;serif" w:hAnsi="Times New Roman;Times;serif"/>
          <w:sz w:val="20"/>
        </w:rPr>
        <w:t>of cannabis</w:t>
      </w:r>
      <w:r>
        <w:rPr>
          <w:rFonts w:ascii="Times New Roman;Times;serif" w:hAnsi="Times New Roman;Times;serif"/>
          <w:spacing w:val="-2"/>
          <w:sz w:val="20"/>
        </w:rPr>
        <w:t xml:space="preserve"> </w:t>
      </w:r>
      <w:r>
        <w:rPr>
          <w:rFonts w:ascii="Times New Roman;Times;serif" w:hAnsi="Times New Roman;Times;serif"/>
          <w:sz w:val="20"/>
        </w:rPr>
        <w:t>and</w:t>
      </w:r>
      <w:r>
        <w:rPr>
          <w:rFonts w:ascii="Times New Roman;Times;serif" w:hAnsi="Times New Roman;Times;serif"/>
          <w:spacing w:val="-2"/>
          <w:sz w:val="20"/>
        </w:rPr>
        <w:t xml:space="preserve"> </w:t>
      </w:r>
      <w:r>
        <w:rPr>
          <w:rFonts w:ascii="Times New Roman;Times;serif" w:hAnsi="Times New Roman;Times;serif"/>
          <w:sz w:val="20"/>
        </w:rPr>
        <w:t>cannabis</w:t>
      </w:r>
      <w:r>
        <w:rPr>
          <w:rFonts w:ascii="Times New Roman;Times;serif" w:hAnsi="Times New Roman;Times;serif"/>
          <w:spacing w:val="-2"/>
          <w:sz w:val="20"/>
        </w:rPr>
        <w:t xml:space="preserve"> </w:t>
      </w:r>
      <w:r>
        <w:rPr>
          <w:rFonts w:ascii="Times New Roman;Times;serif" w:hAnsi="Times New Roman;Times;serif"/>
          <w:sz w:val="20"/>
        </w:rPr>
        <w:t>products to any</w:t>
      </w:r>
      <w:r>
        <w:rPr>
          <w:rFonts w:ascii="Times New Roman;Times;serif" w:hAnsi="Times New Roman;Times;serif"/>
          <w:spacing w:val="-2"/>
          <w:sz w:val="20"/>
        </w:rPr>
        <w:t xml:space="preserve"> </w:t>
      </w:r>
      <w:r>
        <w:rPr>
          <w:rFonts w:ascii="Times New Roman;Times;serif" w:hAnsi="Times New Roman;Times;serif"/>
          <w:sz w:val="20"/>
        </w:rPr>
        <w:t>individual</w:t>
      </w:r>
      <w:r>
        <w:rPr>
          <w:rFonts w:ascii="Times New Roman;Times;serif" w:hAnsi="Times New Roman;Times;serif"/>
          <w:spacing w:val="-2"/>
          <w:sz w:val="20"/>
        </w:rPr>
        <w:t xml:space="preserve"> </w:t>
      </w:r>
      <w:r>
        <w:rPr>
          <w:rFonts w:ascii="Times New Roman;Times;serif" w:hAnsi="Times New Roman;Times;serif"/>
          <w:sz w:val="20"/>
        </w:rPr>
        <w:t>older than</w:t>
      </w:r>
      <w:r>
        <w:rPr>
          <w:rFonts w:ascii="Times New Roman;Times;serif" w:hAnsi="Times New Roman;Times;serif"/>
          <w:spacing w:val="-2"/>
          <w:sz w:val="20"/>
        </w:rPr>
        <w:t xml:space="preserve"> </w:t>
      </w:r>
      <w:r>
        <w:rPr>
          <w:rFonts w:ascii="Times New Roman;Times;serif" w:hAnsi="Times New Roman;Times;serif"/>
          <w:sz w:val="20"/>
        </w:rPr>
        <w:t>21 years</w:t>
      </w:r>
      <w:r>
        <w:rPr>
          <w:rFonts w:ascii="Times New Roman;Times;serif" w:hAnsi="Times New Roman;Times;serif"/>
          <w:spacing w:val="-2"/>
          <w:sz w:val="20"/>
        </w:rPr>
        <w:t xml:space="preserve"> </w:t>
      </w:r>
      <w:r>
        <w:rPr>
          <w:rFonts w:ascii="Times New Roman;Times;serif" w:hAnsi="Times New Roman;Times;serif"/>
          <w:sz w:val="20"/>
        </w:rPr>
        <w:t>of age who does</w:t>
      </w:r>
      <w:r>
        <w:rPr>
          <w:rFonts w:ascii="Times New Roman;Times;serif" w:hAnsi="Times New Roman;Times;serif"/>
          <w:spacing w:val="-2"/>
          <w:sz w:val="20"/>
        </w:rPr>
        <w:t xml:space="preserve"> </w:t>
      </w:r>
      <w:r>
        <w:rPr>
          <w:rFonts w:ascii="Times New Roman;Times;serif" w:hAnsi="Times New Roman;Times;serif"/>
          <w:sz w:val="20"/>
        </w:rPr>
        <w:t>not</w:t>
      </w:r>
      <w:r>
        <w:rPr>
          <w:rFonts w:ascii="Times New Roman;Times;serif" w:hAnsi="Times New Roman;Times;serif"/>
          <w:spacing w:val="-2"/>
          <w:sz w:val="20"/>
        </w:rPr>
        <w:t xml:space="preserve"> </w:t>
      </w:r>
      <w:r>
        <w:rPr>
          <w:rFonts w:ascii="Times New Roman;Times;serif" w:hAnsi="Times New Roman;Times;serif"/>
          <w:sz w:val="20"/>
        </w:rPr>
        <w:t>possess</w:t>
      </w:r>
      <w:r>
        <w:rPr>
          <w:rFonts w:ascii="Times New Roman;Times;serif" w:hAnsi="Times New Roman;Times;serif"/>
          <w:spacing w:val="-1"/>
          <w:sz w:val="20"/>
        </w:rPr>
        <w:t xml:space="preserve"> </w:t>
      </w:r>
      <w:r>
        <w:rPr>
          <w:rFonts w:ascii="Times New Roman;Times;serif" w:hAnsi="Times New Roman;Times;serif"/>
          <w:sz w:val="20"/>
        </w:rPr>
        <w:t>a</w:t>
      </w:r>
      <w:r>
        <w:rPr>
          <w:rFonts w:ascii="Times New Roman;Times;serif" w:hAnsi="Times New Roman;Times;serif"/>
          <w:spacing w:val="-1"/>
          <w:sz w:val="20"/>
        </w:rPr>
        <w:t xml:space="preserve"> </w:t>
      </w:r>
      <w:r>
        <w:rPr>
          <w:rFonts w:ascii="Times New Roman;Times;serif" w:hAnsi="Times New Roman;Times;serif"/>
          <w:sz w:val="20"/>
        </w:rPr>
        <w:t>physician’s</w:t>
      </w:r>
      <w:r>
        <w:rPr>
          <w:rFonts w:ascii="Times New Roman;Times;serif" w:hAnsi="Times New Roman;Times;serif"/>
          <w:spacing w:val="-4"/>
          <w:sz w:val="20"/>
        </w:rPr>
        <w:t xml:space="preserve"> </w:t>
      </w:r>
      <w:r>
        <w:rPr>
          <w:rFonts w:ascii="Times New Roman;Times;serif" w:hAnsi="Times New Roman;Times;serif"/>
          <w:sz w:val="20"/>
        </w:rPr>
        <w:t>recommendation.</w:t>
      </w:r>
    </w:p>
    <w:p>
      <w:pPr>
        <w:pStyle w:val="TextBody"/>
        <w:spacing w:before="0" w:after="240"/>
        <w:ind w:left="87" w:right="122" w:hanging="0"/>
        <w:jc w:val="both"/>
        <w:rPr>
          <w:rFonts w:ascii="Times New Roman;Times;serif" w:hAnsi="Times New Roman;Times;serif"/>
          <w:sz w:val="20"/>
        </w:rPr>
      </w:pPr>
      <w:r>
        <w:rPr>
          <w:rFonts w:ascii="Times New Roman;Times;serif" w:hAnsi="Times New Roman;Times;serif"/>
          <w:sz w:val="20"/>
        </w:rPr>
        <w:t>Holders</w:t>
      </w:r>
      <w:r>
        <w:rPr>
          <w:rFonts w:ascii="Times New Roman;Times;serif" w:hAnsi="Times New Roman;Times;serif"/>
          <w:spacing w:val="-7"/>
          <w:sz w:val="20"/>
        </w:rPr>
        <w:t xml:space="preserve"> </w:t>
      </w:r>
      <w:r>
        <w:rPr>
          <w:rFonts w:ascii="Times New Roman;Times;serif" w:hAnsi="Times New Roman;Times;serif"/>
          <w:sz w:val="20"/>
        </w:rPr>
        <w:t>of</w:t>
      </w:r>
      <w:r>
        <w:rPr>
          <w:rFonts w:ascii="Times New Roman;Times;serif" w:hAnsi="Times New Roman;Times;serif"/>
          <w:spacing w:val="-7"/>
          <w:sz w:val="20"/>
        </w:rPr>
        <w:t xml:space="preserve"> </w:t>
      </w:r>
      <w:r>
        <w:rPr>
          <w:rFonts w:ascii="Times New Roman;Times;serif" w:hAnsi="Times New Roman;Times;serif"/>
          <w:sz w:val="20"/>
        </w:rPr>
        <w:t>licenses</w:t>
      </w:r>
      <w:r>
        <w:rPr>
          <w:rFonts w:ascii="Times New Roman;Times;serif" w:hAnsi="Times New Roman;Times;serif"/>
          <w:spacing w:val="-7"/>
          <w:sz w:val="20"/>
        </w:rPr>
        <w:t xml:space="preserve"> </w:t>
      </w:r>
      <w:r>
        <w:rPr>
          <w:rFonts w:ascii="Times New Roman;Times;serif" w:hAnsi="Times New Roman;Times;serif"/>
          <w:sz w:val="20"/>
        </w:rPr>
        <w:t>in</w:t>
      </w:r>
      <w:r>
        <w:rPr>
          <w:rFonts w:ascii="Times New Roman;Times;serif" w:hAnsi="Times New Roman;Times;serif"/>
          <w:spacing w:val="-7"/>
          <w:sz w:val="20"/>
        </w:rPr>
        <w:t xml:space="preserve"> </w:t>
      </w:r>
      <w:r>
        <w:rPr>
          <w:rFonts w:ascii="Times New Roman;Times;serif" w:hAnsi="Times New Roman;Times;serif"/>
          <w:sz w:val="20"/>
        </w:rPr>
        <w:t>New</w:t>
      </w:r>
      <w:r>
        <w:rPr>
          <w:rFonts w:ascii="Times New Roman;Times;serif" w:hAnsi="Times New Roman;Times;serif"/>
          <w:spacing w:val="-5"/>
          <w:sz w:val="20"/>
        </w:rPr>
        <w:t xml:space="preserve"> </w:t>
      </w:r>
      <w:r>
        <w:rPr>
          <w:rFonts w:ascii="Times New Roman;Times;serif" w:hAnsi="Times New Roman;Times;serif"/>
          <w:sz w:val="20"/>
        </w:rPr>
        <w:t>Mexico</w:t>
      </w:r>
      <w:r>
        <w:rPr>
          <w:rFonts w:ascii="Times New Roman;Times;serif" w:hAnsi="Times New Roman;Times;serif"/>
          <w:spacing w:val="-3"/>
          <w:sz w:val="20"/>
        </w:rPr>
        <w:t xml:space="preserve"> </w:t>
      </w:r>
      <w:r>
        <w:rPr>
          <w:rFonts w:ascii="Times New Roman;Times;serif" w:hAnsi="Times New Roman;Times;serif"/>
          <w:sz w:val="20"/>
        </w:rPr>
        <w:t>are</w:t>
      </w:r>
      <w:r>
        <w:rPr>
          <w:rFonts w:ascii="Times New Roman;Times;serif" w:hAnsi="Times New Roman;Times;serif"/>
          <w:spacing w:val="-7"/>
          <w:sz w:val="20"/>
        </w:rPr>
        <w:t xml:space="preserve"> </w:t>
      </w:r>
      <w:r>
        <w:rPr>
          <w:rFonts w:ascii="Times New Roman;Times;serif" w:hAnsi="Times New Roman;Times;serif"/>
          <w:sz w:val="20"/>
        </w:rPr>
        <w:t>subject</w:t>
      </w:r>
      <w:r>
        <w:rPr>
          <w:rFonts w:ascii="Times New Roman;Times;serif" w:hAnsi="Times New Roman;Times;serif"/>
          <w:spacing w:val="-6"/>
          <w:sz w:val="20"/>
        </w:rPr>
        <w:t xml:space="preserve"> </w:t>
      </w:r>
      <w:r>
        <w:rPr>
          <w:rFonts w:ascii="Times New Roman;Times;serif" w:hAnsi="Times New Roman;Times;serif"/>
          <w:sz w:val="20"/>
        </w:rPr>
        <w:t>to</w:t>
      </w:r>
      <w:r>
        <w:rPr>
          <w:rFonts w:ascii="Times New Roman;Times;serif" w:hAnsi="Times New Roman;Times;serif"/>
          <w:spacing w:val="-5"/>
          <w:sz w:val="20"/>
        </w:rPr>
        <w:t xml:space="preserve"> </w:t>
      </w:r>
      <w:r>
        <w:rPr>
          <w:rFonts w:ascii="Times New Roman;Times;serif" w:hAnsi="Times New Roman;Times;serif"/>
          <w:sz w:val="20"/>
        </w:rPr>
        <w:t>a</w:t>
      </w:r>
      <w:r>
        <w:rPr>
          <w:rFonts w:ascii="Times New Roman;Times;serif" w:hAnsi="Times New Roman;Times;serif"/>
          <w:spacing w:val="-4"/>
          <w:sz w:val="20"/>
        </w:rPr>
        <w:t xml:space="preserve"> </w:t>
      </w:r>
      <w:r>
        <w:rPr>
          <w:rFonts w:ascii="Times New Roman;Times;serif" w:hAnsi="Times New Roman;Times;serif"/>
          <w:sz w:val="20"/>
        </w:rPr>
        <w:t>detailed</w:t>
      </w:r>
      <w:r>
        <w:rPr>
          <w:rFonts w:ascii="Times New Roman;Times;serif" w:hAnsi="Times New Roman;Times;serif"/>
          <w:spacing w:val="-5"/>
          <w:sz w:val="20"/>
        </w:rPr>
        <w:t xml:space="preserve"> </w:t>
      </w:r>
      <w:r>
        <w:rPr>
          <w:rFonts w:ascii="Times New Roman;Times;serif" w:hAnsi="Times New Roman;Times;serif"/>
          <w:sz w:val="20"/>
        </w:rPr>
        <w:t>regulatory</w:t>
      </w:r>
      <w:r>
        <w:rPr>
          <w:rFonts w:ascii="Times New Roman;Times;serif" w:hAnsi="Times New Roman;Times;serif"/>
          <w:spacing w:val="-9"/>
          <w:sz w:val="20"/>
        </w:rPr>
        <w:t xml:space="preserve"> </w:t>
      </w:r>
      <w:r>
        <w:rPr>
          <w:rFonts w:ascii="Times New Roman;Times;serif" w:hAnsi="Times New Roman;Times;serif"/>
          <w:sz w:val="20"/>
        </w:rPr>
        <w:t>scheme</w:t>
      </w:r>
      <w:r>
        <w:rPr>
          <w:rFonts w:ascii="Times New Roman;Times;serif" w:hAnsi="Times New Roman;Times;serif"/>
          <w:spacing w:val="-4"/>
          <w:sz w:val="20"/>
        </w:rPr>
        <w:t xml:space="preserve"> </w:t>
      </w:r>
      <w:r>
        <w:rPr>
          <w:rFonts w:ascii="Times New Roman;Times;serif" w:hAnsi="Times New Roman;Times;serif"/>
          <w:sz w:val="20"/>
        </w:rPr>
        <w:t>encompassing:</w:t>
      </w:r>
      <w:r>
        <w:rPr>
          <w:rFonts w:ascii="Times New Roman;Times;serif" w:hAnsi="Times New Roman;Times;serif"/>
          <w:spacing w:val="-4"/>
          <w:sz w:val="20"/>
        </w:rPr>
        <w:t xml:space="preserve"> </w:t>
      </w:r>
      <w:r>
        <w:rPr>
          <w:rFonts w:ascii="Times New Roman;Times;serif" w:hAnsi="Times New Roman;Times;serif"/>
          <w:sz w:val="20"/>
        </w:rPr>
        <w:t>security,</w:t>
      </w:r>
      <w:r>
        <w:rPr>
          <w:rFonts w:ascii="Times New Roman;Times;serif" w:hAnsi="Times New Roman;Times;serif"/>
          <w:spacing w:val="-5"/>
          <w:sz w:val="20"/>
        </w:rPr>
        <w:t xml:space="preserve"> </w:t>
      </w:r>
      <w:r>
        <w:rPr>
          <w:rFonts w:ascii="Times New Roman;Times;serif" w:hAnsi="Times New Roman;Times;serif"/>
          <w:sz w:val="20"/>
        </w:rPr>
        <w:t>staffing,</w:t>
      </w:r>
      <w:r>
        <w:rPr>
          <w:rFonts w:ascii="Times New Roman;Times;serif" w:hAnsi="Times New Roman;Times;serif"/>
          <w:spacing w:val="-5"/>
          <w:sz w:val="20"/>
        </w:rPr>
        <w:t xml:space="preserve"> </w:t>
      </w:r>
      <w:r>
        <w:rPr>
          <w:rFonts w:ascii="Times New Roman;Times;serif" w:hAnsi="Times New Roman;Times;serif"/>
          <w:sz w:val="20"/>
        </w:rPr>
        <w:t>sales, manufacturing standards, inspections, inventory, advertising and marketing, product packaging and labeling, records and reporting, and more.</w:t>
      </w:r>
    </w:p>
    <w:p>
      <w:pPr>
        <w:pStyle w:val="TextBody"/>
        <w:spacing w:before="0" w:after="240"/>
        <w:ind w:left="87" w:right="122" w:hanging="0"/>
        <w:jc w:val="both"/>
        <w:rPr>
          <w:rFonts w:ascii="Times New Roman;Times;serif" w:hAnsi="Times New Roman;Times;serif"/>
          <w:sz w:val="20"/>
        </w:rPr>
      </w:pPr>
      <w:r>
        <w:rPr>
          <w:rFonts w:ascii="Times New Roman;Times;serif" w:hAnsi="Times New Roman;Times;serif"/>
          <w:sz w:val="20"/>
        </w:rPr>
        <w:t xml:space="preserve">Any non-compliance citations or notices of violation which may have an impact on the Company’s licensing, business activities or operations are required by Staff Notice 51-352 to be promptly disclosed by the Company. </w:t>
      </w:r>
    </w:p>
    <w:p>
      <w:pPr>
        <w:pStyle w:val="TextBody"/>
        <w:spacing w:lineRule="atLeast" w:line="220" w:before="0" w:after="240"/>
        <w:ind w:left="40" w:right="0" w:hanging="0"/>
        <w:jc w:val="both"/>
        <w:rPr>
          <w:rFonts w:ascii="Times New Roman;Times;serif" w:hAnsi="Times New Roman;Times;serif"/>
          <w:i/>
          <w:sz w:val="20"/>
        </w:rPr>
      </w:pPr>
      <w:r>
        <w:rPr>
          <w:rFonts w:ascii="Times New Roman;Times;serif" w:hAnsi="Times New Roman;Times;serif"/>
          <w:i/>
          <w:sz w:val="20"/>
        </w:rPr>
        <w:t>Cannabis Production Requirements</w:t>
      </w:r>
    </w:p>
    <w:p>
      <w:pPr>
        <w:pStyle w:val="TextBody"/>
        <w:spacing w:before="30" w:after="240"/>
        <w:ind w:left="100" w:right="101" w:hanging="0"/>
        <w:jc w:val="both"/>
        <w:rPr>
          <w:rFonts w:ascii="Times New Roman;Times;serif" w:hAnsi="Times New Roman;Times;serif"/>
          <w:sz w:val="20"/>
        </w:rPr>
      </w:pPr>
      <w:r>
        <w:rPr>
          <w:rFonts w:ascii="Times New Roman;Times;serif" w:hAnsi="Times New Roman;Times;serif"/>
          <w:sz w:val="20"/>
        </w:rPr>
        <w:t>A</w:t>
      </w:r>
      <w:r>
        <w:rPr>
          <w:rFonts w:ascii="Times New Roman;Times;serif" w:hAnsi="Times New Roman;Times;serif"/>
          <w:spacing w:val="4"/>
          <w:sz w:val="20"/>
        </w:rPr>
        <w:t xml:space="preserve"> </w:t>
      </w:r>
      <w:r>
        <w:rPr>
          <w:rFonts w:ascii="Times New Roman;Times;serif" w:hAnsi="Times New Roman;Times;serif"/>
          <w:sz w:val="20"/>
        </w:rPr>
        <w:t>producer</w:t>
      </w:r>
      <w:r>
        <w:rPr>
          <w:rFonts w:ascii="Times New Roman;Times;serif" w:hAnsi="Times New Roman;Times;serif"/>
          <w:spacing w:val="8"/>
          <w:sz w:val="20"/>
        </w:rPr>
        <w:t xml:space="preserve"> </w:t>
      </w:r>
      <w:r>
        <w:rPr>
          <w:rFonts w:ascii="Times New Roman;Times;serif" w:hAnsi="Times New Roman;Times;serif"/>
          <w:sz w:val="20"/>
        </w:rPr>
        <w:t>license</w:t>
      </w:r>
      <w:r>
        <w:rPr>
          <w:rFonts w:ascii="Times New Roman;Times;serif" w:hAnsi="Times New Roman;Times;serif"/>
          <w:spacing w:val="6"/>
          <w:sz w:val="20"/>
        </w:rPr>
        <w:t xml:space="preserve"> </w:t>
      </w:r>
      <w:r>
        <w:rPr>
          <w:rFonts w:ascii="Times New Roman;Times;serif" w:hAnsi="Times New Roman;Times;serif"/>
          <w:sz w:val="20"/>
        </w:rPr>
        <w:t>permits</w:t>
      </w:r>
      <w:r>
        <w:rPr>
          <w:rFonts w:ascii="Times New Roman;Times;serif" w:hAnsi="Times New Roman;Times;serif"/>
          <w:spacing w:val="6"/>
          <w:sz w:val="20"/>
        </w:rPr>
        <w:t xml:space="preserve"> </w:t>
      </w:r>
      <w:r>
        <w:rPr>
          <w:rFonts w:ascii="Times New Roman;Times;serif" w:hAnsi="Times New Roman;Times;serif"/>
          <w:sz w:val="20"/>
        </w:rPr>
        <w:t>the</w:t>
      </w:r>
      <w:r>
        <w:rPr>
          <w:rFonts w:ascii="Times New Roman;Times;serif" w:hAnsi="Times New Roman;Times;serif"/>
          <w:spacing w:val="7"/>
          <w:sz w:val="20"/>
        </w:rPr>
        <w:t xml:space="preserve"> </w:t>
      </w:r>
      <w:r>
        <w:rPr>
          <w:rFonts w:ascii="Times New Roman;Times;serif" w:hAnsi="Times New Roman;Times;serif"/>
          <w:sz w:val="20"/>
        </w:rPr>
        <w:t>holder</w:t>
      </w:r>
      <w:r>
        <w:rPr>
          <w:rFonts w:ascii="Times New Roman;Times;serif" w:hAnsi="Times New Roman;Times;serif"/>
          <w:spacing w:val="8"/>
          <w:sz w:val="20"/>
        </w:rPr>
        <w:t xml:space="preserve"> </w:t>
      </w:r>
      <w:r>
        <w:rPr>
          <w:rFonts w:ascii="Times New Roman;Times;serif" w:hAnsi="Times New Roman;Times;serif"/>
          <w:sz w:val="20"/>
        </w:rPr>
        <w:t>to</w:t>
      </w:r>
      <w:r>
        <w:rPr>
          <w:rFonts w:ascii="Times New Roman;Times;serif" w:hAnsi="Times New Roman;Times;serif"/>
          <w:spacing w:val="6"/>
          <w:sz w:val="20"/>
        </w:rPr>
        <w:t xml:space="preserve"> </w:t>
      </w:r>
      <w:r>
        <w:rPr>
          <w:rFonts w:ascii="Times New Roman;Times;serif" w:hAnsi="Times New Roman;Times;serif"/>
          <w:sz w:val="20"/>
        </w:rPr>
        <w:t>cultivate</w:t>
      </w:r>
      <w:r>
        <w:rPr>
          <w:rFonts w:ascii="Times New Roman;Times;serif" w:hAnsi="Times New Roman;Times;serif"/>
          <w:spacing w:val="6"/>
          <w:sz w:val="20"/>
        </w:rPr>
        <w:t xml:space="preserve"> </w:t>
      </w:r>
      <w:r>
        <w:rPr>
          <w:rFonts w:ascii="Times New Roman;Times;serif" w:hAnsi="Times New Roman;Times;serif"/>
          <w:sz w:val="20"/>
        </w:rPr>
        <w:t>cannabis,</w:t>
      </w:r>
      <w:r>
        <w:rPr>
          <w:rFonts w:ascii="Times New Roman;Times;serif" w:hAnsi="Times New Roman;Times;serif"/>
          <w:spacing w:val="10"/>
          <w:sz w:val="20"/>
        </w:rPr>
        <w:t xml:space="preserve"> </w:t>
      </w:r>
      <w:r>
        <w:rPr>
          <w:rFonts w:ascii="Times New Roman;Times;serif" w:hAnsi="Times New Roman;Times;serif"/>
          <w:sz w:val="20"/>
        </w:rPr>
        <w:t>including</w:t>
      </w:r>
      <w:r>
        <w:rPr>
          <w:rFonts w:ascii="Times New Roman;Times;serif" w:hAnsi="Times New Roman;Times;serif"/>
          <w:spacing w:val="4"/>
          <w:sz w:val="20"/>
        </w:rPr>
        <w:t xml:space="preserve"> </w:t>
      </w:r>
      <w:r>
        <w:rPr>
          <w:rFonts w:ascii="Times New Roman;Times;serif" w:hAnsi="Times New Roman;Times;serif"/>
          <w:sz w:val="20"/>
        </w:rPr>
        <w:t>planting,</w:t>
      </w:r>
      <w:r>
        <w:rPr>
          <w:rFonts w:ascii="Times New Roman;Times;serif" w:hAnsi="Times New Roman;Times;serif"/>
          <w:spacing w:val="6"/>
          <w:sz w:val="20"/>
        </w:rPr>
        <w:t xml:space="preserve"> </w:t>
      </w:r>
      <w:r>
        <w:rPr>
          <w:rFonts w:ascii="Times New Roman;Times;serif" w:hAnsi="Times New Roman;Times;serif"/>
          <w:sz w:val="20"/>
        </w:rPr>
        <w:t>growing</w:t>
      </w:r>
      <w:r>
        <w:rPr>
          <w:rFonts w:ascii="Times New Roman;Times;serif" w:hAnsi="Times New Roman;Times;serif"/>
          <w:spacing w:val="4"/>
          <w:sz w:val="20"/>
        </w:rPr>
        <w:t xml:space="preserve"> </w:t>
      </w:r>
      <w:r>
        <w:rPr>
          <w:rFonts w:ascii="Times New Roman;Times;serif" w:hAnsi="Times New Roman;Times;serif"/>
          <w:sz w:val="20"/>
        </w:rPr>
        <w:t>and</w:t>
      </w:r>
      <w:r>
        <w:rPr>
          <w:rFonts w:ascii="Times New Roman;Times;serif" w:hAnsi="Times New Roman;Times;serif"/>
          <w:spacing w:val="6"/>
          <w:sz w:val="20"/>
        </w:rPr>
        <w:t xml:space="preserve"> </w:t>
      </w:r>
      <w:r>
        <w:rPr>
          <w:rFonts w:ascii="Times New Roman;Times;serif" w:hAnsi="Times New Roman;Times;serif"/>
          <w:sz w:val="20"/>
        </w:rPr>
        <w:t>harvesting</w:t>
      </w:r>
      <w:r>
        <w:rPr>
          <w:rFonts w:ascii="Times New Roman;Times;serif" w:hAnsi="Times New Roman;Times;serif"/>
          <w:spacing w:val="6"/>
          <w:sz w:val="20"/>
        </w:rPr>
        <w:t xml:space="preserve"> </w:t>
      </w:r>
      <w:r>
        <w:rPr>
          <w:rFonts w:ascii="Times New Roman;Times;serif" w:hAnsi="Times New Roman;Times;serif"/>
          <w:sz w:val="20"/>
        </w:rPr>
        <w:t>cannabis.</w:t>
      </w:r>
      <w:r>
        <w:rPr>
          <w:rFonts w:ascii="Times New Roman;Times;serif" w:hAnsi="Times New Roman;Times;serif"/>
          <w:spacing w:val="10"/>
          <w:sz w:val="20"/>
        </w:rPr>
        <w:t xml:space="preserve"> </w:t>
      </w:r>
      <w:r>
        <w:rPr>
          <w:rFonts w:ascii="Times New Roman;Times;serif" w:hAnsi="Times New Roman;Times;serif"/>
          <w:sz w:val="20"/>
        </w:rPr>
        <w:t>A</w:t>
      </w:r>
      <w:r>
        <w:rPr>
          <w:rFonts w:ascii="Times New Roman;Times;serif" w:hAnsi="Times New Roman;Times;serif"/>
          <w:spacing w:val="-2"/>
          <w:sz w:val="20"/>
        </w:rPr>
        <w:t xml:space="preserve"> </w:t>
      </w:r>
      <w:r>
        <w:rPr>
          <w:rFonts w:ascii="Times New Roman;Times;serif" w:hAnsi="Times New Roman;Times;serif"/>
          <w:sz w:val="20"/>
        </w:rPr>
        <w:t>licensee</w:t>
      </w:r>
      <w:r>
        <w:rPr>
          <w:rFonts w:ascii="Times New Roman;Times;serif" w:hAnsi="Times New Roman;Times;serif"/>
          <w:spacing w:val="-4"/>
          <w:sz w:val="20"/>
        </w:rPr>
        <w:t xml:space="preserve"> </w:t>
      </w:r>
      <w:r>
        <w:rPr>
          <w:rFonts w:ascii="Times New Roman;Times;serif" w:hAnsi="Times New Roman;Times;serif"/>
          <w:sz w:val="20"/>
        </w:rPr>
        <w:t>must</w:t>
      </w:r>
      <w:r>
        <w:rPr>
          <w:rFonts w:ascii="Times New Roman;Times;serif" w:hAnsi="Times New Roman;Times;serif"/>
          <w:spacing w:val="-7"/>
          <w:sz w:val="20"/>
        </w:rPr>
        <w:t xml:space="preserve"> </w:t>
      </w:r>
      <w:r>
        <w:rPr>
          <w:rFonts w:ascii="Times New Roman;Times;serif" w:hAnsi="Times New Roman;Times;serif"/>
          <w:sz w:val="20"/>
        </w:rPr>
        <w:t>submit</w:t>
      </w:r>
      <w:r>
        <w:rPr>
          <w:rFonts w:ascii="Times New Roman;Times;serif" w:hAnsi="Times New Roman;Times;serif"/>
          <w:spacing w:val="-3"/>
          <w:sz w:val="20"/>
        </w:rPr>
        <w:t xml:space="preserve"> </w:t>
      </w:r>
      <w:r>
        <w:rPr>
          <w:rFonts w:ascii="Times New Roman;Times;serif" w:hAnsi="Times New Roman;Times;serif"/>
          <w:sz w:val="20"/>
        </w:rPr>
        <w:t>to</w:t>
      </w:r>
      <w:r>
        <w:rPr>
          <w:rFonts w:ascii="Times New Roman;Times;serif" w:hAnsi="Times New Roman;Times;serif"/>
          <w:spacing w:val="-4"/>
          <w:sz w:val="20"/>
        </w:rPr>
        <w:t xml:space="preserve"> </w:t>
      </w:r>
      <w:r>
        <w:rPr>
          <w:rFonts w:ascii="Times New Roman;Times;serif" w:hAnsi="Times New Roman;Times;serif"/>
          <w:sz w:val="20"/>
        </w:rPr>
        <w:t>the</w:t>
      </w:r>
      <w:r>
        <w:rPr>
          <w:rFonts w:ascii="Times New Roman;Times;serif" w:hAnsi="Times New Roman;Times;serif"/>
          <w:spacing w:val="-3"/>
          <w:sz w:val="20"/>
        </w:rPr>
        <w:t xml:space="preserve"> </w:t>
      </w:r>
      <w:r>
        <w:rPr>
          <w:rFonts w:ascii="Times New Roman;Times;serif" w:hAnsi="Times New Roman;Times;serif"/>
          <w:sz w:val="20"/>
        </w:rPr>
        <w:t>CCD</w:t>
      </w:r>
      <w:r>
        <w:rPr>
          <w:rFonts w:ascii="Times New Roman;Times;serif" w:hAnsi="Times New Roman;Times;serif"/>
          <w:spacing w:val="-6"/>
          <w:sz w:val="20"/>
        </w:rPr>
        <w:t xml:space="preserve"> </w:t>
      </w:r>
      <w:r>
        <w:rPr>
          <w:rFonts w:ascii="Times New Roman;Times;serif" w:hAnsi="Times New Roman;Times;serif"/>
          <w:sz w:val="20"/>
        </w:rPr>
        <w:t>a</w:t>
      </w:r>
      <w:r>
        <w:rPr>
          <w:rFonts w:ascii="Times New Roman;Times;serif" w:hAnsi="Times New Roman;Times;serif"/>
          <w:spacing w:val="-5"/>
          <w:sz w:val="20"/>
        </w:rPr>
        <w:t xml:space="preserve"> </w:t>
      </w:r>
      <w:r>
        <w:rPr>
          <w:rFonts w:ascii="Times New Roman;Times;serif" w:hAnsi="Times New Roman;Times;serif"/>
          <w:sz w:val="20"/>
        </w:rPr>
        <w:t>premises</w:t>
      </w:r>
      <w:r>
        <w:rPr>
          <w:rFonts w:ascii="Times New Roman;Times;serif" w:hAnsi="Times New Roman;Times;serif"/>
          <w:spacing w:val="-6"/>
          <w:sz w:val="20"/>
        </w:rPr>
        <w:t xml:space="preserve"> </w:t>
      </w:r>
      <w:r>
        <w:rPr>
          <w:rFonts w:ascii="Times New Roman;Times;serif" w:hAnsi="Times New Roman;Times;serif"/>
          <w:sz w:val="20"/>
        </w:rPr>
        <w:t>diagram</w:t>
      </w:r>
      <w:r>
        <w:rPr>
          <w:rFonts w:ascii="Times New Roman;Times;serif" w:hAnsi="Times New Roman;Times;serif"/>
          <w:spacing w:val="-9"/>
          <w:sz w:val="20"/>
        </w:rPr>
        <w:t xml:space="preserve"> </w:t>
      </w:r>
      <w:r>
        <w:rPr>
          <w:rFonts w:ascii="Times New Roman;Times;serif" w:hAnsi="Times New Roman;Times;serif"/>
          <w:sz w:val="20"/>
        </w:rPr>
        <w:t>that</w:t>
      </w:r>
      <w:r>
        <w:rPr>
          <w:rFonts w:ascii="Times New Roman;Times;serif" w:hAnsi="Times New Roman;Times;serif"/>
          <w:spacing w:val="-4"/>
          <w:sz w:val="20"/>
        </w:rPr>
        <w:t xml:space="preserve"> </w:t>
      </w:r>
      <w:r>
        <w:rPr>
          <w:rFonts w:ascii="Times New Roman;Times;serif" w:hAnsi="Times New Roman;Times;serif"/>
          <w:sz w:val="20"/>
        </w:rPr>
        <w:t>shows</w:t>
      </w:r>
      <w:r>
        <w:rPr>
          <w:rFonts w:ascii="Times New Roman;Times;serif" w:hAnsi="Times New Roman;Times;serif"/>
          <w:spacing w:val="-6"/>
          <w:sz w:val="20"/>
        </w:rPr>
        <w:t xml:space="preserve"> </w:t>
      </w:r>
      <w:r>
        <w:rPr>
          <w:rFonts w:ascii="Times New Roman;Times;serif" w:hAnsi="Times New Roman;Times;serif"/>
          <w:sz w:val="20"/>
        </w:rPr>
        <w:t>the</w:t>
      </w:r>
      <w:r>
        <w:rPr>
          <w:rFonts w:ascii="Times New Roman;Times;serif" w:hAnsi="Times New Roman;Times;serif"/>
          <w:spacing w:val="-5"/>
          <w:sz w:val="20"/>
        </w:rPr>
        <w:t xml:space="preserve"> </w:t>
      </w:r>
      <w:r>
        <w:rPr>
          <w:rFonts w:ascii="Times New Roman;Times;serif" w:hAnsi="Times New Roman;Times;serif"/>
          <w:sz w:val="20"/>
        </w:rPr>
        <w:t>location</w:t>
      </w:r>
      <w:r>
        <w:rPr>
          <w:rFonts w:ascii="Times New Roman;Times;serif" w:hAnsi="Times New Roman;Times;serif"/>
          <w:spacing w:val="-6"/>
          <w:sz w:val="20"/>
        </w:rPr>
        <w:t xml:space="preserve"> </w:t>
      </w:r>
      <w:r>
        <w:rPr>
          <w:rFonts w:ascii="Times New Roman;Times;serif" w:hAnsi="Times New Roman;Times;serif"/>
          <w:sz w:val="20"/>
        </w:rPr>
        <w:t>of</w:t>
      </w:r>
      <w:r>
        <w:rPr>
          <w:rFonts w:ascii="Times New Roman;Times;serif" w:hAnsi="Times New Roman;Times;serif"/>
          <w:spacing w:val="-8"/>
          <w:sz w:val="20"/>
        </w:rPr>
        <w:t xml:space="preserve"> </w:t>
      </w:r>
      <w:r>
        <w:rPr>
          <w:rFonts w:ascii="Times New Roman;Times;serif" w:hAnsi="Times New Roman;Times;serif"/>
          <w:sz w:val="20"/>
        </w:rPr>
        <w:t>all</w:t>
      </w:r>
      <w:r>
        <w:rPr>
          <w:rFonts w:ascii="Times New Roman;Times;serif" w:hAnsi="Times New Roman;Times;serif"/>
          <w:spacing w:val="-3"/>
          <w:sz w:val="20"/>
        </w:rPr>
        <w:t xml:space="preserve"> </w:t>
      </w:r>
      <w:r>
        <w:rPr>
          <w:rFonts w:ascii="Times New Roman;Times;serif" w:hAnsi="Times New Roman;Times;serif"/>
          <w:sz w:val="20"/>
        </w:rPr>
        <w:t>entrances,</w:t>
      </w:r>
      <w:r>
        <w:rPr>
          <w:rFonts w:ascii="Times New Roman;Times;serif" w:hAnsi="Times New Roman;Times;serif"/>
          <w:spacing w:val="-6"/>
          <w:sz w:val="20"/>
        </w:rPr>
        <w:t xml:space="preserve"> </w:t>
      </w:r>
      <w:r>
        <w:rPr>
          <w:rFonts w:ascii="Times New Roman;Times;serif" w:hAnsi="Times New Roman;Times;serif"/>
          <w:sz w:val="20"/>
        </w:rPr>
        <w:t>exits,</w:t>
      </w:r>
      <w:r>
        <w:rPr>
          <w:rFonts w:ascii="Times New Roman;Times;serif" w:hAnsi="Times New Roman;Times;serif"/>
          <w:spacing w:val="-6"/>
          <w:sz w:val="20"/>
        </w:rPr>
        <w:t xml:space="preserve"> </w:t>
      </w:r>
      <w:r>
        <w:rPr>
          <w:rFonts w:ascii="Times New Roman;Times;serif" w:hAnsi="Times New Roman;Times;serif"/>
          <w:sz w:val="20"/>
        </w:rPr>
        <w:t>rooms,</w:t>
      </w:r>
      <w:r>
        <w:rPr>
          <w:rFonts w:ascii="Times New Roman;Times;serif" w:hAnsi="Times New Roman;Times;serif"/>
          <w:spacing w:val="-4"/>
          <w:sz w:val="20"/>
        </w:rPr>
        <w:t xml:space="preserve"> </w:t>
      </w:r>
      <w:r>
        <w:rPr>
          <w:rFonts w:ascii="Times New Roman;Times;serif" w:hAnsi="Times New Roman;Times;serif"/>
          <w:sz w:val="20"/>
        </w:rPr>
        <w:t>cultivation</w:t>
      </w:r>
      <w:r>
        <w:rPr>
          <w:rFonts w:ascii="Times New Roman;Times;serif" w:hAnsi="Times New Roman;Times;serif"/>
          <w:spacing w:val="-2"/>
          <w:sz w:val="20"/>
        </w:rPr>
        <w:t xml:space="preserve"> </w:t>
      </w:r>
      <w:r>
        <w:rPr>
          <w:rFonts w:ascii="Times New Roman;Times;serif" w:hAnsi="Times New Roman;Times;serif"/>
          <w:sz w:val="20"/>
        </w:rPr>
        <w:t>areas,</w:t>
      </w:r>
      <w:r>
        <w:rPr>
          <w:rFonts w:ascii="Times New Roman;Times;serif" w:hAnsi="Times New Roman;Times;serif"/>
          <w:spacing w:val="12"/>
          <w:sz w:val="20"/>
        </w:rPr>
        <w:t xml:space="preserve"> </w:t>
      </w:r>
      <w:r>
        <w:rPr>
          <w:rFonts w:ascii="Times New Roman;Times;serif" w:hAnsi="Times New Roman;Times;serif"/>
          <w:sz w:val="20"/>
        </w:rPr>
        <w:t>light</w:t>
      </w:r>
      <w:r>
        <w:rPr>
          <w:rFonts w:ascii="Times New Roman;Times;serif" w:hAnsi="Times New Roman;Times;serif"/>
          <w:spacing w:val="13"/>
          <w:sz w:val="20"/>
        </w:rPr>
        <w:t xml:space="preserve"> </w:t>
      </w:r>
      <w:r>
        <w:rPr>
          <w:rFonts w:ascii="Times New Roman;Times;serif" w:hAnsi="Times New Roman;Times;serif"/>
          <w:sz w:val="20"/>
        </w:rPr>
        <w:t>locations,</w:t>
      </w:r>
      <w:r>
        <w:rPr>
          <w:rFonts w:ascii="Times New Roman;Times;serif" w:hAnsi="Times New Roman;Times;serif"/>
          <w:spacing w:val="14"/>
          <w:sz w:val="20"/>
        </w:rPr>
        <w:t xml:space="preserve"> </w:t>
      </w:r>
      <w:r>
        <w:rPr>
          <w:rFonts w:ascii="Times New Roman;Times;serif" w:hAnsi="Times New Roman;Times;serif"/>
          <w:sz w:val="20"/>
        </w:rPr>
        <w:t>and</w:t>
      </w:r>
      <w:r>
        <w:rPr>
          <w:rFonts w:ascii="Times New Roman;Times;serif" w:hAnsi="Times New Roman;Times;serif"/>
          <w:spacing w:val="16"/>
          <w:sz w:val="20"/>
        </w:rPr>
        <w:t xml:space="preserve"> </w:t>
      </w:r>
      <w:r>
        <w:rPr>
          <w:rFonts w:ascii="Times New Roman;Times;serif" w:hAnsi="Times New Roman;Times;serif"/>
          <w:sz w:val="20"/>
        </w:rPr>
        <w:t>security</w:t>
      </w:r>
      <w:r>
        <w:rPr>
          <w:rFonts w:ascii="Times New Roman;Times;serif" w:hAnsi="Times New Roman;Times;serif"/>
          <w:spacing w:val="10"/>
          <w:sz w:val="20"/>
        </w:rPr>
        <w:t xml:space="preserve"> </w:t>
      </w:r>
      <w:r>
        <w:rPr>
          <w:rFonts w:ascii="Times New Roman;Times;serif" w:hAnsi="Times New Roman;Times;serif"/>
          <w:sz w:val="20"/>
        </w:rPr>
        <w:t>camera</w:t>
      </w:r>
      <w:r>
        <w:rPr>
          <w:rFonts w:ascii="Times New Roman;Times;serif" w:hAnsi="Times New Roman;Times;serif"/>
          <w:spacing w:val="14"/>
          <w:sz w:val="20"/>
        </w:rPr>
        <w:t xml:space="preserve"> </w:t>
      </w:r>
      <w:r>
        <w:rPr>
          <w:rFonts w:ascii="Times New Roman;Times;serif" w:hAnsi="Times New Roman;Times;serif"/>
          <w:sz w:val="20"/>
        </w:rPr>
        <w:t>locations,</w:t>
      </w:r>
      <w:r>
        <w:rPr>
          <w:rFonts w:ascii="Times New Roman;Times;serif" w:hAnsi="Times New Roman;Times;serif"/>
          <w:spacing w:val="14"/>
          <w:sz w:val="20"/>
        </w:rPr>
        <w:t xml:space="preserve"> </w:t>
      </w:r>
      <w:r>
        <w:rPr>
          <w:rFonts w:ascii="Times New Roman;Times;serif" w:hAnsi="Times New Roman;Times;serif"/>
          <w:sz w:val="20"/>
        </w:rPr>
        <w:t>among</w:t>
      </w:r>
      <w:r>
        <w:rPr>
          <w:rFonts w:ascii="Times New Roman;Times;serif" w:hAnsi="Times New Roman;Times;serif"/>
          <w:spacing w:val="12"/>
          <w:sz w:val="20"/>
        </w:rPr>
        <w:t xml:space="preserve"> </w:t>
      </w:r>
      <w:r>
        <w:rPr>
          <w:rFonts w:ascii="Times New Roman;Times;serif" w:hAnsi="Times New Roman;Times;serif"/>
          <w:sz w:val="20"/>
        </w:rPr>
        <w:t>other</w:t>
      </w:r>
      <w:r>
        <w:rPr>
          <w:rFonts w:ascii="Times New Roman;Times;serif" w:hAnsi="Times New Roman;Times;serif"/>
          <w:spacing w:val="14"/>
          <w:sz w:val="20"/>
        </w:rPr>
        <w:t xml:space="preserve"> </w:t>
      </w:r>
      <w:r>
        <w:rPr>
          <w:rFonts w:ascii="Times New Roman;Times;serif" w:hAnsi="Times New Roman;Times;serif"/>
          <w:sz w:val="20"/>
        </w:rPr>
        <w:t>things.</w:t>
      </w:r>
      <w:r>
        <w:rPr>
          <w:rFonts w:ascii="Times New Roman;Times;serif" w:hAnsi="Times New Roman;Times;serif"/>
          <w:spacing w:val="18"/>
          <w:sz w:val="20"/>
        </w:rPr>
        <w:t xml:space="preserve"> </w:t>
      </w:r>
      <w:r>
        <w:rPr>
          <w:rFonts w:ascii="Times New Roman;Times;serif" w:hAnsi="Times New Roman;Times;serif"/>
          <w:sz w:val="20"/>
        </w:rPr>
        <w:t>A</w:t>
      </w:r>
      <w:r>
        <w:rPr>
          <w:rFonts w:ascii="Times New Roman;Times;serif" w:hAnsi="Times New Roman;Times;serif"/>
          <w:spacing w:val="10"/>
          <w:sz w:val="20"/>
        </w:rPr>
        <w:t xml:space="preserve"> </w:t>
      </w:r>
      <w:r>
        <w:rPr>
          <w:rFonts w:ascii="Times New Roman;Times;serif" w:hAnsi="Times New Roman;Times;serif"/>
          <w:sz w:val="20"/>
        </w:rPr>
        <w:t>producer</w:t>
      </w:r>
      <w:r>
        <w:rPr>
          <w:rFonts w:ascii="Times New Roman;Times;serif" w:hAnsi="Times New Roman;Times;serif"/>
          <w:spacing w:val="17"/>
          <w:sz w:val="20"/>
        </w:rPr>
        <w:t xml:space="preserve"> </w:t>
      </w:r>
      <w:r>
        <w:rPr>
          <w:rFonts w:ascii="Times New Roman;Times;serif" w:hAnsi="Times New Roman;Times;serif"/>
          <w:sz w:val="20"/>
        </w:rPr>
        <w:t>must</w:t>
      </w:r>
      <w:r>
        <w:rPr>
          <w:rFonts w:ascii="Times New Roman;Times;serif" w:hAnsi="Times New Roman;Times;serif"/>
          <w:spacing w:val="12"/>
          <w:sz w:val="20"/>
        </w:rPr>
        <w:t xml:space="preserve"> </w:t>
      </w:r>
      <w:r>
        <w:rPr>
          <w:rFonts w:ascii="Times New Roman;Times;serif" w:hAnsi="Times New Roman;Times;serif"/>
          <w:sz w:val="20"/>
        </w:rPr>
        <w:t>develop</w:t>
      </w:r>
      <w:r>
        <w:rPr>
          <w:rFonts w:ascii="Times New Roman;Times;serif" w:hAnsi="Times New Roman;Times;serif"/>
          <w:spacing w:val="14"/>
          <w:sz w:val="20"/>
        </w:rPr>
        <w:t xml:space="preserve"> </w:t>
      </w:r>
      <w:r>
        <w:rPr>
          <w:rFonts w:ascii="Times New Roman;Times;serif" w:hAnsi="Times New Roman;Times;serif"/>
          <w:sz w:val="20"/>
        </w:rPr>
        <w:t>and</w:t>
      </w:r>
      <w:r>
        <w:rPr>
          <w:rFonts w:ascii="Times New Roman;Times;serif" w:hAnsi="Times New Roman;Times;serif"/>
          <w:spacing w:val="14"/>
          <w:sz w:val="20"/>
        </w:rPr>
        <w:t xml:space="preserve"> </w:t>
      </w:r>
      <w:r>
        <w:rPr>
          <w:rFonts w:ascii="Times New Roman;Times;serif" w:hAnsi="Times New Roman;Times;serif"/>
          <w:sz w:val="20"/>
        </w:rPr>
        <w:t>implement</w:t>
      </w:r>
      <w:r>
        <w:rPr>
          <w:rFonts w:ascii="Times New Roman;Times;serif" w:hAnsi="Times New Roman;Times;serif"/>
          <w:spacing w:val="-2"/>
          <w:sz w:val="20"/>
        </w:rPr>
        <w:t xml:space="preserve"> </w:t>
      </w:r>
      <w:r>
        <w:rPr>
          <w:rFonts w:ascii="Times New Roman;Times;serif" w:hAnsi="Times New Roman;Times;serif"/>
          <w:sz w:val="20"/>
        </w:rPr>
        <w:t>policies</w:t>
      </w:r>
      <w:r>
        <w:rPr>
          <w:rFonts w:ascii="Times New Roman;Times;serif" w:hAnsi="Times New Roman;Times;serif"/>
          <w:spacing w:val="-4"/>
          <w:sz w:val="20"/>
        </w:rPr>
        <w:t xml:space="preserve"> </w:t>
      </w:r>
      <w:r>
        <w:rPr>
          <w:rFonts w:ascii="Times New Roman;Times;serif" w:hAnsi="Times New Roman;Times;serif"/>
          <w:sz w:val="20"/>
        </w:rPr>
        <w:t>and</w:t>
      </w:r>
      <w:r>
        <w:rPr>
          <w:rFonts w:ascii="Times New Roman;Times;serif" w:hAnsi="Times New Roman;Times;serif"/>
          <w:spacing w:val="-2"/>
          <w:sz w:val="20"/>
        </w:rPr>
        <w:t xml:space="preserve"> </w:t>
      </w:r>
      <w:r>
        <w:rPr>
          <w:rFonts w:ascii="Times New Roman;Times;serif" w:hAnsi="Times New Roman;Times;serif"/>
          <w:sz w:val="20"/>
        </w:rPr>
        <w:t>procedures</w:t>
      </w:r>
      <w:r>
        <w:rPr>
          <w:rFonts w:ascii="Times New Roman;Times;serif" w:hAnsi="Times New Roman;Times;serif"/>
          <w:spacing w:val="-4"/>
          <w:sz w:val="20"/>
        </w:rPr>
        <w:t xml:space="preserve"> </w:t>
      </w:r>
      <w:r>
        <w:rPr>
          <w:rFonts w:ascii="Times New Roman;Times;serif" w:hAnsi="Times New Roman;Times;serif"/>
          <w:sz w:val="20"/>
        </w:rPr>
        <w:t>that</w:t>
      </w:r>
      <w:r>
        <w:rPr>
          <w:rFonts w:ascii="Times New Roman;Times;serif" w:hAnsi="Times New Roman;Times;serif"/>
          <w:spacing w:val="-4"/>
          <w:sz w:val="20"/>
        </w:rPr>
        <w:t xml:space="preserve"> </w:t>
      </w:r>
      <w:r>
        <w:rPr>
          <w:rFonts w:ascii="Times New Roman;Times;serif" w:hAnsi="Times New Roman;Times;serif"/>
          <w:sz w:val="20"/>
        </w:rPr>
        <w:t>include,</w:t>
      </w:r>
      <w:r>
        <w:rPr>
          <w:rFonts w:ascii="Times New Roman;Times;serif" w:hAnsi="Times New Roman;Times;serif"/>
          <w:spacing w:val="-4"/>
          <w:sz w:val="20"/>
        </w:rPr>
        <w:t xml:space="preserve"> </w:t>
      </w:r>
      <w:r>
        <w:rPr>
          <w:rFonts w:ascii="Times New Roman;Times;serif" w:hAnsi="Times New Roman;Times;serif"/>
          <w:sz w:val="20"/>
        </w:rPr>
        <w:t>at</w:t>
      </w:r>
      <w:r>
        <w:rPr>
          <w:rFonts w:ascii="Times New Roman;Times;serif" w:hAnsi="Times New Roman;Times;serif"/>
          <w:spacing w:val="-4"/>
          <w:sz w:val="20"/>
        </w:rPr>
        <w:t xml:space="preserve"> </w:t>
      </w:r>
      <w:r>
        <w:rPr>
          <w:rFonts w:ascii="Times New Roman;Times;serif" w:hAnsi="Times New Roman;Times;serif"/>
          <w:sz w:val="20"/>
        </w:rPr>
        <w:t>a</w:t>
      </w:r>
      <w:r>
        <w:rPr>
          <w:rFonts w:ascii="Times New Roman;Times;serif" w:hAnsi="Times New Roman;Times;serif"/>
          <w:spacing w:val="-3"/>
          <w:sz w:val="20"/>
        </w:rPr>
        <w:t xml:space="preserve"> </w:t>
      </w:r>
      <w:r>
        <w:rPr>
          <w:rFonts w:ascii="Times New Roman;Times;serif" w:hAnsi="Times New Roman;Times;serif"/>
          <w:sz w:val="20"/>
        </w:rPr>
        <w:t>minimum,</w:t>
      </w:r>
      <w:r>
        <w:rPr>
          <w:rFonts w:ascii="Times New Roman;Times;serif" w:hAnsi="Times New Roman;Times;serif"/>
          <w:spacing w:val="-2"/>
          <w:sz w:val="20"/>
        </w:rPr>
        <w:t xml:space="preserve"> </w:t>
      </w:r>
      <w:r>
        <w:rPr>
          <w:rFonts w:ascii="Times New Roman;Times;serif" w:hAnsi="Times New Roman;Times;serif"/>
          <w:sz w:val="20"/>
        </w:rPr>
        <w:t>cannabis</w:t>
      </w:r>
      <w:r>
        <w:rPr>
          <w:rFonts w:ascii="Times New Roman;Times;serif" w:hAnsi="Times New Roman;Times;serif"/>
          <w:spacing w:val="-2"/>
          <w:sz w:val="20"/>
        </w:rPr>
        <w:t xml:space="preserve"> </w:t>
      </w:r>
      <w:r>
        <w:rPr>
          <w:rFonts w:ascii="Times New Roman;Times;serif" w:hAnsi="Times New Roman;Times;serif"/>
          <w:sz w:val="20"/>
        </w:rPr>
        <w:t>testing</w:t>
      </w:r>
      <w:r>
        <w:rPr>
          <w:rFonts w:ascii="Times New Roman;Times;serif" w:hAnsi="Times New Roman;Times;serif"/>
          <w:spacing w:val="-4"/>
          <w:sz w:val="20"/>
        </w:rPr>
        <w:t xml:space="preserve"> </w:t>
      </w:r>
      <w:r>
        <w:rPr>
          <w:rFonts w:ascii="Times New Roman;Times;serif" w:hAnsi="Times New Roman;Times;serif"/>
          <w:sz w:val="20"/>
        </w:rPr>
        <w:t>criteria</w:t>
      </w:r>
      <w:r>
        <w:rPr>
          <w:rFonts w:ascii="Times New Roman;Times;serif" w:hAnsi="Times New Roman;Times;serif"/>
          <w:spacing w:val="-3"/>
          <w:sz w:val="20"/>
        </w:rPr>
        <w:t xml:space="preserve"> </w:t>
      </w:r>
      <w:r>
        <w:rPr>
          <w:rFonts w:ascii="Times New Roman;Times;serif" w:hAnsi="Times New Roman;Times;serif"/>
          <w:sz w:val="20"/>
        </w:rPr>
        <w:t>and</w:t>
      </w:r>
      <w:r>
        <w:rPr>
          <w:rFonts w:ascii="Times New Roman;Times;serif" w:hAnsi="Times New Roman;Times;serif"/>
          <w:spacing w:val="-2"/>
          <w:sz w:val="20"/>
        </w:rPr>
        <w:t xml:space="preserve"> </w:t>
      </w:r>
      <w:r>
        <w:rPr>
          <w:rFonts w:ascii="Times New Roman;Times;serif" w:hAnsi="Times New Roman;Times;serif"/>
          <w:sz w:val="20"/>
        </w:rPr>
        <w:t>procedures</w:t>
      </w:r>
      <w:r>
        <w:rPr>
          <w:rFonts w:ascii="Times New Roman;Times;serif" w:hAnsi="Times New Roman;Times;serif"/>
          <w:spacing w:val="-4"/>
          <w:sz w:val="20"/>
        </w:rPr>
        <w:t xml:space="preserve"> </w:t>
      </w:r>
      <w:r>
        <w:rPr>
          <w:rFonts w:ascii="Times New Roman;Times;serif" w:hAnsi="Times New Roman;Times;serif"/>
          <w:sz w:val="20"/>
        </w:rPr>
        <w:t>consistent</w:t>
      </w:r>
      <w:r>
        <w:rPr>
          <w:rFonts w:ascii="Times New Roman;Times;serif" w:hAnsi="Times New Roman;Times;serif"/>
          <w:spacing w:val="-2"/>
          <w:sz w:val="20"/>
        </w:rPr>
        <w:t xml:space="preserve"> </w:t>
      </w:r>
      <w:r>
        <w:rPr>
          <w:rFonts w:ascii="Times New Roman;Times;serif" w:hAnsi="Times New Roman;Times;serif"/>
          <w:sz w:val="20"/>
        </w:rPr>
        <w:t>with</w:t>
      </w:r>
      <w:r>
        <w:rPr>
          <w:rFonts w:ascii="Times New Roman;Times;serif" w:hAnsi="Times New Roman;Times;serif"/>
          <w:spacing w:val="-4"/>
          <w:sz w:val="20"/>
        </w:rPr>
        <w:t xml:space="preserve"> </w:t>
      </w:r>
      <w:r>
        <w:rPr>
          <w:rFonts w:ascii="Times New Roman;Times;serif" w:hAnsi="Times New Roman;Times;serif"/>
          <w:sz w:val="20"/>
        </w:rPr>
        <w:t>the</w:t>
      </w:r>
      <w:r>
        <w:rPr>
          <w:rFonts w:ascii="Times New Roman;Times;serif" w:hAnsi="Times New Roman;Times;serif"/>
          <w:spacing w:val="-3"/>
          <w:sz w:val="20"/>
        </w:rPr>
        <w:t xml:space="preserve"> </w:t>
      </w:r>
      <w:r>
        <w:rPr>
          <w:rFonts w:ascii="Times New Roman;Times;serif" w:hAnsi="Times New Roman;Times;serif"/>
          <w:sz w:val="20"/>
        </w:rPr>
        <w:t>CRA,</w:t>
      </w:r>
      <w:r>
        <w:rPr>
          <w:rFonts w:ascii="Times New Roman;Times;serif" w:hAnsi="Times New Roman;Times;serif"/>
          <w:spacing w:val="-2"/>
          <w:sz w:val="20"/>
        </w:rPr>
        <w:t xml:space="preserve"> </w:t>
      </w:r>
      <w:r>
        <w:rPr>
          <w:rFonts w:ascii="Times New Roman;Times;serif" w:hAnsi="Times New Roman;Times;serif"/>
          <w:sz w:val="20"/>
        </w:rPr>
        <w:t>employee</w:t>
      </w:r>
      <w:r>
        <w:rPr>
          <w:rFonts w:ascii="Times New Roman;Times;serif" w:hAnsi="Times New Roman;Times;serif"/>
          <w:spacing w:val="63"/>
          <w:sz w:val="20"/>
        </w:rPr>
        <w:t xml:space="preserve"> </w:t>
      </w:r>
      <w:r>
        <w:rPr>
          <w:rFonts w:ascii="Times New Roman;Times;serif" w:hAnsi="Times New Roman;Times;serif"/>
          <w:sz w:val="20"/>
        </w:rPr>
        <w:t>training</w:t>
      </w:r>
      <w:r>
        <w:rPr>
          <w:rFonts w:ascii="Times New Roman;Times;serif" w:hAnsi="Times New Roman;Times;serif"/>
          <w:spacing w:val="65"/>
          <w:sz w:val="20"/>
        </w:rPr>
        <w:t xml:space="preserve"> </w:t>
      </w:r>
      <w:r>
        <w:rPr>
          <w:rFonts w:ascii="Times New Roman;Times;serif" w:hAnsi="Times New Roman;Times;serif"/>
          <w:sz w:val="20"/>
        </w:rPr>
        <w:t>materials,</w:t>
      </w:r>
      <w:r>
        <w:rPr>
          <w:rFonts w:ascii="Times New Roman;Times;serif" w:hAnsi="Times New Roman;Times;serif"/>
          <w:spacing w:val="67"/>
          <w:sz w:val="20"/>
        </w:rPr>
        <w:t xml:space="preserve"> </w:t>
      </w:r>
      <w:r>
        <w:rPr>
          <w:rFonts w:ascii="Times New Roman;Times;serif" w:hAnsi="Times New Roman;Times;serif"/>
          <w:sz w:val="20"/>
        </w:rPr>
        <w:t>training</w:t>
      </w:r>
      <w:r>
        <w:rPr>
          <w:rFonts w:ascii="Times New Roman;Times;serif" w:hAnsi="Times New Roman;Times;serif"/>
          <w:spacing w:val="61"/>
          <w:sz w:val="20"/>
        </w:rPr>
        <w:t xml:space="preserve"> </w:t>
      </w:r>
      <w:r>
        <w:rPr>
          <w:rFonts w:ascii="Times New Roman;Times;serif" w:hAnsi="Times New Roman;Times;serif"/>
          <w:sz w:val="20"/>
        </w:rPr>
        <w:t>requirements,</w:t>
      </w:r>
      <w:r>
        <w:rPr>
          <w:rFonts w:ascii="Times New Roman;Times;serif" w:hAnsi="Times New Roman;Times;serif"/>
          <w:spacing w:val="63"/>
          <w:sz w:val="20"/>
        </w:rPr>
        <w:t xml:space="preserve"> </w:t>
      </w:r>
      <w:r>
        <w:rPr>
          <w:rFonts w:ascii="Times New Roman;Times;serif" w:hAnsi="Times New Roman;Times;serif"/>
          <w:sz w:val="20"/>
        </w:rPr>
        <w:t>recordkeeping</w:t>
      </w:r>
      <w:r>
        <w:rPr>
          <w:rFonts w:ascii="Times New Roman;Times;serif" w:hAnsi="Times New Roman;Times;serif"/>
          <w:spacing w:val="61"/>
          <w:sz w:val="20"/>
        </w:rPr>
        <w:t xml:space="preserve"> </w:t>
      </w:r>
      <w:r>
        <w:rPr>
          <w:rFonts w:ascii="Times New Roman;Times;serif" w:hAnsi="Times New Roman;Times;serif"/>
          <w:sz w:val="20"/>
        </w:rPr>
        <w:t>protocols,</w:t>
      </w:r>
      <w:r>
        <w:rPr>
          <w:rFonts w:ascii="Times New Roman;Times;serif" w:hAnsi="Times New Roman;Times;serif"/>
          <w:spacing w:val="63"/>
          <w:sz w:val="20"/>
        </w:rPr>
        <w:t xml:space="preserve"> </w:t>
      </w:r>
      <w:r>
        <w:rPr>
          <w:rFonts w:ascii="Times New Roman;Times;serif" w:hAnsi="Times New Roman;Times;serif"/>
          <w:sz w:val="20"/>
        </w:rPr>
        <w:t>transportation,</w:t>
      </w:r>
      <w:r>
        <w:rPr>
          <w:rFonts w:ascii="Times New Roman;Times;serif" w:hAnsi="Times New Roman;Times;serif"/>
          <w:spacing w:val="65"/>
          <w:sz w:val="20"/>
        </w:rPr>
        <w:t xml:space="preserve"> </w:t>
      </w:r>
      <w:r>
        <w:rPr>
          <w:rFonts w:ascii="Times New Roman;Times;serif" w:hAnsi="Times New Roman;Times;serif"/>
          <w:sz w:val="20"/>
        </w:rPr>
        <w:t>testing</w:t>
      </w:r>
      <w:r>
        <w:rPr>
          <w:rFonts w:ascii="Times New Roman;Times;serif" w:hAnsi="Times New Roman;Times;serif"/>
          <w:spacing w:val="61"/>
          <w:sz w:val="20"/>
        </w:rPr>
        <w:t xml:space="preserve"> </w:t>
      </w:r>
      <w:r>
        <w:rPr>
          <w:rFonts w:ascii="Times New Roman;Times;serif" w:hAnsi="Times New Roman;Times;serif"/>
          <w:sz w:val="20"/>
        </w:rPr>
        <w:t>protocols,</w:t>
      </w:r>
      <w:r>
        <w:rPr>
          <w:rFonts w:ascii="Times New Roman;Times;serif" w:hAnsi="Times New Roman;Times;serif"/>
          <w:spacing w:val="-2"/>
          <w:sz w:val="20"/>
        </w:rPr>
        <w:t xml:space="preserve"> </w:t>
      </w:r>
      <w:r>
        <w:rPr>
          <w:rFonts w:ascii="Times New Roman;Times;serif" w:hAnsi="Times New Roman;Times;serif"/>
          <w:sz w:val="20"/>
        </w:rPr>
        <w:t>employee</w:t>
      </w:r>
      <w:r>
        <w:rPr>
          <w:rFonts w:ascii="Times New Roman;Times;serif" w:hAnsi="Times New Roman;Times;serif"/>
          <w:spacing w:val="-2"/>
          <w:sz w:val="20"/>
        </w:rPr>
        <w:t xml:space="preserve"> </w:t>
      </w:r>
      <w:r>
        <w:rPr>
          <w:rFonts w:ascii="Times New Roman;Times;serif" w:hAnsi="Times New Roman;Times;serif"/>
          <w:sz w:val="20"/>
        </w:rPr>
        <w:t>policies</w:t>
      </w:r>
      <w:r>
        <w:rPr>
          <w:rFonts w:ascii="Times New Roman;Times;serif" w:hAnsi="Times New Roman;Times;serif"/>
          <w:spacing w:val="-2"/>
          <w:sz w:val="20"/>
        </w:rPr>
        <w:t xml:space="preserve"> </w:t>
      </w:r>
      <w:r>
        <w:rPr>
          <w:rFonts w:ascii="Times New Roman;Times;serif" w:hAnsi="Times New Roman;Times;serif"/>
          <w:sz w:val="20"/>
        </w:rPr>
        <w:t>and procedures.</w:t>
      </w:r>
    </w:p>
    <w:p>
      <w:pPr>
        <w:pStyle w:val="TextBody"/>
        <w:spacing w:before="0" w:after="240"/>
        <w:ind w:left="100" w:right="104" w:hanging="0"/>
        <w:jc w:val="both"/>
        <w:rPr>
          <w:rFonts w:ascii="Times New Roman;Times;serif" w:hAnsi="Times New Roman;Times;serif"/>
          <w:sz w:val="20"/>
        </w:rPr>
      </w:pPr>
      <w:r>
        <w:rPr>
          <w:rFonts w:ascii="Times New Roman;Times;serif" w:hAnsi="Times New Roman;Times;serif"/>
          <w:sz w:val="20"/>
        </w:rPr>
        <w:t>Licensees</w:t>
      </w:r>
      <w:r>
        <w:rPr>
          <w:rFonts w:ascii="Times New Roman;Times;serif" w:hAnsi="Times New Roman;Times;serif"/>
          <w:spacing w:val="18"/>
          <w:sz w:val="20"/>
        </w:rPr>
        <w:t xml:space="preserve"> </w:t>
      </w:r>
      <w:r>
        <w:rPr>
          <w:rFonts w:ascii="Times New Roman;Times;serif" w:hAnsi="Times New Roman;Times;serif"/>
          <w:sz w:val="20"/>
        </w:rPr>
        <w:t>must</w:t>
      </w:r>
      <w:r>
        <w:rPr>
          <w:rFonts w:ascii="Times New Roman;Times;serif" w:hAnsi="Times New Roman;Times;serif"/>
          <w:spacing w:val="16"/>
          <w:sz w:val="20"/>
        </w:rPr>
        <w:t xml:space="preserve"> </w:t>
      </w:r>
      <w:r>
        <w:rPr>
          <w:rFonts w:ascii="Times New Roman;Times;serif" w:hAnsi="Times New Roman;Times;serif"/>
          <w:sz w:val="20"/>
        </w:rPr>
        <w:t>also</w:t>
      </w:r>
      <w:r>
        <w:rPr>
          <w:rFonts w:ascii="Times New Roman;Times;serif" w:hAnsi="Times New Roman;Times;serif"/>
          <w:spacing w:val="18"/>
          <w:sz w:val="20"/>
        </w:rPr>
        <w:t xml:space="preserve"> </w:t>
      </w:r>
      <w:r>
        <w:rPr>
          <w:rFonts w:ascii="Times New Roman;Times;serif" w:hAnsi="Times New Roman;Times;serif"/>
          <w:sz w:val="20"/>
        </w:rPr>
        <w:t>develop</w:t>
      </w:r>
      <w:r>
        <w:rPr>
          <w:rFonts w:ascii="Times New Roman;Times;serif" w:hAnsi="Times New Roman;Times;serif"/>
          <w:spacing w:val="14"/>
          <w:sz w:val="20"/>
        </w:rPr>
        <w:t xml:space="preserve"> </w:t>
      </w:r>
      <w:r>
        <w:rPr>
          <w:rFonts w:ascii="Times New Roman;Times;serif" w:hAnsi="Times New Roman;Times;serif"/>
          <w:sz w:val="20"/>
        </w:rPr>
        <w:t>a</w:t>
      </w:r>
      <w:r>
        <w:rPr>
          <w:rFonts w:ascii="Times New Roman;Times;serif" w:hAnsi="Times New Roman;Times;serif"/>
          <w:spacing w:val="16"/>
          <w:sz w:val="20"/>
        </w:rPr>
        <w:t xml:space="preserve"> </w:t>
      </w:r>
      <w:r>
        <w:rPr>
          <w:rFonts w:ascii="Times New Roman;Times;serif" w:hAnsi="Times New Roman;Times;serif"/>
          <w:sz w:val="20"/>
        </w:rPr>
        <w:t>cultivation</w:t>
      </w:r>
      <w:r>
        <w:rPr>
          <w:rFonts w:ascii="Times New Roman;Times;serif" w:hAnsi="Times New Roman;Times;serif"/>
          <w:spacing w:val="14"/>
          <w:sz w:val="20"/>
        </w:rPr>
        <w:t xml:space="preserve"> </w:t>
      </w:r>
      <w:r>
        <w:rPr>
          <w:rFonts w:ascii="Times New Roman;Times;serif" w:hAnsi="Times New Roman;Times;serif"/>
          <w:sz w:val="20"/>
        </w:rPr>
        <w:t>plan</w:t>
      </w:r>
      <w:r>
        <w:rPr>
          <w:rFonts w:ascii="Times New Roman;Times;serif" w:hAnsi="Times New Roman;Times;serif"/>
          <w:spacing w:val="14"/>
          <w:sz w:val="20"/>
        </w:rPr>
        <w:t xml:space="preserve"> </w:t>
      </w:r>
      <w:r>
        <w:rPr>
          <w:rFonts w:ascii="Times New Roman;Times;serif" w:hAnsi="Times New Roman;Times;serif"/>
          <w:sz w:val="20"/>
        </w:rPr>
        <w:t>that</w:t>
      </w:r>
      <w:r>
        <w:rPr>
          <w:rFonts w:ascii="Times New Roman;Times;serif" w:hAnsi="Times New Roman;Times;serif"/>
          <w:spacing w:val="16"/>
          <w:sz w:val="20"/>
        </w:rPr>
        <w:t xml:space="preserve"> </w:t>
      </w:r>
      <w:r>
        <w:rPr>
          <w:rFonts w:ascii="Times New Roman;Times;serif" w:hAnsi="Times New Roman;Times;serif"/>
          <w:sz w:val="20"/>
        </w:rPr>
        <w:t>details,</w:t>
      </w:r>
      <w:r>
        <w:rPr>
          <w:rFonts w:ascii="Times New Roman;Times;serif" w:hAnsi="Times New Roman;Times;serif"/>
          <w:spacing w:val="18"/>
          <w:sz w:val="20"/>
        </w:rPr>
        <w:t xml:space="preserve"> </w:t>
      </w:r>
      <w:r>
        <w:rPr>
          <w:rFonts w:ascii="Times New Roman;Times;serif" w:hAnsi="Times New Roman;Times;serif"/>
          <w:sz w:val="20"/>
        </w:rPr>
        <w:t>among</w:t>
      </w:r>
      <w:r>
        <w:rPr>
          <w:rFonts w:ascii="Times New Roman;Times;serif" w:hAnsi="Times New Roman;Times;serif"/>
          <w:spacing w:val="16"/>
          <w:sz w:val="20"/>
        </w:rPr>
        <w:t xml:space="preserve"> </w:t>
      </w:r>
      <w:r>
        <w:rPr>
          <w:rFonts w:ascii="Times New Roman;Times;serif" w:hAnsi="Times New Roman;Times;serif"/>
          <w:sz w:val="20"/>
        </w:rPr>
        <w:t>other</w:t>
      </w:r>
      <w:r>
        <w:rPr>
          <w:rFonts w:ascii="Times New Roman;Times;serif" w:hAnsi="Times New Roman;Times;serif"/>
          <w:spacing w:val="16"/>
          <w:sz w:val="20"/>
        </w:rPr>
        <w:t xml:space="preserve"> </w:t>
      </w:r>
      <w:r>
        <w:rPr>
          <w:rFonts w:ascii="Times New Roman;Times;serif" w:hAnsi="Times New Roman;Times;serif"/>
          <w:sz w:val="20"/>
        </w:rPr>
        <w:t>things,</w:t>
      </w:r>
      <w:r>
        <w:rPr>
          <w:rFonts w:ascii="Times New Roman;Times;serif" w:hAnsi="Times New Roman;Times;serif"/>
          <w:spacing w:val="16"/>
          <w:sz w:val="20"/>
        </w:rPr>
        <w:t xml:space="preserve"> </w:t>
      </w:r>
      <w:r>
        <w:rPr>
          <w:rFonts w:ascii="Times New Roman;Times;serif" w:hAnsi="Times New Roman;Times;serif"/>
          <w:sz w:val="20"/>
        </w:rPr>
        <w:t>the</w:t>
      </w:r>
      <w:r>
        <w:rPr>
          <w:rFonts w:ascii="Times New Roman;Times;serif" w:hAnsi="Times New Roman;Times;serif"/>
          <w:spacing w:val="17"/>
          <w:sz w:val="20"/>
        </w:rPr>
        <w:t xml:space="preserve"> </w:t>
      </w:r>
      <w:r>
        <w:rPr>
          <w:rFonts w:ascii="Times New Roman;Times;serif" w:hAnsi="Times New Roman;Times;serif"/>
          <w:sz w:val="20"/>
        </w:rPr>
        <w:t>cultivation</w:t>
      </w:r>
      <w:r>
        <w:rPr>
          <w:rFonts w:ascii="Times New Roman;Times;serif" w:hAnsi="Times New Roman;Times;serif"/>
          <w:spacing w:val="14"/>
          <w:sz w:val="20"/>
        </w:rPr>
        <w:t xml:space="preserve"> </w:t>
      </w:r>
      <w:r>
        <w:rPr>
          <w:rFonts w:ascii="Times New Roman;Times;serif" w:hAnsi="Times New Roman;Times;serif"/>
          <w:sz w:val="20"/>
        </w:rPr>
        <w:t>areas,</w:t>
      </w:r>
      <w:r>
        <w:rPr>
          <w:rFonts w:ascii="Times New Roman;Times;serif" w:hAnsi="Times New Roman;Times;serif"/>
          <w:spacing w:val="18"/>
          <w:sz w:val="20"/>
        </w:rPr>
        <w:t xml:space="preserve"> </w:t>
      </w:r>
      <w:r>
        <w:rPr>
          <w:rFonts w:ascii="Times New Roman;Times;serif" w:hAnsi="Times New Roman;Times;serif"/>
          <w:sz w:val="20"/>
        </w:rPr>
        <w:t>water</w:t>
      </w:r>
      <w:r>
        <w:rPr>
          <w:rFonts w:ascii="Times New Roman;Times;serif" w:hAnsi="Times New Roman;Times;serif"/>
          <w:spacing w:val="17"/>
          <w:sz w:val="20"/>
        </w:rPr>
        <w:t xml:space="preserve"> </w:t>
      </w:r>
      <w:r>
        <w:rPr>
          <w:rFonts w:ascii="Times New Roman;Times;serif" w:hAnsi="Times New Roman;Times;serif"/>
          <w:sz w:val="20"/>
        </w:rPr>
        <w:t>usage,</w:t>
      </w:r>
      <w:r>
        <w:rPr>
          <w:rFonts w:ascii="Times New Roman;Times;serif" w:hAnsi="Times New Roman;Times;serif"/>
          <w:spacing w:val="-1"/>
          <w:sz w:val="20"/>
        </w:rPr>
        <w:t xml:space="preserve"> </w:t>
      </w:r>
      <w:r>
        <w:rPr>
          <w:rFonts w:ascii="Times New Roman;Times;serif" w:hAnsi="Times New Roman;Times;serif"/>
          <w:sz w:val="20"/>
        </w:rPr>
        <w:t>pesticide</w:t>
      </w:r>
      <w:r>
        <w:rPr>
          <w:rFonts w:ascii="Times New Roman;Times;serif" w:hAnsi="Times New Roman;Times;serif"/>
          <w:spacing w:val="36"/>
          <w:sz w:val="20"/>
        </w:rPr>
        <w:t xml:space="preserve"> </w:t>
      </w:r>
      <w:r>
        <w:rPr>
          <w:rFonts w:ascii="Times New Roman;Times;serif" w:hAnsi="Times New Roman;Times;serif"/>
          <w:sz w:val="20"/>
        </w:rPr>
        <w:t>storage</w:t>
      </w:r>
      <w:r>
        <w:rPr>
          <w:rFonts w:ascii="Times New Roman;Times;serif" w:hAnsi="Times New Roman;Times;serif"/>
          <w:spacing w:val="39"/>
          <w:sz w:val="20"/>
        </w:rPr>
        <w:t xml:space="preserve"> </w:t>
      </w:r>
      <w:r>
        <w:rPr>
          <w:rFonts w:ascii="Times New Roman;Times;serif" w:hAnsi="Times New Roman;Times;serif"/>
          <w:sz w:val="20"/>
        </w:rPr>
        <w:t>areas,</w:t>
      </w:r>
      <w:r>
        <w:rPr>
          <w:rFonts w:ascii="Times New Roman;Times;serif" w:hAnsi="Times New Roman;Times;serif"/>
          <w:spacing w:val="38"/>
          <w:sz w:val="20"/>
        </w:rPr>
        <w:t xml:space="preserve"> </w:t>
      </w:r>
      <w:r>
        <w:rPr>
          <w:rFonts w:ascii="Times New Roman;Times;serif" w:hAnsi="Times New Roman;Times;serif"/>
          <w:sz w:val="20"/>
        </w:rPr>
        <w:t>processing</w:t>
      </w:r>
      <w:r>
        <w:rPr>
          <w:rFonts w:ascii="Times New Roman;Times;serif" w:hAnsi="Times New Roman;Times;serif"/>
          <w:spacing w:val="36"/>
          <w:sz w:val="20"/>
        </w:rPr>
        <w:t xml:space="preserve"> </w:t>
      </w:r>
      <w:r>
        <w:rPr>
          <w:rFonts w:ascii="Times New Roman;Times;serif" w:hAnsi="Times New Roman;Times;serif"/>
          <w:sz w:val="20"/>
        </w:rPr>
        <w:t>areas,</w:t>
      </w:r>
      <w:r>
        <w:rPr>
          <w:rFonts w:ascii="Times New Roman;Times;serif" w:hAnsi="Times New Roman;Times;serif"/>
          <w:spacing w:val="38"/>
          <w:sz w:val="20"/>
        </w:rPr>
        <w:t xml:space="preserve"> </w:t>
      </w:r>
      <w:r>
        <w:rPr>
          <w:rFonts w:ascii="Times New Roman;Times;serif" w:hAnsi="Times New Roman;Times;serif"/>
          <w:sz w:val="20"/>
        </w:rPr>
        <w:t>packaging</w:t>
      </w:r>
      <w:r>
        <w:rPr>
          <w:rFonts w:ascii="Times New Roman;Times;serif" w:hAnsi="Times New Roman;Times;serif"/>
          <w:spacing w:val="36"/>
          <w:sz w:val="20"/>
        </w:rPr>
        <w:t xml:space="preserve"> </w:t>
      </w:r>
      <w:r>
        <w:rPr>
          <w:rFonts w:ascii="Times New Roman;Times;serif" w:hAnsi="Times New Roman;Times;serif"/>
          <w:sz w:val="20"/>
        </w:rPr>
        <w:t>areas,</w:t>
      </w:r>
      <w:r>
        <w:rPr>
          <w:rFonts w:ascii="Times New Roman;Times;serif" w:hAnsi="Times New Roman;Times;serif"/>
          <w:spacing w:val="36"/>
          <w:sz w:val="20"/>
        </w:rPr>
        <w:t xml:space="preserve"> </w:t>
      </w:r>
      <w:r>
        <w:rPr>
          <w:rFonts w:ascii="Times New Roman;Times;serif" w:hAnsi="Times New Roman;Times;serif"/>
          <w:sz w:val="20"/>
        </w:rPr>
        <w:t>a</w:t>
      </w:r>
      <w:r>
        <w:rPr>
          <w:rFonts w:ascii="Times New Roman;Times;serif" w:hAnsi="Times New Roman;Times;serif"/>
          <w:spacing w:val="39"/>
          <w:sz w:val="20"/>
        </w:rPr>
        <w:t xml:space="preserve"> </w:t>
      </w:r>
      <w:r>
        <w:rPr>
          <w:rFonts w:ascii="Times New Roman;Times;serif" w:hAnsi="Times New Roman;Times;serif"/>
          <w:sz w:val="20"/>
        </w:rPr>
        <w:t>light</w:t>
      </w:r>
      <w:r>
        <w:rPr>
          <w:rFonts w:ascii="Times New Roman;Times;serif" w:hAnsi="Times New Roman;Times;serif"/>
          <w:spacing w:val="38"/>
          <w:sz w:val="20"/>
        </w:rPr>
        <w:t xml:space="preserve"> </w:t>
      </w:r>
      <w:r>
        <w:rPr>
          <w:rFonts w:ascii="Times New Roman;Times;serif" w:hAnsi="Times New Roman;Times;serif"/>
          <w:sz w:val="20"/>
        </w:rPr>
        <w:t>diagram,</w:t>
      </w:r>
      <w:r>
        <w:rPr>
          <w:rFonts w:ascii="Times New Roman;Times;serif" w:hAnsi="Times New Roman;Times;serif"/>
          <w:spacing w:val="38"/>
          <w:sz w:val="20"/>
        </w:rPr>
        <w:t xml:space="preserve"> </w:t>
      </w:r>
      <w:r>
        <w:rPr>
          <w:rFonts w:ascii="Times New Roman;Times;serif" w:hAnsi="Times New Roman;Times;serif"/>
          <w:sz w:val="20"/>
        </w:rPr>
        <w:t>if</w:t>
      </w:r>
      <w:r>
        <w:rPr>
          <w:rFonts w:ascii="Times New Roman;Times;serif" w:hAnsi="Times New Roman;Times;serif"/>
          <w:spacing w:val="35"/>
          <w:sz w:val="20"/>
        </w:rPr>
        <w:t xml:space="preserve"> </w:t>
      </w:r>
      <w:r>
        <w:rPr>
          <w:rFonts w:ascii="Times New Roman;Times;serif" w:hAnsi="Times New Roman;Times;serif"/>
          <w:sz w:val="20"/>
        </w:rPr>
        <w:t>applicable,</w:t>
      </w:r>
      <w:r>
        <w:rPr>
          <w:rFonts w:ascii="Times New Roman;Times;serif" w:hAnsi="Times New Roman;Times;serif"/>
          <w:spacing w:val="38"/>
          <w:sz w:val="20"/>
        </w:rPr>
        <w:t xml:space="preserve"> </w:t>
      </w:r>
      <w:r>
        <w:rPr>
          <w:rFonts w:ascii="Times New Roman;Times;serif" w:hAnsi="Times New Roman;Times;serif"/>
          <w:sz w:val="20"/>
        </w:rPr>
        <w:t>pest</w:t>
      </w:r>
      <w:r>
        <w:rPr>
          <w:rFonts w:ascii="Times New Roman;Times;serif" w:hAnsi="Times New Roman;Times;serif"/>
          <w:spacing w:val="38"/>
          <w:sz w:val="20"/>
        </w:rPr>
        <w:t xml:space="preserve"> </w:t>
      </w:r>
      <w:r>
        <w:rPr>
          <w:rFonts w:ascii="Times New Roman;Times;serif" w:hAnsi="Times New Roman;Times;serif"/>
          <w:sz w:val="20"/>
        </w:rPr>
        <w:t>management</w:t>
      </w:r>
      <w:r>
        <w:rPr>
          <w:rFonts w:ascii="Times New Roman;Times;serif" w:hAnsi="Times New Roman;Times;serif"/>
          <w:spacing w:val="36"/>
          <w:sz w:val="20"/>
        </w:rPr>
        <w:t xml:space="preserve"> </w:t>
      </w:r>
      <w:r>
        <w:rPr>
          <w:rFonts w:ascii="Times New Roman;Times;serif" w:hAnsi="Times New Roman;Times;serif"/>
          <w:sz w:val="20"/>
        </w:rPr>
        <w:t>and</w:t>
      </w:r>
      <w:r>
        <w:rPr>
          <w:rFonts w:ascii="Times New Roman;Times;serif" w:hAnsi="Times New Roman;Times;serif"/>
          <w:spacing w:val="-1"/>
          <w:sz w:val="20"/>
        </w:rPr>
        <w:t xml:space="preserve"> </w:t>
      </w:r>
      <w:r>
        <w:rPr>
          <w:rFonts w:ascii="Times New Roman;Times;serif" w:hAnsi="Times New Roman;Times;serif"/>
          <w:sz w:val="20"/>
        </w:rPr>
        <w:t>cannabis</w:t>
      </w:r>
      <w:r>
        <w:rPr>
          <w:rFonts w:ascii="Times New Roman;Times;serif" w:hAnsi="Times New Roman;Times;serif"/>
          <w:spacing w:val="22"/>
          <w:sz w:val="20"/>
        </w:rPr>
        <w:t xml:space="preserve"> </w:t>
      </w:r>
      <w:r>
        <w:rPr>
          <w:rFonts w:ascii="Times New Roman;Times;serif" w:hAnsi="Times New Roman;Times;serif"/>
          <w:sz w:val="20"/>
        </w:rPr>
        <w:t>waste</w:t>
      </w:r>
      <w:r>
        <w:rPr>
          <w:rFonts w:ascii="Times New Roman;Times;serif" w:hAnsi="Times New Roman;Times;serif"/>
          <w:spacing w:val="21"/>
          <w:sz w:val="20"/>
        </w:rPr>
        <w:t xml:space="preserve"> </w:t>
      </w:r>
      <w:r>
        <w:rPr>
          <w:rFonts w:ascii="Times New Roman;Times;serif" w:hAnsi="Times New Roman;Times;serif"/>
          <w:sz w:val="20"/>
        </w:rPr>
        <w:t>procedures.</w:t>
      </w:r>
      <w:r>
        <w:rPr>
          <w:rFonts w:ascii="Times New Roman;Times;serif" w:hAnsi="Times New Roman;Times;serif"/>
          <w:spacing w:val="24"/>
          <w:sz w:val="20"/>
        </w:rPr>
        <w:t xml:space="preserve"> </w:t>
      </w:r>
      <w:r>
        <w:rPr>
          <w:rFonts w:ascii="Times New Roman;Times;serif" w:hAnsi="Times New Roman;Times;serif"/>
          <w:sz w:val="20"/>
        </w:rPr>
        <w:t>A</w:t>
      </w:r>
      <w:r>
        <w:rPr>
          <w:rFonts w:ascii="Times New Roman;Times;serif" w:hAnsi="Times New Roman;Times;serif"/>
          <w:spacing w:val="22"/>
          <w:sz w:val="20"/>
        </w:rPr>
        <w:t xml:space="preserve"> </w:t>
      </w:r>
      <w:r>
        <w:rPr>
          <w:rFonts w:ascii="Times New Roman;Times;serif" w:hAnsi="Times New Roman;Times;serif"/>
          <w:sz w:val="20"/>
        </w:rPr>
        <w:t>producer</w:t>
      </w:r>
      <w:r>
        <w:rPr>
          <w:rFonts w:ascii="Times New Roman;Times;serif" w:hAnsi="Times New Roman;Times;serif"/>
          <w:spacing w:val="21"/>
          <w:sz w:val="20"/>
        </w:rPr>
        <w:t xml:space="preserve"> </w:t>
      </w:r>
      <w:r>
        <w:rPr>
          <w:rFonts w:ascii="Times New Roman;Times;serif" w:hAnsi="Times New Roman;Times;serif"/>
          <w:sz w:val="20"/>
        </w:rPr>
        <w:t>must</w:t>
      </w:r>
      <w:r>
        <w:rPr>
          <w:rFonts w:ascii="Times New Roman;Times;serif" w:hAnsi="Times New Roman;Times;serif"/>
          <w:spacing w:val="24"/>
          <w:sz w:val="20"/>
        </w:rPr>
        <w:t xml:space="preserve"> </w:t>
      </w:r>
      <w:r>
        <w:rPr>
          <w:rFonts w:ascii="Times New Roman;Times;serif" w:hAnsi="Times New Roman;Times;serif"/>
          <w:sz w:val="20"/>
        </w:rPr>
        <w:t>follow</w:t>
      </w:r>
      <w:r>
        <w:rPr>
          <w:rFonts w:ascii="Times New Roman;Times;serif" w:hAnsi="Times New Roman;Times;serif"/>
          <w:spacing w:val="18"/>
          <w:sz w:val="20"/>
        </w:rPr>
        <w:t xml:space="preserve"> </w:t>
      </w:r>
      <w:r>
        <w:rPr>
          <w:rFonts w:ascii="Times New Roman;Times;serif" w:hAnsi="Times New Roman;Times;serif"/>
          <w:sz w:val="20"/>
        </w:rPr>
        <w:t>stringent</w:t>
      </w:r>
      <w:r>
        <w:rPr>
          <w:rFonts w:ascii="Times New Roman;Times;serif" w:hAnsi="Times New Roman;Times;serif"/>
          <w:spacing w:val="21"/>
          <w:sz w:val="20"/>
        </w:rPr>
        <w:t xml:space="preserve"> </w:t>
      </w:r>
      <w:r>
        <w:rPr>
          <w:rFonts w:ascii="Times New Roman;Times;serif" w:hAnsi="Times New Roman;Times;serif"/>
          <w:sz w:val="20"/>
        </w:rPr>
        <w:t>health</w:t>
      </w:r>
      <w:r>
        <w:rPr>
          <w:rFonts w:ascii="Times New Roman;Times;serif" w:hAnsi="Times New Roman;Times;serif"/>
          <w:spacing w:val="20"/>
          <w:sz w:val="20"/>
        </w:rPr>
        <w:t xml:space="preserve"> </w:t>
      </w:r>
      <w:r>
        <w:rPr>
          <w:rFonts w:ascii="Times New Roman;Times;serif" w:hAnsi="Times New Roman;Times;serif"/>
          <w:sz w:val="20"/>
        </w:rPr>
        <w:t>and</w:t>
      </w:r>
      <w:r>
        <w:rPr>
          <w:rFonts w:ascii="Times New Roman;Times;serif" w:hAnsi="Times New Roman;Times;serif"/>
          <w:spacing w:val="22"/>
          <w:sz w:val="20"/>
        </w:rPr>
        <w:t xml:space="preserve"> </w:t>
      </w:r>
      <w:r>
        <w:rPr>
          <w:rFonts w:ascii="Times New Roman;Times;serif" w:hAnsi="Times New Roman;Times;serif"/>
          <w:sz w:val="20"/>
        </w:rPr>
        <w:t>safety</w:t>
      </w:r>
      <w:r>
        <w:rPr>
          <w:rFonts w:ascii="Times New Roman;Times;serif" w:hAnsi="Times New Roman;Times;serif"/>
          <w:spacing w:val="20"/>
          <w:sz w:val="20"/>
        </w:rPr>
        <w:t xml:space="preserve"> </w:t>
      </w:r>
      <w:r>
        <w:rPr>
          <w:rFonts w:ascii="Times New Roman;Times;serif" w:hAnsi="Times New Roman;Times;serif"/>
          <w:sz w:val="20"/>
        </w:rPr>
        <w:t>requirements</w:t>
      </w:r>
      <w:r>
        <w:rPr>
          <w:rFonts w:ascii="Times New Roman;Times;serif" w:hAnsi="Times New Roman;Times;serif"/>
          <w:spacing w:val="20"/>
          <w:sz w:val="20"/>
        </w:rPr>
        <w:t xml:space="preserve"> </w:t>
      </w:r>
      <w:r>
        <w:rPr>
          <w:rFonts w:ascii="Times New Roman;Times;serif" w:hAnsi="Times New Roman;Times;serif"/>
          <w:sz w:val="20"/>
        </w:rPr>
        <w:t>that</w:t>
      </w:r>
      <w:r>
        <w:rPr>
          <w:rFonts w:ascii="Times New Roman;Times;serif" w:hAnsi="Times New Roman;Times;serif"/>
          <w:spacing w:val="20"/>
          <w:sz w:val="20"/>
        </w:rPr>
        <w:t xml:space="preserve"> </w:t>
      </w:r>
      <w:r>
        <w:rPr>
          <w:rFonts w:ascii="Times New Roman;Times;serif" w:hAnsi="Times New Roman;Times;serif"/>
          <w:sz w:val="20"/>
        </w:rPr>
        <w:t>cover</w:t>
      </w:r>
      <w:r>
        <w:rPr>
          <w:rFonts w:ascii="Times New Roman;Times;serif" w:hAnsi="Times New Roman;Times;serif"/>
          <w:spacing w:val="21"/>
          <w:sz w:val="20"/>
        </w:rPr>
        <w:t xml:space="preserve"> </w:t>
      </w:r>
      <w:r>
        <w:rPr>
          <w:rFonts w:ascii="Times New Roman;Times;serif" w:hAnsi="Times New Roman;Times;serif"/>
          <w:sz w:val="20"/>
        </w:rPr>
        <w:t>premises,</w:t>
      </w:r>
      <w:r>
        <w:rPr>
          <w:rFonts w:ascii="Times New Roman;Times;serif" w:hAnsi="Times New Roman;Times;serif"/>
          <w:spacing w:val="-1"/>
          <w:sz w:val="20"/>
        </w:rPr>
        <w:t xml:space="preserve"> </w:t>
      </w:r>
      <w:r>
        <w:rPr>
          <w:rFonts w:ascii="Times New Roman;Times;serif" w:hAnsi="Times New Roman;Times;serif"/>
          <w:sz w:val="20"/>
        </w:rPr>
        <w:t>equipment</w:t>
      </w:r>
      <w:r>
        <w:rPr>
          <w:rFonts w:ascii="Times New Roman;Times;serif" w:hAnsi="Times New Roman;Times;serif"/>
          <w:spacing w:val="13"/>
          <w:sz w:val="20"/>
        </w:rPr>
        <w:t xml:space="preserve"> </w:t>
      </w:r>
      <w:r>
        <w:rPr>
          <w:rFonts w:ascii="Times New Roman;Times;serif" w:hAnsi="Times New Roman;Times;serif"/>
          <w:sz w:val="20"/>
        </w:rPr>
        <w:t>and</w:t>
      </w:r>
      <w:r>
        <w:rPr>
          <w:rFonts w:ascii="Times New Roman;Times;serif" w:hAnsi="Times New Roman;Times;serif"/>
          <w:spacing w:val="14"/>
          <w:sz w:val="20"/>
        </w:rPr>
        <w:t xml:space="preserve"> </w:t>
      </w:r>
      <w:r>
        <w:rPr>
          <w:rFonts w:ascii="Times New Roman;Times;serif" w:hAnsi="Times New Roman;Times;serif"/>
          <w:sz w:val="20"/>
        </w:rPr>
        <w:t>employees.</w:t>
      </w:r>
      <w:r>
        <w:rPr>
          <w:rFonts w:ascii="Times New Roman;Times;serif" w:hAnsi="Times New Roman;Times;serif"/>
          <w:spacing w:val="14"/>
          <w:sz w:val="20"/>
        </w:rPr>
        <w:t xml:space="preserve"> </w:t>
      </w:r>
      <w:r>
        <w:rPr>
          <w:rFonts w:ascii="Times New Roman;Times;serif" w:hAnsi="Times New Roman;Times;serif"/>
          <w:sz w:val="20"/>
        </w:rPr>
        <w:t>The</w:t>
      </w:r>
      <w:r>
        <w:rPr>
          <w:rFonts w:ascii="Times New Roman;Times;serif" w:hAnsi="Times New Roman;Times;serif"/>
          <w:spacing w:val="15"/>
          <w:sz w:val="20"/>
        </w:rPr>
        <w:t xml:space="preserve"> </w:t>
      </w:r>
      <w:r>
        <w:rPr>
          <w:rFonts w:ascii="Times New Roman;Times;serif" w:hAnsi="Times New Roman;Times;serif"/>
          <w:sz w:val="20"/>
        </w:rPr>
        <w:t>use</w:t>
      </w:r>
      <w:r>
        <w:rPr>
          <w:rFonts w:ascii="Times New Roman;Times;serif" w:hAnsi="Times New Roman;Times;serif"/>
          <w:spacing w:val="12"/>
          <w:sz w:val="20"/>
        </w:rPr>
        <w:t xml:space="preserve"> </w:t>
      </w:r>
      <w:r>
        <w:rPr>
          <w:rFonts w:ascii="Times New Roman;Times;serif" w:hAnsi="Times New Roman;Times;serif"/>
          <w:sz w:val="20"/>
        </w:rPr>
        <w:t>of</w:t>
      </w:r>
      <w:r>
        <w:rPr>
          <w:rFonts w:ascii="Times New Roman;Times;serif" w:hAnsi="Times New Roman;Times;serif"/>
          <w:spacing w:val="12"/>
          <w:sz w:val="20"/>
        </w:rPr>
        <w:t xml:space="preserve"> </w:t>
      </w:r>
      <w:r>
        <w:rPr>
          <w:rFonts w:ascii="Times New Roman;Times;serif" w:hAnsi="Times New Roman;Times;serif"/>
          <w:sz w:val="20"/>
        </w:rPr>
        <w:t>pesticides</w:t>
      </w:r>
      <w:r>
        <w:rPr>
          <w:rFonts w:ascii="Times New Roman;Times;serif" w:hAnsi="Times New Roman;Times;serif"/>
          <w:spacing w:val="12"/>
          <w:sz w:val="20"/>
        </w:rPr>
        <w:t xml:space="preserve"> </w:t>
      </w:r>
      <w:r>
        <w:rPr>
          <w:rFonts w:ascii="Times New Roman;Times;serif" w:hAnsi="Times New Roman;Times;serif"/>
          <w:sz w:val="20"/>
        </w:rPr>
        <w:t>is</w:t>
      </w:r>
      <w:r>
        <w:rPr>
          <w:rFonts w:ascii="Times New Roman;Times;serif" w:hAnsi="Times New Roman;Times;serif"/>
          <w:spacing w:val="12"/>
          <w:sz w:val="20"/>
        </w:rPr>
        <w:t xml:space="preserve"> </w:t>
      </w:r>
      <w:r>
        <w:rPr>
          <w:rFonts w:ascii="Times New Roman;Times;serif" w:hAnsi="Times New Roman;Times;serif"/>
          <w:sz w:val="20"/>
        </w:rPr>
        <w:t>permitted</w:t>
      </w:r>
      <w:r>
        <w:rPr>
          <w:rFonts w:ascii="Times New Roman;Times;serif" w:hAnsi="Times New Roman;Times;serif"/>
          <w:spacing w:val="14"/>
          <w:sz w:val="20"/>
        </w:rPr>
        <w:t xml:space="preserve"> </w:t>
      </w:r>
      <w:r>
        <w:rPr>
          <w:rFonts w:ascii="Times New Roman;Times;serif" w:hAnsi="Times New Roman;Times;serif"/>
          <w:sz w:val="20"/>
        </w:rPr>
        <w:t>so</w:t>
      </w:r>
      <w:r>
        <w:rPr>
          <w:rFonts w:ascii="Times New Roman;Times;serif" w:hAnsi="Times New Roman;Times;serif"/>
          <w:spacing w:val="12"/>
          <w:sz w:val="20"/>
        </w:rPr>
        <w:t xml:space="preserve"> </w:t>
      </w:r>
      <w:r>
        <w:rPr>
          <w:rFonts w:ascii="Times New Roman;Times;serif" w:hAnsi="Times New Roman;Times;serif"/>
          <w:sz w:val="20"/>
        </w:rPr>
        <w:t>long</w:t>
      </w:r>
      <w:r>
        <w:rPr>
          <w:rFonts w:ascii="Times New Roman;Times;serif" w:hAnsi="Times New Roman;Times;serif"/>
          <w:spacing w:val="12"/>
          <w:sz w:val="20"/>
        </w:rPr>
        <w:t xml:space="preserve"> </w:t>
      </w:r>
      <w:r>
        <w:rPr>
          <w:rFonts w:ascii="Times New Roman;Times;serif" w:hAnsi="Times New Roman;Times;serif"/>
          <w:sz w:val="20"/>
        </w:rPr>
        <w:t>as</w:t>
      </w:r>
      <w:r>
        <w:rPr>
          <w:rFonts w:ascii="Times New Roman;Times;serif" w:hAnsi="Times New Roman;Times;serif"/>
          <w:spacing w:val="12"/>
          <w:sz w:val="20"/>
        </w:rPr>
        <w:t xml:space="preserve"> </w:t>
      </w:r>
      <w:r>
        <w:rPr>
          <w:rFonts w:ascii="Times New Roman;Times;serif" w:hAnsi="Times New Roman;Times;serif"/>
          <w:sz w:val="20"/>
        </w:rPr>
        <w:t>they</w:t>
      </w:r>
      <w:r>
        <w:rPr>
          <w:rFonts w:ascii="Times New Roman;Times;serif" w:hAnsi="Times New Roman;Times;serif"/>
          <w:spacing w:val="10"/>
          <w:sz w:val="20"/>
        </w:rPr>
        <w:t xml:space="preserve"> </w:t>
      </w:r>
      <w:r>
        <w:rPr>
          <w:rFonts w:ascii="Times New Roman;Times;serif" w:hAnsi="Times New Roman;Times;serif"/>
          <w:sz w:val="20"/>
        </w:rPr>
        <w:t>are</w:t>
      </w:r>
      <w:r>
        <w:rPr>
          <w:rFonts w:ascii="Times New Roman;Times;serif" w:hAnsi="Times New Roman;Times;serif"/>
          <w:spacing w:val="12"/>
          <w:sz w:val="20"/>
        </w:rPr>
        <w:t xml:space="preserve"> </w:t>
      </w:r>
      <w:r>
        <w:rPr>
          <w:rFonts w:ascii="Times New Roman;Times;serif" w:hAnsi="Times New Roman;Times;serif"/>
          <w:sz w:val="20"/>
        </w:rPr>
        <w:t>used</w:t>
      </w:r>
      <w:r>
        <w:rPr>
          <w:rFonts w:ascii="Times New Roman;Times;serif" w:hAnsi="Times New Roman;Times;serif"/>
          <w:spacing w:val="14"/>
          <w:sz w:val="20"/>
        </w:rPr>
        <w:t xml:space="preserve"> </w:t>
      </w:r>
      <w:r>
        <w:rPr>
          <w:rFonts w:ascii="Times New Roman;Times;serif" w:hAnsi="Times New Roman;Times;serif"/>
          <w:sz w:val="20"/>
        </w:rPr>
        <w:t>in</w:t>
      </w:r>
      <w:r>
        <w:rPr>
          <w:rFonts w:ascii="Times New Roman;Times;serif" w:hAnsi="Times New Roman;Times;serif"/>
          <w:spacing w:val="12"/>
          <w:sz w:val="20"/>
        </w:rPr>
        <w:t xml:space="preserve"> </w:t>
      </w:r>
      <w:r>
        <w:rPr>
          <w:rFonts w:ascii="Times New Roman;Times;serif" w:hAnsi="Times New Roman;Times;serif"/>
          <w:sz w:val="20"/>
        </w:rPr>
        <w:t>accordance</w:t>
      </w:r>
      <w:r>
        <w:rPr>
          <w:rFonts w:ascii="Times New Roman;Times;serif" w:hAnsi="Times New Roman;Times;serif"/>
          <w:spacing w:val="14"/>
          <w:sz w:val="20"/>
        </w:rPr>
        <w:t xml:space="preserve"> </w:t>
      </w:r>
      <w:r>
        <w:rPr>
          <w:rFonts w:ascii="Times New Roman;Times;serif" w:hAnsi="Times New Roman;Times;serif"/>
          <w:sz w:val="20"/>
        </w:rPr>
        <w:t>with</w:t>
      </w:r>
      <w:r>
        <w:rPr>
          <w:rFonts w:ascii="Times New Roman;Times;serif" w:hAnsi="Times New Roman;Times;serif"/>
          <w:spacing w:val="14"/>
          <w:sz w:val="20"/>
        </w:rPr>
        <w:t xml:space="preserve"> </w:t>
      </w:r>
      <w:r>
        <w:rPr>
          <w:rFonts w:ascii="Times New Roman;Times;serif" w:hAnsi="Times New Roman;Times;serif"/>
          <w:sz w:val="20"/>
        </w:rPr>
        <w:t>the</w:t>
      </w:r>
      <w:r>
        <w:rPr>
          <w:rFonts w:ascii="Times New Roman;Times;serif" w:hAnsi="Times New Roman;Times;serif"/>
          <w:spacing w:val="14"/>
          <w:sz w:val="20"/>
        </w:rPr>
        <w:t xml:space="preserve"> </w:t>
      </w:r>
      <w:r>
        <w:rPr>
          <w:rFonts w:ascii="Times New Roman;Times;serif" w:hAnsi="Times New Roman;Times;serif"/>
          <w:sz w:val="20"/>
        </w:rPr>
        <w:t>New</w:t>
      </w:r>
      <w:r>
        <w:rPr>
          <w:rFonts w:ascii="Times New Roman;Times;serif" w:hAnsi="Times New Roman;Times;serif"/>
          <w:spacing w:val="-1"/>
          <w:sz w:val="20"/>
        </w:rPr>
        <w:t xml:space="preserve"> </w:t>
      </w:r>
      <w:r>
        <w:rPr>
          <w:rFonts w:ascii="Times New Roman;Times;serif" w:hAnsi="Times New Roman;Times;serif"/>
          <w:sz w:val="20"/>
        </w:rPr>
        <w:t>Mexico Pesticide</w:t>
      </w:r>
      <w:r>
        <w:rPr>
          <w:rFonts w:ascii="Times New Roman;Times;serif" w:hAnsi="Times New Roman;Times;serif"/>
          <w:spacing w:val="-2"/>
          <w:sz w:val="20"/>
        </w:rPr>
        <w:t xml:space="preserve"> </w:t>
      </w:r>
      <w:r>
        <w:rPr>
          <w:rFonts w:ascii="Times New Roman;Times;serif" w:hAnsi="Times New Roman;Times;serif"/>
          <w:sz w:val="20"/>
        </w:rPr>
        <w:t>Control Act.</w:t>
      </w:r>
    </w:p>
    <w:p>
      <w:pPr>
        <w:pStyle w:val="TextBody"/>
        <w:spacing w:before="0" w:after="240"/>
        <w:ind w:left="100" w:right="0" w:hanging="0"/>
        <w:jc w:val="both"/>
        <w:rPr>
          <w:rFonts w:ascii="Times New Roman;Times;serif" w:hAnsi="Times New Roman;Times;serif"/>
          <w:i/>
          <w:sz w:val="20"/>
        </w:rPr>
      </w:pPr>
      <w:r>
        <w:rPr>
          <w:rFonts w:ascii="Times New Roman;Times;serif" w:hAnsi="Times New Roman;Times;serif"/>
          <w:i/>
          <w:sz w:val="20"/>
        </w:rPr>
        <w:t>Manufacturing Requirements</w:t>
      </w:r>
    </w:p>
    <w:p>
      <w:pPr>
        <w:pStyle w:val="TextBody"/>
        <w:spacing w:before="0" w:after="240"/>
        <w:ind w:left="100" w:right="0" w:hanging="0"/>
        <w:jc w:val="both"/>
        <w:rPr>
          <w:rFonts w:ascii="Times New Roman;Times;serif" w:hAnsi="Times New Roman;Times;serif"/>
          <w:sz w:val="20"/>
        </w:rPr>
      </w:pPr>
      <w:r>
        <w:rPr>
          <w:rFonts w:ascii="Times New Roman;Times;serif" w:hAnsi="Times New Roman;Times;serif"/>
          <w:sz w:val="20"/>
        </w:rPr>
        <w:t>There are four classes of manufacturing licenses:</w:t>
      </w:r>
    </w:p>
    <w:tbl>
      <w:tblPr>
        <w:tblW w:w="10205" w:type="dxa"/>
        <w:jc w:val="left"/>
        <w:tblInd w:w="0" w:type="dxa"/>
        <w:tblCellMar>
          <w:top w:w="28" w:type="dxa"/>
          <w:left w:w="28" w:type="dxa"/>
          <w:bottom w:w="28" w:type="dxa"/>
          <w:right w:w="28" w:type="dxa"/>
        </w:tblCellMar>
      </w:tblPr>
      <w:tblGrid>
        <w:gridCol w:w="124"/>
        <w:gridCol w:w="252"/>
        <w:gridCol w:w="9674"/>
        <w:gridCol w:w="155"/>
      </w:tblGrid>
      <w:tr>
        <w:trPr/>
        <w:tc>
          <w:tcPr>
            <w:tcW w:w="124"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8.</w:t>
            </w:r>
          </w:p>
        </w:tc>
        <w:tc>
          <w:tcPr>
            <w:tcW w:w="9674"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Class</w:t>
            </w:r>
            <w:r>
              <w:rPr>
                <w:caps w:val="false"/>
                <w:smallCaps w:val="false"/>
                <w:spacing w:val="-7"/>
              </w:rPr>
              <w:t xml:space="preserve"> </w:t>
            </w:r>
            <w:r>
              <w:rPr>
                <w:rFonts w:ascii="Times New Roman;Times;serif" w:hAnsi="Times New Roman;Times;serif"/>
                <w:b w:val="false"/>
                <w:i w:val="false"/>
                <w:caps w:val="false"/>
                <w:smallCaps w:val="false"/>
                <w:sz w:val="20"/>
              </w:rPr>
              <w:t>I:</w:t>
            </w:r>
            <w:r>
              <w:rPr>
                <w:caps w:val="false"/>
                <w:smallCaps w:val="false"/>
                <w:spacing w:val="-3"/>
              </w:rPr>
              <w:t xml:space="preserve"> </w:t>
            </w:r>
            <w:r>
              <w:rPr>
                <w:rFonts w:ascii="Times New Roman;Times;serif" w:hAnsi="Times New Roman;Times;serif"/>
                <w:b w:val="false"/>
                <w:i w:val="false"/>
                <w:caps w:val="false"/>
                <w:smallCaps w:val="false"/>
                <w:sz w:val="20"/>
              </w:rPr>
              <w:t>A</w:t>
            </w:r>
            <w:r>
              <w:rPr>
                <w:caps w:val="false"/>
                <w:smallCaps w:val="false"/>
                <w:spacing w:val="-9"/>
              </w:rPr>
              <w:t xml:space="preserve"> </w:t>
            </w:r>
            <w:r>
              <w:rPr>
                <w:rFonts w:ascii="Times New Roman;Times;serif" w:hAnsi="Times New Roman;Times;serif"/>
                <w:b w:val="false"/>
                <w:i w:val="false"/>
                <w:caps w:val="false"/>
                <w:smallCaps w:val="false"/>
                <w:sz w:val="20"/>
              </w:rPr>
              <w:t>licensee</w:t>
            </w:r>
            <w:r>
              <w:rPr>
                <w:caps w:val="false"/>
                <w:smallCaps w:val="false"/>
                <w:spacing w:val="-7"/>
              </w:rPr>
              <w:t xml:space="preserve"> </w:t>
            </w:r>
            <w:r>
              <w:rPr>
                <w:rFonts w:ascii="Times New Roman;Times;serif" w:hAnsi="Times New Roman;Times;serif"/>
                <w:b w:val="false"/>
                <w:i w:val="false"/>
                <w:caps w:val="false"/>
                <w:smallCaps w:val="false"/>
                <w:sz w:val="20"/>
              </w:rPr>
              <w:t>that</w:t>
            </w:r>
            <w:r>
              <w:rPr>
                <w:caps w:val="false"/>
                <w:smallCaps w:val="false"/>
                <w:spacing w:val="-5"/>
              </w:rPr>
              <w:t xml:space="preserve"> </w:t>
            </w:r>
            <w:r>
              <w:rPr>
                <w:rFonts w:ascii="Times New Roman;Times;serif" w:hAnsi="Times New Roman;Times;serif"/>
                <w:b w:val="false"/>
                <w:i w:val="false"/>
                <w:caps w:val="false"/>
                <w:smallCaps w:val="false"/>
                <w:sz w:val="20"/>
              </w:rPr>
              <w:t>only</w:t>
            </w:r>
            <w:r>
              <w:rPr>
                <w:caps w:val="false"/>
                <w:smallCaps w:val="false"/>
                <w:spacing w:val="-7"/>
              </w:rPr>
              <w:t xml:space="preserve"> </w:t>
            </w:r>
            <w:r>
              <w:rPr>
                <w:rFonts w:ascii="Times New Roman;Times;serif" w:hAnsi="Times New Roman;Times;serif"/>
                <w:b w:val="false"/>
                <w:i w:val="false"/>
                <w:caps w:val="false"/>
                <w:smallCaps w:val="false"/>
                <w:sz w:val="20"/>
              </w:rPr>
              <w:t>packages</w:t>
            </w:r>
            <w:r>
              <w:rPr>
                <w:caps w:val="false"/>
                <w:smallCaps w:val="false"/>
                <w:spacing w:val="-7"/>
              </w:rPr>
              <w:t xml:space="preserve"> </w:t>
            </w:r>
            <w:r>
              <w:rPr>
                <w:rFonts w:ascii="Times New Roman;Times;serif" w:hAnsi="Times New Roman;Times;serif"/>
                <w:b w:val="false"/>
                <w:i w:val="false"/>
                <w:caps w:val="false"/>
                <w:smallCaps w:val="false"/>
                <w:sz w:val="20"/>
              </w:rPr>
              <w:t>or</w:t>
            </w:r>
            <w:r>
              <w:rPr>
                <w:caps w:val="false"/>
                <w:smallCaps w:val="false"/>
                <w:spacing w:val="-4"/>
              </w:rPr>
              <w:t xml:space="preserve"> </w:t>
            </w:r>
            <w:r>
              <w:rPr>
                <w:rFonts w:ascii="Times New Roman;Times;serif" w:hAnsi="Times New Roman;Times;serif"/>
                <w:b w:val="false"/>
                <w:i w:val="false"/>
                <w:caps w:val="false"/>
                <w:smallCaps w:val="false"/>
                <w:sz w:val="20"/>
              </w:rPr>
              <w:t>repackages</w:t>
            </w:r>
            <w:r>
              <w:rPr>
                <w:caps w:val="false"/>
                <w:smallCaps w:val="false"/>
                <w:spacing w:val="-7"/>
              </w:rPr>
              <w:t xml:space="preserve"> </w:t>
            </w:r>
            <w:r>
              <w:rPr>
                <w:rFonts w:ascii="Times New Roman;Times;serif" w:hAnsi="Times New Roman;Times;serif"/>
                <w:b w:val="false"/>
                <w:i w:val="false"/>
                <w:caps w:val="false"/>
                <w:smallCaps w:val="false"/>
                <w:sz w:val="20"/>
              </w:rPr>
              <w:t>cannabis</w:t>
            </w:r>
            <w:r>
              <w:rPr>
                <w:caps w:val="false"/>
                <w:smallCaps w:val="false"/>
                <w:spacing w:val="-4"/>
              </w:rPr>
              <w:t xml:space="preserve"> </w:t>
            </w:r>
            <w:r>
              <w:rPr>
                <w:rFonts w:ascii="Times New Roman;Times;serif" w:hAnsi="Times New Roman;Times;serif"/>
                <w:b w:val="false"/>
                <w:i w:val="false"/>
                <w:caps w:val="false"/>
                <w:smallCaps w:val="false"/>
                <w:sz w:val="20"/>
              </w:rPr>
              <w:t>products,</w:t>
            </w:r>
            <w:r>
              <w:rPr>
                <w:caps w:val="false"/>
                <w:smallCaps w:val="false"/>
                <w:spacing w:val="-4"/>
              </w:rPr>
              <w:t xml:space="preserve"> </w:t>
            </w:r>
            <w:r>
              <w:rPr>
                <w:rFonts w:ascii="Times New Roman;Times;serif" w:hAnsi="Times New Roman;Times;serif"/>
                <w:b w:val="false"/>
                <w:i w:val="false"/>
                <w:caps w:val="false"/>
                <w:smallCaps w:val="false"/>
                <w:sz w:val="20"/>
              </w:rPr>
              <w:t>or</w:t>
            </w:r>
            <w:r>
              <w:rPr>
                <w:caps w:val="false"/>
                <w:smallCaps w:val="false"/>
                <w:spacing w:val="-7"/>
              </w:rPr>
              <w:t xml:space="preserve"> </w:t>
            </w:r>
            <w:r>
              <w:rPr>
                <w:rFonts w:ascii="Times New Roman;Times;serif" w:hAnsi="Times New Roman;Times;serif"/>
                <w:b w:val="false"/>
                <w:i w:val="false"/>
                <w:caps w:val="false"/>
                <w:smallCaps w:val="false"/>
                <w:sz w:val="20"/>
              </w:rPr>
              <w:t>labels</w:t>
            </w:r>
            <w:r>
              <w:rPr>
                <w:caps w:val="false"/>
                <w:smallCaps w:val="false"/>
                <w:spacing w:val="-7"/>
              </w:rPr>
              <w:t xml:space="preserve"> </w:t>
            </w:r>
            <w:r>
              <w:rPr>
                <w:rFonts w:ascii="Times New Roman;Times;serif" w:hAnsi="Times New Roman;Times;serif"/>
                <w:b w:val="false"/>
                <w:i w:val="false"/>
                <w:caps w:val="false"/>
                <w:smallCaps w:val="false"/>
                <w:sz w:val="20"/>
              </w:rPr>
              <w:t>or</w:t>
            </w:r>
            <w:r>
              <w:rPr>
                <w:caps w:val="false"/>
                <w:smallCaps w:val="false"/>
                <w:spacing w:val="-2"/>
              </w:rPr>
              <w:t xml:space="preserve"> </w:t>
            </w:r>
            <w:r>
              <w:rPr>
                <w:rFonts w:ascii="Times New Roman;Times;serif" w:hAnsi="Times New Roman;Times;serif"/>
                <w:b w:val="false"/>
                <w:i w:val="false"/>
                <w:caps w:val="false"/>
                <w:smallCaps w:val="false"/>
                <w:sz w:val="20"/>
              </w:rPr>
              <w:t>relabels</w:t>
            </w:r>
            <w:r>
              <w:rPr>
                <w:caps w:val="false"/>
                <w:smallCaps w:val="false"/>
                <w:spacing w:val="-7"/>
              </w:rPr>
              <w:t xml:space="preserve"> </w:t>
            </w:r>
            <w:r>
              <w:rPr>
                <w:rFonts w:ascii="Times New Roman;Times;serif" w:hAnsi="Times New Roman;Times;serif"/>
                <w:b w:val="false"/>
                <w:i w:val="false"/>
                <w:caps w:val="false"/>
                <w:smallCaps w:val="false"/>
                <w:sz w:val="20"/>
              </w:rPr>
              <w:t>the</w:t>
            </w:r>
            <w:r>
              <w:rPr>
                <w:caps w:val="false"/>
                <w:smallCaps w:val="false"/>
                <w:spacing w:val="-4"/>
              </w:rPr>
              <w:t xml:space="preserve"> </w:t>
            </w:r>
            <w:r>
              <w:rPr>
                <w:rFonts w:ascii="Times New Roman;Times;serif" w:hAnsi="Times New Roman;Times;serif"/>
                <w:b w:val="false"/>
                <w:i w:val="false"/>
                <w:caps w:val="false"/>
                <w:smallCaps w:val="false"/>
                <w:sz w:val="20"/>
              </w:rPr>
              <w:t>cannabis product container.</w:t>
            </w:r>
          </w:p>
        </w:tc>
        <w:tc>
          <w:tcPr>
            <w:tcW w:w="155" w:type="dxa"/>
            <w:tcBorders/>
            <w:shd w:fill="auto" w:val="cle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24"/>
        <w:gridCol w:w="231"/>
        <w:gridCol w:w="9695"/>
        <w:gridCol w:w="155"/>
      </w:tblGrid>
      <w:tr>
        <w:trPr/>
        <w:tc>
          <w:tcPr>
            <w:tcW w:w="124"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9.</w:t>
            </w:r>
          </w:p>
        </w:tc>
        <w:tc>
          <w:tcPr>
            <w:tcW w:w="969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Class</w:t>
            </w:r>
            <w:r>
              <w:rPr>
                <w:caps w:val="false"/>
                <w:smallCaps w:val="false"/>
                <w:spacing w:val="-9"/>
              </w:rPr>
              <w:t xml:space="preserve"> </w:t>
            </w:r>
            <w:r>
              <w:rPr>
                <w:rFonts w:ascii="Times New Roman;Times;serif" w:hAnsi="Times New Roman;Times;serif"/>
                <w:b w:val="false"/>
                <w:i w:val="false"/>
                <w:caps w:val="false"/>
                <w:smallCaps w:val="false"/>
                <w:sz w:val="20"/>
              </w:rPr>
              <w:t>II:</w:t>
            </w:r>
            <w:r>
              <w:rPr>
                <w:caps w:val="false"/>
                <w:smallCaps w:val="false"/>
                <w:spacing w:val="-6"/>
              </w:rPr>
              <w:t xml:space="preserve"> </w:t>
            </w:r>
            <w:r>
              <w:rPr>
                <w:rFonts w:ascii="Times New Roman;Times;serif" w:hAnsi="Times New Roman;Times;serif"/>
                <w:b w:val="false"/>
                <w:i w:val="false"/>
                <w:caps w:val="false"/>
                <w:smallCaps w:val="false"/>
                <w:sz w:val="20"/>
              </w:rPr>
              <w:t>A</w:t>
            </w:r>
            <w:r>
              <w:rPr>
                <w:caps w:val="false"/>
                <w:smallCaps w:val="false"/>
                <w:spacing w:val="-9"/>
              </w:rPr>
              <w:t xml:space="preserve"> </w:t>
            </w:r>
            <w:r>
              <w:rPr>
                <w:rFonts w:ascii="Times New Roman;Times;serif" w:hAnsi="Times New Roman;Times;serif"/>
                <w:b w:val="false"/>
                <w:i w:val="false"/>
                <w:caps w:val="false"/>
                <w:smallCaps w:val="false"/>
                <w:sz w:val="20"/>
              </w:rPr>
              <w:t>licensee</w:t>
            </w:r>
            <w:r>
              <w:rPr>
                <w:caps w:val="false"/>
                <w:smallCaps w:val="false"/>
                <w:spacing w:val="-8"/>
              </w:rPr>
              <w:t xml:space="preserve"> </w:t>
            </w:r>
            <w:r>
              <w:rPr>
                <w:rFonts w:ascii="Times New Roman;Times;serif" w:hAnsi="Times New Roman;Times;serif"/>
                <w:b w:val="false"/>
                <w:i w:val="false"/>
                <w:caps w:val="false"/>
                <w:smallCaps w:val="false"/>
                <w:sz w:val="20"/>
              </w:rPr>
              <w:t>that</w:t>
            </w:r>
            <w:r>
              <w:rPr>
                <w:caps w:val="false"/>
                <w:smallCaps w:val="false"/>
                <w:spacing w:val="-8"/>
              </w:rPr>
              <w:t xml:space="preserve"> </w:t>
            </w:r>
            <w:r>
              <w:rPr>
                <w:rFonts w:ascii="Times New Roman;Times;serif" w:hAnsi="Times New Roman;Times;serif"/>
                <w:b w:val="false"/>
                <w:i w:val="false"/>
                <w:caps w:val="false"/>
                <w:smallCaps w:val="false"/>
                <w:sz w:val="20"/>
              </w:rPr>
              <w:t>conducts</w:t>
            </w:r>
            <w:r>
              <w:rPr>
                <w:caps w:val="false"/>
                <w:smallCaps w:val="false"/>
                <w:spacing w:val="-9"/>
              </w:rPr>
              <w:t xml:space="preserve"> </w:t>
            </w:r>
            <w:r>
              <w:rPr>
                <w:rFonts w:ascii="Times New Roman;Times;serif" w:hAnsi="Times New Roman;Times;serif"/>
                <w:b w:val="false"/>
                <w:i w:val="false"/>
                <w:caps w:val="false"/>
                <w:smallCaps w:val="false"/>
                <w:sz w:val="20"/>
              </w:rPr>
              <w:t>Class</w:t>
            </w:r>
            <w:r>
              <w:rPr>
                <w:caps w:val="false"/>
                <w:smallCaps w:val="false"/>
                <w:spacing w:val="-7"/>
              </w:rPr>
              <w:t xml:space="preserve"> </w:t>
            </w:r>
            <w:r>
              <w:rPr>
                <w:rFonts w:ascii="Times New Roman;Times;serif" w:hAnsi="Times New Roman;Times;serif"/>
                <w:b w:val="false"/>
                <w:i w:val="false"/>
                <w:caps w:val="false"/>
                <w:smallCaps w:val="false"/>
                <w:sz w:val="20"/>
              </w:rPr>
              <w:t>I</w:t>
            </w:r>
            <w:r>
              <w:rPr>
                <w:caps w:val="false"/>
                <w:smallCaps w:val="false"/>
                <w:spacing w:val="-7"/>
              </w:rPr>
              <w:t xml:space="preserve"> </w:t>
            </w:r>
            <w:r>
              <w:rPr>
                <w:rFonts w:ascii="Times New Roman;Times;serif" w:hAnsi="Times New Roman;Times;serif"/>
                <w:b w:val="false"/>
                <w:i w:val="false"/>
                <w:caps w:val="false"/>
                <w:smallCaps w:val="false"/>
                <w:sz w:val="20"/>
              </w:rPr>
              <w:t>activities</w:t>
            </w:r>
            <w:r>
              <w:rPr>
                <w:caps w:val="false"/>
                <w:smallCaps w:val="false"/>
                <w:spacing w:val="-9"/>
              </w:rPr>
              <w:t xml:space="preserve"> </w:t>
            </w:r>
            <w:r>
              <w:rPr>
                <w:rFonts w:ascii="Times New Roman;Times;serif" w:hAnsi="Times New Roman;Times;serif"/>
                <w:b w:val="false"/>
                <w:i w:val="false"/>
                <w:caps w:val="false"/>
                <w:smallCaps w:val="false"/>
                <w:sz w:val="20"/>
              </w:rPr>
              <w:t>and</w:t>
            </w:r>
            <w:r>
              <w:rPr>
                <w:caps w:val="false"/>
                <w:smallCaps w:val="false"/>
                <w:spacing w:val="-5"/>
              </w:rPr>
              <w:t xml:space="preserve"> </w:t>
            </w:r>
            <w:r>
              <w:rPr>
                <w:rFonts w:ascii="Times New Roman;Times;serif" w:hAnsi="Times New Roman;Times;serif"/>
                <w:b w:val="false"/>
                <w:i w:val="false"/>
                <w:caps w:val="false"/>
                <w:smallCaps w:val="false"/>
                <w:sz w:val="20"/>
              </w:rPr>
              <w:t>manufactures</w:t>
            </w:r>
            <w:r>
              <w:rPr>
                <w:caps w:val="false"/>
                <w:smallCaps w:val="false"/>
                <w:spacing w:val="-9"/>
              </w:rPr>
              <w:t xml:space="preserve"> </w:t>
            </w:r>
            <w:r>
              <w:rPr>
                <w:rFonts w:ascii="Times New Roman;Times;serif" w:hAnsi="Times New Roman;Times;serif"/>
                <w:b w:val="false"/>
                <w:i w:val="false"/>
                <w:caps w:val="false"/>
                <w:smallCaps w:val="false"/>
                <w:sz w:val="20"/>
              </w:rPr>
              <w:t>edible</w:t>
            </w:r>
            <w:r>
              <w:rPr>
                <w:caps w:val="false"/>
                <w:smallCaps w:val="false"/>
                <w:spacing w:val="-8"/>
              </w:rPr>
              <w:t xml:space="preserve"> </w:t>
            </w:r>
            <w:r>
              <w:rPr>
                <w:rFonts w:ascii="Times New Roman;Times;serif" w:hAnsi="Times New Roman;Times;serif"/>
                <w:b w:val="false"/>
                <w:i w:val="false"/>
                <w:caps w:val="false"/>
                <w:smallCaps w:val="false"/>
                <w:sz w:val="20"/>
              </w:rPr>
              <w:t>products</w:t>
            </w:r>
            <w:r>
              <w:rPr>
                <w:caps w:val="false"/>
                <w:smallCaps w:val="false"/>
                <w:spacing w:val="-9"/>
              </w:rPr>
              <w:t xml:space="preserve"> </w:t>
            </w:r>
            <w:r>
              <w:rPr>
                <w:rFonts w:ascii="Times New Roman;Times;serif" w:hAnsi="Times New Roman;Times;serif"/>
                <w:b w:val="false"/>
                <w:i w:val="false"/>
                <w:caps w:val="false"/>
                <w:smallCaps w:val="false"/>
                <w:sz w:val="20"/>
              </w:rPr>
              <w:t>or</w:t>
            </w:r>
            <w:r>
              <w:rPr>
                <w:caps w:val="false"/>
                <w:smallCaps w:val="false"/>
                <w:spacing w:val="-7"/>
              </w:rPr>
              <w:t xml:space="preserve"> </w:t>
            </w:r>
            <w:r>
              <w:rPr>
                <w:rFonts w:ascii="Times New Roman;Times;serif" w:hAnsi="Times New Roman;Times;serif"/>
                <w:b w:val="false"/>
                <w:i w:val="false"/>
                <w:caps w:val="false"/>
                <w:smallCaps w:val="false"/>
                <w:sz w:val="20"/>
              </w:rPr>
              <w:t>topical</w:t>
            </w:r>
            <w:r>
              <w:rPr>
                <w:caps w:val="false"/>
                <w:smallCaps w:val="false"/>
                <w:spacing w:val="-8"/>
              </w:rPr>
              <w:t xml:space="preserve"> </w:t>
            </w:r>
            <w:r>
              <w:rPr>
                <w:rFonts w:ascii="Times New Roman;Times;serif" w:hAnsi="Times New Roman;Times;serif"/>
                <w:b w:val="false"/>
                <w:i w:val="false"/>
                <w:caps w:val="false"/>
                <w:smallCaps w:val="false"/>
                <w:sz w:val="20"/>
              </w:rPr>
              <w:t>products using</w:t>
            </w:r>
            <w:r>
              <w:rPr>
                <w:caps w:val="false"/>
                <w:smallCaps w:val="false"/>
                <w:spacing w:val="14"/>
              </w:rPr>
              <w:t xml:space="preserve"> </w:t>
            </w:r>
            <w:r>
              <w:rPr>
                <w:rFonts w:ascii="Times New Roman;Times;serif" w:hAnsi="Times New Roman;Times;serif"/>
                <w:b w:val="false"/>
                <w:i w:val="false"/>
                <w:caps w:val="false"/>
                <w:smallCaps w:val="false"/>
                <w:sz w:val="20"/>
              </w:rPr>
              <w:t>infusion</w:t>
            </w:r>
            <w:r>
              <w:rPr>
                <w:caps w:val="false"/>
                <w:smallCaps w:val="false"/>
                <w:spacing w:val="14"/>
              </w:rPr>
              <w:t xml:space="preserve"> </w:t>
            </w:r>
            <w:r>
              <w:rPr>
                <w:rFonts w:ascii="Times New Roman;Times;serif" w:hAnsi="Times New Roman;Times;serif"/>
                <w:b w:val="false"/>
                <w:i w:val="false"/>
                <w:caps w:val="false"/>
                <w:smallCaps w:val="false"/>
                <w:sz w:val="20"/>
              </w:rPr>
              <w:t>processes,</w:t>
            </w:r>
            <w:r>
              <w:rPr>
                <w:caps w:val="false"/>
                <w:smallCaps w:val="false"/>
                <w:spacing w:val="16"/>
              </w:rPr>
              <w:t xml:space="preserve"> </w:t>
            </w:r>
            <w:r>
              <w:rPr>
                <w:rFonts w:ascii="Times New Roman;Times;serif" w:hAnsi="Times New Roman;Times;serif"/>
                <w:b w:val="false"/>
                <w:i w:val="false"/>
                <w:caps w:val="false"/>
                <w:smallCaps w:val="false"/>
                <w:sz w:val="20"/>
              </w:rPr>
              <w:t>or</w:t>
            </w:r>
            <w:r>
              <w:rPr>
                <w:caps w:val="false"/>
                <w:smallCaps w:val="false"/>
                <w:spacing w:val="16"/>
              </w:rPr>
              <w:t xml:space="preserve"> </w:t>
            </w:r>
            <w:r>
              <w:rPr>
                <w:rFonts w:ascii="Times New Roman;Times;serif" w:hAnsi="Times New Roman;Times;serif"/>
                <w:b w:val="false"/>
                <w:i w:val="false"/>
                <w:caps w:val="false"/>
                <w:smallCaps w:val="false"/>
                <w:sz w:val="20"/>
              </w:rPr>
              <w:t>other</w:t>
            </w:r>
            <w:r>
              <w:rPr>
                <w:caps w:val="false"/>
                <w:smallCaps w:val="false"/>
                <w:spacing w:val="16"/>
              </w:rPr>
              <w:t xml:space="preserve"> </w:t>
            </w:r>
            <w:r>
              <w:rPr>
                <w:rFonts w:ascii="Times New Roman;Times;serif" w:hAnsi="Times New Roman;Times;serif"/>
                <w:b w:val="false"/>
                <w:i w:val="false"/>
                <w:caps w:val="false"/>
                <w:smallCaps w:val="false"/>
                <w:sz w:val="20"/>
              </w:rPr>
              <w:t>types</w:t>
            </w:r>
            <w:r>
              <w:rPr>
                <w:caps w:val="false"/>
                <w:smallCaps w:val="false"/>
                <w:spacing w:val="14"/>
              </w:rPr>
              <w:t xml:space="preserve"> </w:t>
            </w:r>
            <w:r>
              <w:rPr>
                <w:rFonts w:ascii="Times New Roman;Times;serif" w:hAnsi="Times New Roman;Times;serif"/>
                <w:b w:val="false"/>
                <w:i w:val="false"/>
                <w:caps w:val="false"/>
                <w:smallCaps w:val="false"/>
                <w:sz w:val="20"/>
              </w:rPr>
              <w:t>of</w:t>
            </w:r>
            <w:r>
              <w:rPr>
                <w:caps w:val="false"/>
                <w:smallCaps w:val="false"/>
                <w:spacing w:val="14"/>
              </w:rPr>
              <w:t xml:space="preserve"> </w:t>
            </w:r>
            <w:r>
              <w:rPr>
                <w:rFonts w:ascii="Times New Roman;Times;serif" w:hAnsi="Times New Roman;Times;serif"/>
                <w:b w:val="false"/>
                <w:i w:val="false"/>
                <w:caps w:val="false"/>
                <w:smallCaps w:val="false"/>
                <w:sz w:val="20"/>
              </w:rPr>
              <w:t>cannabis</w:t>
            </w:r>
            <w:r>
              <w:rPr>
                <w:caps w:val="false"/>
                <w:smallCaps w:val="false"/>
                <w:spacing w:val="14"/>
              </w:rPr>
              <w:t xml:space="preserve"> </w:t>
            </w:r>
            <w:r>
              <w:rPr>
                <w:rFonts w:ascii="Times New Roman;Times;serif" w:hAnsi="Times New Roman;Times;serif"/>
                <w:b w:val="false"/>
                <w:i w:val="false"/>
                <w:caps w:val="false"/>
                <w:smallCaps w:val="false"/>
                <w:sz w:val="20"/>
              </w:rPr>
              <w:t>products</w:t>
            </w:r>
            <w:r>
              <w:rPr>
                <w:caps w:val="false"/>
                <w:smallCaps w:val="false"/>
                <w:spacing w:val="14"/>
              </w:rPr>
              <w:t xml:space="preserve"> </w:t>
            </w:r>
            <w:r>
              <w:rPr>
                <w:rFonts w:ascii="Times New Roman;Times;serif" w:hAnsi="Times New Roman;Times;serif"/>
                <w:b w:val="false"/>
                <w:i w:val="false"/>
                <w:caps w:val="false"/>
                <w:smallCaps w:val="false"/>
                <w:sz w:val="20"/>
              </w:rPr>
              <w:t>other</w:t>
            </w:r>
            <w:r>
              <w:rPr>
                <w:caps w:val="false"/>
                <w:smallCaps w:val="false"/>
                <w:spacing w:val="16"/>
              </w:rPr>
              <w:t xml:space="preserve"> </w:t>
            </w:r>
            <w:r>
              <w:rPr>
                <w:rFonts w:ascii="Times New Roman;Times;serif" w:hAnsi="Times New Roman;Times;serif"/>
                <w:b w:val="false"/>
                <w:i w:val="false"/>
                <w:caps w:val="false"/>
                <w:smallCaps w:val="false"/>
                <w:sz w:val="20"/>
              </w:rPr>
              <w:t>than</w:t>
            </w:r>
            <w:r>
              <w:rPr>
                <w:caps w:val="false"/>
                <w:smallCaps w:val="false"/>
                <w:spacing w:val="14"/>
              </w:rPr>
              <w:t xml:space="preserve"> </w:t>
            </w:r>
            <w:r>
              <w:rPr>
                <w:rFonts w:ascii="Times New Roman;Times;serif" w:hAnsi="Times New Roman;Times;serif"/>
                <w:b w:val="false"/>
                <w:i w:val="false"/>
                <w:caps w:val="false"/>
                <w:smallCaps w:val="false"/>
                <w:sz w:val="20"/>
              </w:rPr>
              <w:t>extracts</w:t>
            </w:r>
            <w:r>
              <w:rPr>
                <w:caps w:val="false"/>
                <w:smallCaps w:val="false"/>
                <w:spacing w:val="14"/>
              </w:rPr>
              <w:t xml:space="preserve"> </w:t>
            </w:r>
            <w:r>
              <w:rPr>
                <w:rFonts w:ascii="Times New Roman;Times;serif" w:hAnsi="Times New Roman;Times;serif"/>
                <w:b w:val="false"/>
                <w:i w:val="false"/>
                <w:caps w:val="false"/>
                <w:smallCaps w:val="false"/>
                <w:sz w:val="20"/>
              </w:rPr>
              <w:t>or</w:t>
            </w:r>
            <w:r>
              <w:rPr>
                <w:caps w:val="false"/>
                <w:smallCaps w:val="false"/>
                <w:spacing w:val="16"/>
              </w:rPr>
              <w:t xml:space="preserve"> </w:t>
            </w:r>
            <w:r>
              <w:rPr>
                <w:rFonts w:ascii="Times New Roman;Times;serif" w:hAnsi="Times New Roman;Times;serif"/>
                <w:b w:val="false"/>
                <w:i w:val="false"/>
                <w:caps w:val="false"/>
                <w:smallCaps w:val="false"/>
                <w:sz w:val="20"/>
              </w:rPr>
              <w:t>concentrates,</w:t>
            </w:r>
            <w:r>
              <w:rPr>
                <w:caps w:val="false"/>
                <w:smallCaps w:val="false"/>
                <w:spacing w:val="14"/>
              </w:rPr>
              <w:t xml:space="preserve"> </w:t>
            </w:r>
            <w:r>
              <w:rPr>
                <w:rFonts w:ascii="Times New Roman;Times;serif" w:hAnsi="Times New Roman;Times;serif"/>
                <w:b w:val="false"/>
                <w:i w:val="false"/>
                <w:caps w:val="false"/>
                <w:smallCaps w:val="false"/>
                <w:sz w:val="20"/>
              </w:rPr>
              <w:t>and does not conduct extractions.</w:t>
            </w:r>
          </w:p>
        </w:tc>
        <w:tc>
          <w:tcPr>
            <w:tcW w:w="155" w:type="dxa"/>
            <w:tcBorders/>
            <w:shd w:fill="auto" w:val="cle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24"/>
        <w:gridCol w:w="356"/>
        <w:gridCol w:w="9570"/>
        <w:gridCol w:w="155"/>
      </w:tblGrid>
      <w:tr>
        <w:trPr/>
        <w:tc>
          <w:tcPr>
            <w:tcW w:w="124"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w:t>
            </w:r>
          </w:p>
        </w:tc>
        <w:tc>
          <w:tcPr>
            <w:tcW w:w="9570"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Class</w:t>
            </w:r>
            <w:r>
              <w:rPr>
                <w:caps w:val="false"/>
                <w:smallCaps w:val="false"/>
                <w:spacing w:val="-2"/>
              </w:rPr>
              <w:t xml:space="preserve"> </w:t>
            </w:r>
            <w:r>
              <w:rPr>
                <w:rFonts w:ascii="Times New Roman;Times;serif" w:hAnsi="Times New Roman;Times;serif"/>
                <w:b w:val="false"/>
                <w:i w:val="false"/>
                <w:caps w:val="false"/>
                <w:smallCaps w:val="false"/>
                <w:sz w:val="20"/>
              </w:rPr>
              <w:t>III: A</w:t>
            </w:r>
            <w:r>
              <w:rPr>
                <w:caps w:val="false"/>
                <w:smallCaps w:val="false"/>
                <w:spacing w:val="-2"/>
              </w:rPr>
              <w:t xml:space="preserve"> </w:t>
            </w:r>
            <w:r>
              <w:rPr>
                <w:rFonts w:ascii="Times New Roman;Times;serif" w:hAnsi="Times New Roman;Times;serif"/>
                <w:b w:val="false"/>
                <w:i w:val="false"/>
                <w:caps w:val="false"/>
                <w:smallCaps w:val="false"/>
                <w:sz w:val="20"/>
              </w:rPr>
              <w:t>licensee that conducts</w:t>
            </w:r>
            <w:r>
              <w:rPr>
                <w:caps w:val="false"/>
                <w:smallCaps w:val="false"/>
                <w:spacing w:val="-2"/>
              </w:rPr>
              <w:t xml:space="preserve"> </w:t>
            </w:r>
            <w:r>
              <w:rPr>
                <w:rFonts w:ascii="Times New Roman;Times;serif" w:hAnsi="Times New Roman;Times;serif"/>
                <w:b w:val="false"/>
                <w:i w:val="false"/>
                <w:caps w:val="false"/>
                <w:smallCaps w:val="false"/>
                <w:sz w:val="20"/>
              </w:rPr>
              <w:t>Class I and Class</w:t>
            </w:r>
            <w:r>
              <w:rPr>
                <w:caps w:val="false"/>
                <w:smallCaps w:val="false"/>
                <w:spacing w:val="-2"/>
              </w:rPr>
              <w:t xml:space="preserve"> </w:t>
            </w:r>
            <w:r>
              <w:rPr>
                <w:rFonts w:ascii="Times New Roman;Times;serif" w:hAnsi="Times New Roman;Times;serif"/>
                <w:b w:val="false"/>
                <w:i w:val="false"/>
                <w:caps w:val="false"/>
                <w:smallCaps w:val="false"/>
                <w:sz w:val="20"/>
              </w:rPr>
              <w:t>II activities and extracts using mechanical methods or non-volatile solvents.</w:t>
            </w:r>
          </w:p>
        </w:tc>
        <w:tc>
          <w:tcPr>
            <w:tcW w:w="155" w:type="dxa"/>
            <w:tcBorders/>
            <w:shd w:fill="auto" w:val="cle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24"/>
        <w:gridCol w:w="356"/>
        <w:gridCol w:w="9570"/>
        <w:gridCol w:w="155"/>
      </w:tblGrid>
      <w:tr>
        <w:trPr/>
        <w:tc>
          <w:tcPr>
            <w:tcW w:w="124"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11.</w:t>
            </w:r>
          </w:p>
        </w:tc>
        <w:tc>
          <w:tcPr>
            <w:tcW w:w="9570"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IV: A licensee that conducts Class I, Class II and Class III activities and extracts using volatile solvents or supercritical CO2.</w:t>
            </w:r>
          </w:p>
        </w:tc>
        <w:tc>
          <w:tcPr>
            <w:tcW w:w="155" w:type="dxa"/>
            <w:tcBorders/>
            <w:shd w:fill="auto" w:val="clear"/>
            <w:vAlign w:val="center"/>
          </w:tcPr>
          <w:p>
            <w:pPr>
              <w:pStyle w:val="TableContents"/>
              <w:spacing w:before="0" w:after="283"/>
              <w:rPr>
                <w:sz w:val="4"/>
                <w:szCs w:val="4"/>
              </w:rPr>
            </w:pPr>
            <w:r>
              <w:rPr>
                <w:sz w:val="4"/>
                <w:szCs w:val="4"/>
              </w:rPr>
            </w:r>
          </w:p>
        </w:tc>
      </w:tr>
    </w:tbl>
    <w:p>
      <w:pPr>
        <w:pStyle w:val="TextBody"/>
        <w:spacing w:before="1" w:after="0"/>
        <w:ind w:left="1252" w:right="104" w:hanging="0"/>
        <w:jc w:val="both"/>
        <w:rPr/>
      </w:pPr>
      <w:r>
        <w:rPr/>
        <w:t>​</w:t>
      </w:r>
    </w:p>
    <w:p>
      <w:pPr>
        <w:pStyle w:val="TextBody"/>
        <w:spacing w:before="1" w:after="240"/>
        <w:ind w:left="100" w:right="103" w:hanging="0"/>
        <w:jc w:val="both"/>
        <w:rPr>
          <w:rFonts w:ascii="Times New Roman;Times;serif" w:hAnsi="Times New Roman;Times;serif"/>
          <w:sz w:val="20"/>
        </w:rPr>
      </w:pPr>
      <w:r>
        <w:rPr>
          <w:rFonts w:ascii="Times New Roman;Times;serif" w:hAnsi="Times New Roman;Times;serif"/>
          <w:sz w:val="20"/>
        </w:rPr>
        <w:t>A</w:t>
      </w:r>
      <w:r>
        <w:rPr>
          <w:rFonts w:ascii="Times New Roman;Times;serif" w:hAnsi="Times New Roman;Times;serif"/>
          <w:spacing w:val="-2"/>
          <w:sz w:val="20"/>
        </w:rPr>
        <w:t xml:space="preserve"> </w:t>
      </w:r>
      <w:r>
        <w:rPr>
          <w:rFonts w:ascii="Times New Roman;Times;serif" w:hAnsi="Times New Roman;Times;serif"/>
          <w:sz w:val="20"/>
        </w:rPr>
        <w:t>manufacturing</w:t>
      </w:r>
      <w:r>
        <w:rPr>
          <w:rFonts w:ascii="Times New Roman;Times;serif" w:hAnsi="Times New Roman;Times;serif"/>
          <w:spacing w:val="-6"/>
          <w:sz w:val="20"/>
        </w:rPr>
        <w:t xml:space="preserve"> </w:t>
      </w:r>
      <w:r>
        <w:rPr>
          <w:rFonts w:ascii="Times New Roman;Times;serif" w:hAnsi="Times New Roman;Times;serif"/>
          <w:sz w:val="20"/>
        </w:rPr>
        <w:t>license</w:t>
      </w:r>
      <w:r>
        <w:rPr>
          <w:rFonts w:ascii="Times New Roman;Times;serif" w:hAnsi="Times New Roman;Times;serif"/>
          <w:spacing w:val="-3"/>
          <w:sz w:val="20"/>
        </w:rPr>
        <w:t xml:space="preserve"> </w:t>
      </w:r>
      <w:r>
        <w:rPr>
          <w:rFonts w:ascii="Times New Roman;Times;serif" w:hAnsi="Times New Roman;Times;serif"/>
          <w:sz w:val="20"/>
        </w:rPr>
        <w:t>permits</w:t>
      </w:r>
      <w:r>
        <w:rPr>
          <w:rFonts w:ascii="Times New Roman;Times;serif" w:hAnsi="Times New Roman;Times;serif"/>
          <w:spacing w:val="-4"/>
          <w:sz w:val="20"/>
        </w:rPr>
        <w:t xml:space="preserve"> </w:t>
      </w:r>
      <w:r>
        <w:rPr>
          <w:rFonts w:ascii="Times New Roman;Times;serif" w:hAnsi="Times New Roman;Times;serif"/>
          <w:sz w:val="20"/>
        </w:rPr>
        <w:t>the</w:t>
      </w:r>
      <w:r>
        <w:rPr>
          <w:rFonts w:ascii="Times New Roman;Times;serif" w:hAnsi="Times New Roman;Times;serif"/>
          <w:spacing w:val="-3"/>
          <w:sz w:val="20"/>
        </w:rPr>
        <w:t xml:space="preserve"> </w:t>
      </w:r>
      <w:r>
        <w:rPr>
          <w:rFonts w:ascii="Times New Roman;Times;serif" w:hAnsi="Times New Roman;Times;serif"/>
          <w:sz w:val="20"/>
        </w:rPr>
        <w:t>holder</w:t>
      </w:r>
      <w:r>
        <w:rPr>
          <w:rFonts w:ascii="Times New Roman;Times;serif" w:hAnsi="Times New Roman;Times;serif"/>
          <w:spacing w:val="-2"/>
          <w:sz w:val="20"/>
        </w:rPr>
        <w:t xml:space="preserve"> </w:t>
      </w:r>
      <w:r>
        <w:rPr>
          <w:rFonts w:ascii="Times New Roman;Times;serif" w:hAnsi="Times New Roman;Times;serif"/>
          <w:sz w:val="20"/>
        </w:rPr>
        <w:t>to manufacture</w:t>
      </w:r>
      <w:r>
        <w:rPr>
          <w:rFonts w:ascii="Times New Roman;Times;serif" w:hAnsi="Times New Roman;Times;serif"/>
          <w:spacing w:val="-3"/>
          <w:sz w:val="20"/>
        </w:rPr>
        <w:t xml:space="preserve"> </w:t>
      </w:r>
      <w:r>
        <w:rPr>
          <w:rFonts w:ascii="Times New Roman;Times;serif" w:hAnsi="Times New Roman;Times;serif"/>
          <w:sz w:val="20"/>
        </w:rPr>
        <w:t>cannabis</w:t>
      </w:r>
      <w:r>
        <w:rPr>
          <w:rFonts w:ascii="Times New Roman;Times;serif" w:hAnsi="Times New Roman;Times;serif"/>
          <w:spacing w:val="-4"/>
          <w:sz w:val="20"/>
        </w:rPr>
        <w:t xml:space="preserve"> </w:t>
      </w:r>
      <w:r>
        <w:rPr>
          <w:rFonts w:ascii="Times New Roman;Times;serif" w:hAnsi="Times New Roman;Times;serif"/>
          <w:sz w:val="20"/>
        </w:rPr>
        <w:t>in</w:t>
      </w:r>
      <w:r>
        <w:rPr>
          <w:rFonts w:ascii="Times New Roman;Times;serif" w:hAnsi="Times New Roman;Times;serif"/>
          <w:spacing w:val="-6"/>
          <w:sz w:val="20"/>
        </w:rPr>
        <w:t xml:space="preserve"> </w:t>
      </w:r>
      <w:r>
        <w:rPr>
          <w:rFonts w:ascii="Times New Roman;Times;serif" w:hAnsi="Times New Roman;Times;serif"/>
          <w:sz w:val="20"/>
        </w:rPr>
        <w:t>accordance</w:t>
      </w:r>
      <w:r>
        <w:rPr>
          <w:rFonts w:ascii="Times New Roman;Times;serif" w:hAnsi="Times New Roman;Times;serif"/>
          <w:spacing w:val="-1"/>
          <w:sz w:val="20"/>
        </w:rPr>
        <w:t xml:space="preserve"> </w:t>
      </w:r>
      <w:r>
        <w:rPr>
          <w:rFonts w:ascii="Times New Roman;Times;serif" w:hAnsi="Times New Roman;Times;serif"/>
          <w:sz w:val="20"/>
        </w:rPr>
        <w:t>with</w:t>
      </w:r>
      <w:r>
        <w:rPr>
          <w:rFonts w:ascii="Times New Roman;Times;serif" w:hAnsi="Times New Roman;Times;serif"/>
          <w:spacing w:val="-4"/>
          <w:sz w:val="20"/>
        </w:rPr>
        <w:t xml:space="preserve"> </w:t>
      </w:r>
      <w:r>
        <w:rPr>
          <w:rFonts w:ascii="Times New Roman;Times;serif" w:hAnsi="Times New Roman;Times;serif"/>
          <w:sz w:val="20"/>
        </w:rPr>
        <w:t>the</w:t>
      </w:r>
      <w:r>
        <w:rPr>
          <w:rFonts w:ascii="Times New Roman;Times;serif" w:hAnsi="Times New Roman;Times;serif"/>
          <w:spacing w:val="-1"/>
          <w:sz w:val="20"/>
        </w:rPr>
        <w:t xml:space="preserve"> </w:t>
      </w:r>
      <w:r>
        <w:rPr>
          <w:rFonts w:ascii="Times New Roman;Times;serif" w:hAnsi="Times New Roman;Times;serif"/>
          <w:sz w:val="20"/>
        </w:rPr>
        <w:t>Class</w:t>
      </w:r>
      <w:r>
        <w:rPr>
          <w:rFonts w:ascii="Times New Roman;Times;serif" w:hAnsi="Times New Roman;Times;serif"/>
          <w:spacing w:val="-4"/>
          <w:sz w:val="20"/>
        </w:rPr>
        <w:t xml:space="preserve"> </w:t>
      </w:r>
      <w:r>
        <w:rPr>
          <w:rFonts w:ascii="Times New Roman;Times;serif" w:hAnsi="Times New Roman;Times;serif"/>
          <w:sz w:val="20"/>
        </w:rPr>
        <w:t>of</w:t>
      </w:r>
      <w:r>
        <w:rPr>
          <w:rFonts w:ascii="Times New Roman;Times;serif" w:hAnsi="Times New Roman;Times;serif"/>
          <w:spacing w:val="-4"/>
          <w:sz w:val="20"/>
        </w:rPr>
        <w:t xml:space="preserve"> </w:t>
      </w:r>
      <w:r>
        <w:rPr>
          <w:rFonts w:ascii="Times New Roman;Times;serif" w:hAnsi="Times New Roman;Times;serif"/>
          <w:sz w:val="20"/>
        </w:rPr>
        <w:t>a</w:t>
      </w:r>
      <w:r>
        <w:rPr>
          <w:rFonts w:ascii="Times New Roman;Times;serif" w:hAnsi="Times New Roman;Times;serif"/>
          <w:spacing w:val="-4"/>
          <w:sz w:val="20"/>
        </w:rPr>
        <w:t xml:space="preserve"> </w:t>
      </w:r>
      <w:r>
        <w:rPr>
          <w:rFonts w:ascii="Times New Roman;Times;serif" w:hAnsi="Times New Roman;Times;serif"/>
          <w:sz w:val="20"/>
        </w:rPr>
        <w:t>license</w:t>
      </w:r>
      <w:r>
        <w:rPr>
          <w:rFonts w:ascii="Times New Roman;Times;serif" w:hAnsi="Times New Roman;Times;serif"/>
          <w:spacing w:val="-4"/>
          <w:sz w:val="20"/>
        </w:rPr>
        <w:t xml:space="preserve"> </w:t>
      </w:r>
      <w:r>
        <w:rPr>
          <w:rFonts w:ascii="Times New Roman;Times;serif" w:hAnsi="Times New Roman;Times;serif"/>
          <w:sz w:val="20"/>
        </w:rPr>
        <w:t>held. A</w:t>
      </w:r>
      <w:r>
        <w:rPr>
          <w:rFonts w:ascii="Times New Roman;Times;serif" w:hAnsi="Times New Roman;Times;serif"/>
          <w:spacing w:val="-2"/>
          <w:sz w:val="20"/>
        </w:rPr>
        <w:t xml:space="preserve"> </w:t>
      </w:r>
      <w:r>
        <w:rPr>
          <w:rFonts w:ascii="Times New Roman;Times;serif" w:hAnsi="Times New Roman;Times;serif"/>
          <w:sz w:val="20"/>
        </w:rPr>
        <w:t>licensee</w:t>
      </w:r>
      <w:r>
        <w:rPr>
          <w:rFonts w:ascii="Times New Roman;Times;serif" w:hAnsi="Times New Roman;Times;serif"/>
          <w:spacing w:val="-4"/>
          <w:sz w:val="20"/>
        </w:rPr>
        <w:t xml:space="preserve"> </w:t>
      </w:r>
      <w:r>
        <w:rPr>
          <w:rFonts w:ascii="Times New Roman;Times;serif" w:hAnsi="Times New Roman;Times;serif"/>
          <w:sz w:val="20"/>
        </w:rPr>
        <w:t>must</w:t>
      </w:r>
      <w:r>
        <w:rPr>
          <w:rFonts w:ascii="Times New Roman;Times;serif" w:hAnsi="Times New Roman;Times;serif"/>
          <w:spacing w:val="-7"/>
          <w:sz w:val="20"/>
        </w:rPr>
        <w:t xml:space="preserve"> </w:t>
      </w:r>
      <w:r>
        <w:rPr>
          <w:rFonts w:ascii="Times New Roman;Times;serif" w:hAnsi="Times New Roman;Times;serif"/>
          <w:sz w:val="20"/>
        </w:rPr>
        <w:t>submit</w:t>
      </w:r>
      <w:r>
        <w:rPr>
          <w:rFonts w:ascii="Times New Roman;Times;serif" w:hAnsi="Times New Roman;Times;serif"/>
          <w:spacing w:val="-3"/>
          <w:sz w:val="20"/>
        </w:rPr>
        <w:t xml:space="preserve"> </w:t>
      </w:r>
      <w:r>
        <w:rPr>
          <w:rFonts w:ascii="Times New Roman;Times;serif" w:hAnsi="Times New Roman;Times;serif"/>
          <w:sz w:val="20"/>
        </w:rPr>
        <w:t>to</w:t>
      </w:r>
      <w:r>
        <w:rPr>
          <w:rFonts w:ascii="Times New Roman;Times;serif" w:hAnsi="Times New Roman;Times;serif"/>
          <w:spacing w:val="-4"/>
          <w:sz w:val="20"/>
        </w:rPr>
        <w:t xml:space="preserve"> </w:t>
      </w:r>
      <w:r>
        <w:rPr>
          <w:rFonts w:ascii="Times New Roman;Times;serif" w:hAnsi="Times New Roman;Times;serif"/>
          <w:sz w:val="20"/>
        </w:rPr>
        <w:t>the</w:t>
      </w:r>
      <w:r>
        <w:rPr>
          <w:rFonts w:ascii="Times New Roman;Times;serif" w:hAnsi="Times New Roman;Times;serif"/>
          <w:spacing w:val="-3"/>
          <w:sz w:val="20"/>
        </w:rPr>
        <w:t xml:space="preserve"> </w:t>
      </w:r>
      <w:r>
        <w:rPr>
          <w:rFonts w:ascii="Times New Roman;Times;serif" w:hAnsi="Times New Roman;Times;serif"/>
          <w:sz w:val="20"/>
        </w:rPr>
        <w:t>CCD</w:t>
      </w:r>
      <w:r>
        <w:rPr>
          <w:rFonts w:ascii="Times New Roman;Times;serif" w:hAnsi="Times New Roman;Times;serif"/>
          <w:spacing w:val="-6"/>
          <w:sz w:val="20"/>
        </w:rPr>
        <w:t xml:space="preserve"> </w:t>
      </w:r>
      <w:r>
        <w:rPr>
          <w:rFonts w:ascii="Times New Roman;Times;serif" w:hAnsi="Times New Roman;Times;serif"/>
          <w:sz w:val="20"/>
        </w:rPr>
        <w:t>a</w:t>
      </w:r>
      <w:r>
        <w:rPr>
          <w:rFonts w:ascii="Times New Roman;Times;serif" w:hAnsi="Times New Roman;Times;serif"/>
          <w:spacing w:val="-5"/>
          <w:sz w:val="20"/>
        </w:rPr>
        <w:t xml:space="preserve"> </w:t>
      </w:r>
      <w:r>
        <w:rPr>
          <w:rFonts w:ascii="Times New Roman;Times;serif" w:hAnsi="Times New Roman;Times;serif"/>
          <w:sz w:val="20"/>
        </w:rPr>
        <w:t>premises</w:t>
      </w:r>
      <w:r>
        <w:rPr>
          <w:rFonts w:ascii="Times New Roman;Times;serif" w:hAnsi="Times New Roman;Times;serif"/>
          <w:spacing w:val="-6"/>
          <w:sz w:val="20"/>
        </w:rPr>
        <w:t xml:space="preserve"> </w:t>
      </w:r>
      <w:r>
        <w:rPr>
          <w:rFonts w:ascii="Times New Roman;Times;serif" w:hAnsi="Times New Roman;Times;serif"/>
          <w:sz w:val="20"/>
        </w:rPr>
        <w:t>diagram</w:t>
      </w:r>
      <w:r>
        <w:rPr>
          <w:rFonts w:ascii="Times New Roman;Times;serif" w:hAnsi="Times New Roman;Times;serif"/>
          <w:spacing w:val="-9"/>
          <w:sz w:val="20"/>
        </w:rPr>
        <w:t xml:space="preserve"> </w:t>
      </w:r>
      <w:r>
        <w:rPr>
          <w:rFonts w:ascii="Times New Roman;Times;serif" w:hAnsi="Times New Roman;Times;serif"/>
          <w:sz w:val="20"/>
        </w:rPr>
        <w:t>that</w:t>
      </w:r>
      <w:r>
        <w:rPr>
          <w:rFonts w:ascii="Times New Roman;Times;serif" w:hAnsi="Times New Roman;Times;serif"/>
          <w:spacing w:val="-4"/>
          <w:sz w:val="20"/>
        </w:rPr>
        <w:t xml:space="preserve"> </w:t>
      </w:r>
      <w:r>
        <w:rPr>
          <w:rFonts w:ascii="Times New Roman;Times;serif" w:hAnsi="Times New Roman;Times;serif"/>
          <w:sz w:val="20"/>
        </w:rPr>
        <w:t>shows</w:t>
      </w:r>
      <w:r>
        <w:rPr>
          <w:rFonts w:ascii="Times New Roman;Times;serif" w:hAnsi="Times New Roman;Times;serif"/>
          <w:spacing w:val="-6"/>
          <w:sz w:val="20"/>
        </w:rPr>
        <w:t xml:space="preserve"> </w:t>
      </w:r>
      <w:r>
        <w:rPr>
          <w:rFonts w:ascii="Times New Roman;Times;serif" w:hAnsi="Times New Roman;Times;serif"/>
          <w:sz w:val="20"/>
        </w:rPr>
        <w:t>the</w:t>
      </w:r>
      <w:r>
        <w:rPr>
          <w:rFonts w:ascii="Times New Roman;Times;serif" w:hAnsi="Times New Roman;Times;serif"/>
          <w:spacing w:val="-5"/>
          <w:sz w:val="20"/>
        </w:rPr>
        <w:t xml:space="preserve"> </w:t>
      </w:r>
      <w:r>
        <w:rPr>
          <w:rFonts w:ascii="Times New Roman;Times;serif" w:hAnsi="Times New Roman;Times;serif"/>
          <w:sz w:val="20"/>
        </w:rPr>
        <w:t>location</w:t>
      </w:r>
      <w:r>
        <w:rPr>
          <w:rFonts w:ascii="Times New Roman;Times;serif" w:hAnsi="Times New Roman;Times;serif"/>
          <w:spacing w:val="-6"/>
          <w:sz w:val="20"/>
        </w:rPr>
        <w:t xml:space="preserve"> </w:t>
      </w:r>
      <w:r>
        <w:rPr>
          <w:rFonts w:ascii="Times New Roman;Times;serif" w:hAnsi="Times New Roman;Times;serif"/>
          <w:sz w:val="20"/>
        </w:rPr>
        <w:t>of</w:t>
      </w:r>
      <w:r>
        <w:rPr>
          <w:rFonts w:ascii="Times New Roman;Times;serif" w:hAnsi="Times New Roman;Times;serif"/>
          <w:spacing w:val="-8"/>
          <w:sz w:val="20"/>
        </w:rPr>
        <w:t xml:space="preserve"> </w:t>
      </w:r>
      <w:r>
        <w:rPr>
          <w:rFonts w:ascii="Times New Roman;Times;serif" w:hAnsi="Times New Roman;Times;serif"/>
          <w:sz w:val="20"/>
        </w:rPr>
        <w:t>all</w:t>
      </w:r>
      <w:r>
        <w:rPr>
          <w:rFonts w:ascii="Times New Roman;Times;serif" w:hAnsi="Times New Roman;Times;serif"/>
          <w:spacing w:val="-3"/>
          <w:sz w:val="20"/>
        </w:rPr>
        <w:t xml:space="preserve"> </w:t>
      </w:r>
      <w:r>
        <w:rPr>
          <w:rFonts w:ascii="Times New Roman;Times;serif" w:hAnsi="Times New Roman;Times;serif"/>
          <w:sz w:val="20"/>
        </w:rPr>
        <w:t>entrances,</w:t>
      </w:r>
      <w:r>
        <w:rPr>
          <w:rFonts w:ascii="Times New Roman;Times;serif" w:hAnsi="Times New Roman;Times;serif"/>
          <w:spacing w:val="-6"/>
          <w:sz w:val="20"/>
        </w:rPr>
        <w:t xml:space="preserve"> </w:t>
      </w:r>
      <w:r>
        <w:rPr>
          <w:rFonts w:ascii="Times New Roman;Times;serif" w:hAnsi="Times New Roman;Times;serif"/>
          <w:sz w:val="20"/>
        </w:rPr>
        <w:t>exits,</w:t>
      </w:r>
      <w:r>
        <w:rPr>
          <w:rFonts w:ascii="Times New Roman;Times;serif" w:hAnsi="Times New Roman;Times;serif"/>
          <w:spacing w:val="-6"/>
          <w:sz w:val="20"/>
        </w:rPr>
        <w:t xml:space="preserve"> </w:t>
      </w:r>
      <w:r>
        <w:rPr>
          <w:rFonts w:ascii="Times New Roman;Times;serif" w:hAnsi="Times New Roman;Times;serif"/>
          <w:sz w:val="20"/>
        </w:rPr>
        <w:t>rooms,</w:t>
      </w:r>
      <w:r>
        <w:rPr>
          <w:rFonts w:ascii="Times New Roman;Times;serif" w:hAnsi="Times New Roman;Times;serif"/>
          <w:spacing w:val="-4"/>
          <w:sz w:val="20"/>
        </w:rPr>
        <w:t xml:space="preserve"> </w:t>
      </w:r>
      <w:r>
        <w:rPr>
          <w:rFonts w:ascii="Times New Roman;Times;serif" w:hAnsi="Times New Roman;Times;serif"/>
          <w:sz w:val="20"/>
        </w:rPr>
        <w:t>cultivation</w:t>
      </w:r>
      <w:r>
        <w:rPr>
          <w:rFonts w:ascii="Times New Roman;Times;serif" w:hAnsi="Times New Roman;Times;serif"/>
          <w:spacing w:val="-2"/>
          <w:sz w:val="20"/>
        </w:rPr>
        <w:t xml:space="preserve"> </w:t>
      </w:r>
      <w:r>
        <w:rPr>
          <w:rFonts w:ascii="Times New Roman;Times;serif" w:hAnsi="Times New Roman;Times;serif"/>
          <w:sz w:val="20"/>
        </w:rPr>
        <w:t>areas,</w:t>
      </w:r>
      <w:r>
        <w:rPr>
          <w:rFonts w:ascii="Times New Roman;Times;serif" w:hAnsi="Times New Roman;Times;serif"/>
          <w:spacing w:val="11"/>
          <w:sz w:val="20"/>
        </w:rPr>
        <w:t xml:space="preserve"> </w:t>
      </w:r>
      <w:r>
        <w:rPr>
          <w:rFonts w:ascii="Times New Roman;Times;serif" w:hAnsi="Times New Roman;Times;serif"/>
          <w:sz w:val="20"/>
        </w:rPr>
        <w:t>light</w:t>
      </w:r>
      <w:r>
        <w:rPr>
          <w:rFonts w:ascii="Times New Roman;Times;serif" w:hAnsi="Times New Roman;Times;serif"/>
          <w:spacing w:val="12"/>
          <w:sz w:val="20"/>
        </w:rPr>
        <w:t xml:space="preserve"> </w:t>
      </w:r>
      <w:r>
        <w:rPr>
          <w:rFonts w:ascii="Times New Roman;Times;serif" w:hAnsi="Times New Roman;Times;serif"/>
          <w:sz w:val="20"/>
        </w:rPr>
        <w:t>locations,</w:t>
      </w:r>
      <w:r>
        <w:rPr>
          <w:rFonts w:ascii="Times New Roman;Times;serif" w:hAnsi="Times New Roman;Times;serif"/>
          <w:spacing w:val="13"/>
          <w:sz w:val="20"/>
        </w:rPr>
        <w:t xml:space="preserve"> </w:t>
      </w:r>
      <w:r>
        <w:rPr>
          <w:rFonts w:ascii="Times New Roman;Times;serif" w:hAnsi="Times New Roman;Times;serif"/>
          <w:sz w:val="20"/>
        </w:rPr>
        <w:t>security</w:t>
      </w:r>
      <w:r>
        <w:rPr>
          <w:rFonts w:ascii="Times New Roman;Times;serif" w:hAnsi="Times New Roman;Times;serif"/>
          <w:spacing w:val="11"/>
          <w:sz w:val="20"/>
        </w:rPr>
        <w:t xml:space="preserve"> </w:t>
      </w:r>
      <w:r>
        <w:rPr>
          <w:rFonts w:ascii="Times New Roman;Times;serif" w:hAnsi="Times New Roman;Times;serif"/>
          <w:sz w:val="20"/>
        </w:rPr>
        <w:t>camera</w:t>
      </w:r>
      <w:r>
        <w:rPr>
          <w:rFonts w:ascii="Times New Roman;Times;serif" w:hAnsi="Times New Roman;Times;serif"/>
          <w:spacing w:val="12"/>
          <w:sz w:val="20"/>
        </w:rPr>
        <w:t xml:space="preserve"> </w:t>
      </w:r>
      <w:r>
        <w:rPr>
          <w:rFonts w:ascii="Times New Roman;Times;serif" w:hAnsi="Times New Roman;Times;serif"/>
          <w:sz w:val="20"/>
        </w:rPr>
        <w:t>locations,</w:t>
      </w:r>
      <w:r>
        <w:rPr>
          <w:rFonts w:ascii="Times New Roman;Times;serif" w:hAnsi="Times New Roman;Times;serif"/>
          <w:spacing w:val="13"/>
          <w:sz w:val="20"/>
        </w:rPr>
        <w:t xml:space="preserve"> </w:t>
      </w:r>
      <w:r>
        <w:rPr>
          <w:rFonts w:ascii="Times New Roman;Times;serif" w:hAnsi="Times New Roman;Times;serif"/>
          <w:sz w:val="20"/>
        </w:rPr>
        <w:t>among</w:t>
      </w:r>
      <w:r>
        <w:rPr>
          <w:rFonts w:ascii="Times New Roman;Times;serif" w:hAnsi="Times New Roman;Times;serif"/>
          <w:spacing w:val="11"/>
          <w:sz w:val="20"/>
        </w:rPr>
        <w:t xml:space="preserve"> </w:t>
      </w:r>
      <w:r>
        <w:rPr>
          <w:rFonts w:ascii="Times New Roman;Times;serif" w:hAnsi="Times New Roman;Times;serif"/>
          <w:sz w:val="20"/>
        </w:rPr>
        <w:t>other</w:t>
      </w:r>
      <w:r>
        <w:rPr>
          <w:rFonts w:ascii="Times New Roman;Times;serif" w:hAnsi="Times New Roman;Times;serif"/>
          <w:spacing w:val="13"/>
          <w:sz w:val="20"/>
        </w:rPr>
        <w:t xml:space="preserve"> </w:t>
      </w:r>
      <w:r>
        <w:rPr>
          <w:rFonts w:ascii="Times New Roman;Times;serif" w:hAnsi="Times New Roman;Times;serif"/>
          <w:sz w:val="20"/>
        </w:rPr>
        <w:t>things.</w:t>
      </w:r>
      <w:r>
        <w:rPr>
          <w:rFonts w:ascii="Times New Roman;Times;serif" w:hAnsi="Times New Roman;Times;serif"/>
          <w:spacing w:val="15"/>
          <w:sz w:val="20"/>
        </w:rPr>
        <w:t xml:space="preserve"> </w:t>
      </w:r>
      <w:r>
        <w:rPr>
          <w:rFonts w:ascii="Times New Roman;Times;serif" w:hAnsi="Times New Roman;Times;serif"/>
          <w:sz w:val="20"/>
        </w:rPr>
        <w:t>A</w:t>
      </w:r>
      <w:r>
        <w:rPr>
          <w:rFonts w:ascii="Times New Roman;Times;serif" w:hAnsi="Times New Roman;Times;serif"/>
          <w:spacing w:val="15"/>
          <w:sz w:val="20"/>
        </w:rPr>
        <w:t xml:space="preserve"> </w:t>
      </w:r>
      <w:r>
        <w:rPr>
          <w:rFonts w:ascii="Times New Roman;Times;serif" w:hAnsi="Times New Roman;Times;serif"/>
          <w:sz w:val="20"/>
        </w:rPr>
        <w:t>manufacturer</w:t>
      </w:r>
      <w:r>
        <w:rPr>
          <w:rFonts w:ascii="Times New Roman;Times;serif" w:hAnsi="Times New Roman;Times;serif"/>
          <w:spacing w:val="15"/>
          <w:sz w:val="20"/>
        </w:rPr>
        <w:t xml:space="preserve"> </w:t>
      </w:r>
      <w:r>
        <w:rPr>
          <w:rFonts w:ascii="Times New Roman;Times;serif" w:hAnsi="Times New Roman;Times;serif"/>
          <w:sz w:val="20"/>
        </w:rPr>
        <w:t>must</w:t>
      </w:r>
      <w:r>
        <w:rPr>
          <w:rFonts w:ascii="Times New Roman;Times;serif" w:hAnsi="Times New Roman;Times;serif"/>
          <w:spacing w:val="13"/>
          <w:sz w:val="20"/>
        </w:rPr>
        <w:t xml:space="preserve"> </w:t>
      </w:r>
      <w:r>
        <w:rPr>
          <w:rFonts w:ascii="Times New Roman;Times;serif" w:hAnsi="Times New Roman;Times;serif"/>
          <w:sz w:val="20"/>
        </w:rPr>
        <w:t>develop</w:t>
      </w:r>
      <w:r>
        <w:rPr>
          <w:rFonts w:ascii="Times New Roman;Times;serif" w:hAnsi="Times New Roman;Times;serif"/>
          <w:spacing w:val="13"/>
          <w:sz w:val="20"/>
        </w:rPr>
        <w:t xml:space="preserve"> </w:t>
      </w:r>
      <w:r>
        <w:rPr>
          <w:rFonts w:ascii="Times New Roman;Times;serif" w:hAnsi="Times New Roman;Times;serif"/>
          <w:sz w:val="20"/>
        </w:rPr>
        <w:t>and</w:t>
      </w:r>
      <w:r>
        <w:rPr>
          <w:rFonts w:ascii="Times New Roman;Times;serif" w:hAnsi="Times New Roman;Times;serif"/>
          <w:spacing w:val="13"/>
          <w:sz w:val="20"/>
        </w:rPr>
        <w:t xml:space="preserve"> </w:t>
      </w:r>
      <w:r>
        <w:rPr>
          <w:rFonts w:ascii="Times New Roman;Times;serif" w:hAnsi="Times New Roman;Times;serif"/>
          <w:sz w:val="20"/>
        </w:rPr>
        <w:t>implement</w:t>
      </w:r>
      <w:r>
        <w:rPr>
          <w:rFonts w:ascii="Times New Roman;Times;serif" w:hAnsi="Times New Roman;Times;serif"/>
          <w:spacing w:val="-2"/>
          <w:sz w:val="20"/>
        </w:rPr>
        <w:t xml:space="preserve"> </w:t>
      </w:r>
      <w:r>
        <w:rPr>
          <w:rFonts w:ascii="Times New Roman;Times;serif" w:hAnsi="Times New Roman;Times;serif"/>
          <w:sz w:val="20"/>
        </w:rPr>
        <w:t>policies</w:t>
      </w:r>
      <w:r>
        <w:rPr>
          <w:rFonts w:ascii="Times New Roman;Times;serif" w:hAnsi="Times New Roman;Times;serif"/>
          <w:spacing w:val="-2"/>
          <w:sz w:val="20"/>
        </w:rPr>
        <w:t xml:space="preserve"> </w:t>
      </w:r>
      <w:r>
        <w:rPr>
          <w:rFonts w:ascii="Times New Roman;Times;serif" w:hAnsi="Times New Roman;Times;serif"/>
          <w:sz w:val="20"/>
        </w:rPr>
        <w:t>and procedures</w:t>
      </w:r>
      <w:r>
        <w:rPr>
          <w:rFonts w:ascii="Times New Roman;Times;serif" w:hAnsi="Times New Roman;Times;serif"/>
          <w:spacing w:val="-2"/>
          <w:sz w:val="20"/>
        </w:rPr>
        <w:t xml:space="preserve"> </w:t>
      </w:r>
      <w:r>
        <w:rPr>
          <w:rFonts w:ascii="Times New Roman;Times;serif" w:hAnsi="Times New Roman;Times;serif"/>
          <w:sz w:val="20"/>
        </w:rPr>
        <w:t>that</w:t>
      </w:r>
      <w:r>
        <w:rPr>
          <w:rFonts w:ascii="Times New Roman;Times;serif" w:hAnsi="Times New Roman;Times;serif"/>
          <w:spacing w:val="-2"/>
          <w:sz w:val="20"/>
        </w:rPr>
        <w:t xml:space="preserve"> </w:t>
      </w:r>
      <w:r>
        <w:rPr>
          <w:rFonts w:ascii="Times New Roman;Times;serif" w:hAnsi="Times New Roman;Times;serif"/>
          <w:sz w:val="20"/>
        </w:rPr>
        <w:t>include,</w:t>
      </w:r>
      <w:r>
        <w:rPr>
          <w:rFonts w:ascii="Times New Roman;Times;serif" w:hAnsi="Times New Roman;Times;serif"/>
          <w:spacing w:val="-2"/>
          <w:sz w:val="20"/>
        </w:rPr>
        <w:t xml:space="preserve"> </w:t>
      </w:r>
      <w:r>
        <w:rPr>
          <w:rFonts w:ascii="Times New Roman;Times;serif" w:hAnsi="Times New Roman;Times;serif"/>
          <w:sz w:val="20"/>
        </w:rPr>
        <w:t>at</w:t>
      </w:r>
      <w:r>
        <w:rPr>
          <w:rFonts w:ascii="Times New Roman;Times;serif" w:hAnsi="Times New Roman;Times;serif"/>
          <w:spacing w:val="-2"/>
          <w:sz w:val="20"/>
        </w:rPr>
        <w:t xml:space="preserve"> </w:t>
      </w:r>
      <w:r>
        <w:rPr>
          <w:rFonts w:ascii="Times New Roman;Times;serif" w:hAnsi="Times New Roman;Times;serif"/>
          <w:sz w:val="20"/>
        </w:rPr>
        <w:t>a</w:t>
      </w:r>
      <w:r>
        <w:rPr>
          <w:rFonts w:ascii="Times New Roman;Times;serif" w:hAnsi="Times New Roman;Times;serif"/>
          <w:spacing w:val="-1"/>
          <w:sz w:val="20"/>
        </w:rPr>
        <w:t xml:space="preserve"> </w:t>
      </w:r>
      <w:r>
        <w:rPr>
          <w:rFonts w:ascii="Times New Roman;Times;serif" w:hAnsi="Times New Roman;Times;serif"/>
          <w:sz w:val="20"/>
        </w:rPr>
        <w:t>minimum</w:t>
      </w:r>
      <w:r>
        <w:rPr>
          <w:rFonts w:ascii="Times New Roman;Times;serif" w:hAnsi="Times New Roman;Times;serif"/>
          <w:spacing w:val="-5"/>
          <w:sz w:val="20"/>
        </w:rPr>
        <w:t xml:space="preserve"> </w:t>
      </w:r>
      <w:r>
        <w:rPr>
          <w:rFonts w:ascii="Times New Roman;Times;serif" w:hAnsi="Times New Roman;Times;serif"/>
          <w:sz w:val="20"/>
        </w:rPr>
        <w:t>cannabis testing</w:t>
      </w:r>
      <w:r>
        <w:rPr>
          <w:rFonts w:ascii="Times New Roman;Times;serif" w:hAnsi="Times New Roman;Times;serif"/>
          <w:spacing w:val="-2"/>
          <w:sz w:val="20"/>
        </w:rPr>
        <w:t xml:space="preserve"> </w:t>
      </w:r>
      <w:r>
        <w:rPr>
          <w:rFonts w:ascii="Times New Roman;Times;serif" w:hAnsi="Times New Roman;Times;serif"/>
          <w:sz w:val="20"/>
        </w:rPr>
        <w:t>criteria</w:t>
      </w:r>
      <w:r>
        <w:rPr>
          <w:rFonts w:ascii="Times New Roman;Times;serif" w:hAnsi="Times New Roman;Times;serif"/>
          <w:spacing w:val="-2"/>
          <w:sz w:val="20"/>
        </w:rPr>
        <w:t xml:space="preserve"> </w:t>
      </w:r>
      <w:r>
        <w:rPr>
          <w:rFonts w:ascii="Times New Roman;Times;serif" w:hAnsi="Times New Roman;Times;serif"/>
          <w:sz w:val="20"/>
        </w:rPr>
        <w:t>and procedures</w:t>
      </w:r>
      <w:r>
        <w:rPr>
          <w:rFonts w:ascii="Times New Roman;Times;serif" w:hAnsi="Times New Roman;Times;serif"/>
          <w:spacing w:val="-2"/>
          <w:sz w:val="20"/>
        </w:rPr>
        <w:t xml:space="preserve"> </w:t>
      </w:r>
      <w:r>
        <w:rPr>
          <w:rFonts w:ascii="Times New Roman;Times;serif" w:hAnsi="Times New Roman;Times;serif"/>
          <w:sz w:val="20"/>
        </w:rPr>
        <w:t>consistent with</w:t>
      </w:r>
      <w:r>
        <w:rPr>
          <w:rFonts w:ascii="Times New Roman;Times;serif" w:hAnsi="Times New Roman;Times;serif"/>
          <w:spacing w:val="-2"/>
          <w:sz w:val="20"/>
        </w:rPr>
        <w:t xml:space="preserve"> </w:t>
      </w:r>
      <w:r>
        <w:rPr>
          <w:rFonts w:ascii="Times New Roman;Times;serif" w:hAnsi="Times New Roman;Times;serif"/>
          <w:sz w:val="20"/>
        </w:rPr>
        <w:t>the CRA,</w:t>
      </w:r>
      <w:r>
        <w:rPr>
          <w:rFonts w:ascii="Times New Roman;Times;serif" w:hAnsi="Times New Roman;Times;serif"/>
          <w:spacing w:val="-2"/>
          <w:sz w:val="20"/>
        </w:rPr>
        <w:t xml:space="preserve"> </w:t>
      </w:r>
      <w:r>
        <w:rPr>
          <w:rFonts w:ascii="Times New Roman;Times;serif" w:hAnsi="Times New Roman;Times;serif"/>
          <w:sz w:val="20"/>
        </w:rPr>
        <w:t>employee</w:t>
      </w:r>
      <w:r>
        <w:rPr>
          <w:rFonts w:ascii="Times New Roman;Times;serif" w:hAnsi="Times New Roman;Times;serif"/>
          <w:spacing w:val="62"/>
          <w:sz w:val="20"/>
        </w:rPr>
        <w:t xml:space="preserve"> </w:t>
      </w:r>
      <w:r>
        <w:rPr>
          <w:rFonts w:ascii="Times New Roman;Times;serif" w:hAnsi="Times New Roman;Times;serif"/>
          <w:sz w:val="20"/>
        </w:rPr>
        <w:t>training</w:t>
      </w:r>
      <w:r>
        <w:rPr>
          <w:rFonts w:ascii="Times New Roman;Times;serif" w:hAnsi="Times New Roman;Times;serif"/>
          <w:spacing w:val="64"/>
          <w:sz w:val="20"/>
        </w:rPr>
        <w:t xml:space="preserve"> </w:t>
      </w:r>
      <w:r>
        <w:rPr>
          <w:rFonts w:ascii="Times New Roman;Times;serif" w:hAnsi="Times New Roman;Times;serif"/>
          <w:sz w:val="20"/>
        </w:rPr>
        <w:t>materials,</w:t>
      </w:r>
      <w:r>
        <w:rPr>
          <w:rFonts w:ascii="Times New Roman;Times;serif" w:hAnsi="Times New Roman;Times;serif"/>
          <w:spacing w:val="66"/>
          <w:sz w:val="20"/>
        </w:rPr>
        <w:t xml:space="preserve"> </w:t>
      </w:r>
      <w:r>
        <w:rPr>
          <w:rFonts w:ascii="Times New Roman;Times;serif" w:hAnsi="Times New Roman;Times;serif"/>
          <w:sz w:val="20"/>
        </w:rPr>
        <w:t>training</w:t>
      </w:r>
      <w:r>
        <w:rPr>
          <w:rFonts w:ascii="Times New Roman;Times;serif" w:hAnsi="Times New Roman;Times;serif"/>
          <w:spacing w:val="60"/>
          <w:sz w:val="20"/>
        </w:rPr>
        <w:t xml:space="preserve"> </w:t>
      </w:r>
      <w:r>
        <w:rPr>
          <w:rFonts w:ascii="Times New Roman;Times;serif" w:hAnsi="Times New Roman;Times;serif"/>
          <w:sz w:val="20"/>
        </w:rPr>
        <w:t>requirements,</w:t>
      </w:r>
      <w:r>
        <w:rPr>
          <w:rFonts w:ascii="Times New Roman;Times;serif" w:hAnsi="Times New Roman;Times;serif"/>
          <w:spacing w:val="62"/>
          <w:sz w:val="20"/>
        </w:rPr>
        <w:t xml:space="preserve"> </w:t>
      </w:r>
      <w:r>
        <w:rPr>
          <w:rFonts w:ascii="Times New Roman;Times;serif" w:hAnsi="Times New Roman;Times;serif"/>
          <w:sz w:val="20"/>
        </w:rPr>
        <w:t>recordkeeping</w:t>
      </w:r>
      <w:r>
        <w:rPr>
          <w:rFonts w:ascii="Times New Roman;Times;serif" w:hAnsi="Times New Roman;Times;serif"/>
          <w:spacing w:val="60"/>
          <w:sz w:val="20"/>
        </w:rPr>
        <w:t xml:space="preserve"> </w:t>
      </w:r>
      <w:r>
        <w:rPr>
          <w:rFonts w:ascii="Times New Roman;Times;serif" w:hAnsi="Times New Roman;Times;serif"/>
          <w:sz w:val="20"/>
        </w:rPr>
        <w:t>protocols,</w:t>
      </w:r>
      <w:r>
        <w:rPr>
          <w:rFonts w:ascii="Times New Roman;Times;serif" w:hAnsi="Times New Roman;Times;serif"/>
          <w:spacing w:val="62"/>
          <w:sz w:val="20"/>
        </w:rPr>
        <w:t xml:space="preserve"> </w:t>
      </w:r>
      <w:r>
        <w:rPr>
          <w:rFonts w:ascii="Times New Roman;Times;serif" w:hAnsi="Times New Roman;Times;serif"/>
          <w:sz w:val="20"/>
        </w:rPr>
        <w:t>transportation,</w:t>
      </w:r>
      <w:r>
        <w:rPr>
          <w:rFonts w:ascii="Times New Roman;Times;serif" w:hAnsi="Times New Roman;Times;serif"/>
          <w:spacing w:val="64"/>
          <w:sz w:val="20"/>
        </w:rPr>
        <w:t xml:space="preserve"> </w:t>
      </w:r>
      <w:r>
        <w:rPr>
          <w:rFonts w:ascii="Times New Roman;Times;serif" w:hAnsi="Times New Roman;Times;serif"/>
          <w:sz w:val="20"/>
        </w:rPr>
        <w:t>testing</w:t>
      </w:r>
      <w:r>
        <w:rPr>
          <w:rFonts w:ascii="Times New Roman;Times;serif" w:hAnsi="Times New Roman;Times;serif"/>
          <w:spacing w:val="60"/>
          <w:sz w:val="20"/>
        </w:rPr>
        <w:t xml:space="preserve"> </w:t>
      </w:r>
      <w:r>
        <w:rPr>
          <w:rFonts w:ascii="Times New Roman;Times;serif" w:hAnsi="Times New Roman;Times;serif"/>
          <w:sz w:val="20"/>
        </w:rPr>
        <w:t>protocols,</w:t>
      </w:r>
      <w:r>
        <w:rPr>
          <w:rFonts w:ascii="Times New Roman;Times;serif" w:hAnsi="Times New Roman;Times;serif"/>
          <w:spacing w:val="-2"/>
          <w:sz w:val="20"/>
        </w:rPr>
        <w:t xml:space="preserve"> </w:t>
      </w:r>
      <w:r>
        <w:rPr>
          <w:rFonts w:ascii="Times New Roman;Times;serif" w:hAnsi="Times New Roman;Times;serif"/>
          <w:sz w:val="20"/>
        </w:rPr>
        <w:t>employee</w:t>
      </w:r>
      <w:r>
        <w:rPr>
          <w:rFonts w:ascii="Times New Roman;Times;serif" w:hAnsi="Times New Roman;Times;serif"/>
          <w:spacing w:val="-4"/>
          <w:sz w:val="20"/>
        </w:rPr>
        <w:t xml:space="preserve"> </w:t>
      </w:r>
      <w:r>
        <w:rPr>
          <w:rFonts w:ascii="Times New Roman;Times;serif" w:hAnsi="Times New Roman;Times;serif"/>
          <w:sz w:val="20"/>
        </w:rPr>
        <w:t>policies</w:t>
      </w:r>
      <w:r>
        <w:rPr>
          <w:rFonts w:ascii="Times New Roman;Times;serif" w:hAnsi="Times New Roman;Times;serif"/>
          <w:spacing w:val="-6"/>
          <w:sz w:val="20"/>
        </w:rPr>
        <w:t xml:space="preserve"> </w:t>
      </w:r>
      <w:r>
        <w:rPr>
          <w:rFonts w:ascii="Times New Roman;Times;serif" w:hAnsi="Times New Roman;Times;serif"/>
          <w:sz w:val="20"/>
        </w:rPr>
        <w:t>and</w:t>
      </w:r>
      <w:r>
        <w:rPr>
          <w:rFonts w:ascii="Times New Roman;Times;serif" w:hAnsi="Times New Roman;Times;serif"/>
          <w:spacing w:val="-2"/>
          <w:sz w:val="20"/>
        </w:rPr>
        <w:t xml:space="preserve"> </w:t>
      </w:r>
      <w:r>
        <w:rPr>
          <w:rFonts w:ascii="Times New Roman;Times;serif" w:hAnsi="Times New Roman;Times;serif"/>
          <w:sz w:val="20"/>
        </w:rPr>
        <w:t>procedures</w:t>
      </w:r>
      <w:r>
        <w:rPr>
          <w:rFonts w:ascii="Times New Roman;Times;serif" w:hAnsi="Times New Roman;Times;serif"/>
          <w:spacing w:val="-6"/>
          <w:sz w:val="20"/>
        </w:rPr>
        <w:t xml:space="preserve"> </w:t>
      </w:r>
      <w:r>
        <w:rPr>
          <w:rFonts w:ascii="Times New Roman;Times;serif" w:hAnsi="Times New Roman;Times;serif"/>
          <w:sz w:val="20"/>
        </w:rPr>
        <w:t>and</w:t>
      </w:r>
      <w:r>
        <w:rPr>
          <w:rFonts w:ascii="Times New Roman;Times;serif" w:hAnsi="Times New Roman;Times;serif"/>
          <w:spacing w:val="-4"/>
          <w:sz w:val="20"/>
        </w:rPr>
        <w:t xml:space="preserve"> </w:t>
      </w:r>
      <w:r>
        <w:rPr>
          <w:rFonts w:ascii="Times New Roman;Times;serif" w:hAnsi="Times New Roman;Times;serif"/>
          <w:sz w:val="20"/>
        </w:rPr>
        <w:t>training</w:t>
      </w:r>
      <w:r>
        <w:rPr>
          <w:rFonts w:ascii="Times New Roman;Times;serif" w:hAnsi="Times New Roman;Times;serif"/>
          <w:spacing w:val="-4"/>
          <w:sz w:val="20"/>
        </w:rPr>
        <w:t xml:space="preserve"> </w:t>
      </w:r>
      <w:r>
        <w:rPr>
          <w:rFonts w:ascii="Times New Roman;Times;serif" w:hAnsi="Times New Roman;Times;serif"/>
          <w:sz w:val="20"/>
        </w:rPr>
        <w:t>documentation.</w:t>
      </w:r>
      <w:r>
        <w:rPr>
          <w:rFonts w:ascii="Times New Roman;Times;serif" w:hAnsi="Times New Roman;Times;serif"/>
          <w:spacing w:val="-4"/>
          <w:sz w:val="20"/>
        </w:rPr>
        <w:t xml:space="preserve"> </w:t>
      </w:r>
      <w:r>
        <w:rPr>
          <w:rFonts w:ascii="Times New Roman;Times;serif" w:hAnsi="Times New Roman;Times;serif"/>
          <w:sz w:val="20"/>
        </w:rPr>
        <w:t>The</w:t>
      </w:r>
      <w:r>
        <w:rPr>
          <w:rFonts w:ascii="Times New Roman;Times;serif" w:hAnsi="Times New Roman;Times;serif"/>
          <w:spacing w:val="-3"/>
          <w:sz w:val="20"/>
        </w:rPr>
        <w:t xml:space="preserve"> </w:t>
      </w:r>
      <w:r>
        <w:rPr>
          <w:rFonts w:ascii="Times New Roman;Times;serif" w:hAnsi="Times New Roman;Times;serif"/>
          <w:sz w:val="20"/>
        </w:rPr>
        <w:t>CCD</w:t>
      </w:r>
      <w:r>
        <w:rPr>
          <w:rFonts w:ascii="Times New Roman;Times;serif" w:hAnsi="Times New Roman;Times;serif"/>
          <w:spacing w:val="-4"/>
          <w:sz w:val="20"/>
        </w:rPr>
        <w:t xml:space="preserve"> </w:t>
      </w:r>
      <w:r>
        <w:rPr>
          <w:rFonts w:ascii="Times New Roman;Times;serif" w:hAnsi="Times New Roman;Times;serif"/>
          <w:sz w:val="20"/>
        </w:rPr>
        <w:t>sets</w:t>
      </w:r>
      <w:r>
        <w:rPr>
          <w:rFonts w:ascii="Times New Roman;Times;serif" w:hAnsi="Times New Roman;Times;serif"/>
          <w:spacing w:val="-4"/>
          <w:sz w:val="20"/>
        </w:rPr>
        <w:t xml:space="preserve"> </w:t>
      </w:r>
      <w:r>
        <w:rPr>
          <w:rFonts w:ascii="Times New Roman;Times;serif" w:hAnsi="Times New Roman;Times;serif"/>
          <w:sz w:val="20"/>
        </w:rPr>
        <w:t>forth</w:t>
      </w:r>
      <w:r>
        <w:rPr>
          <w:rFonts w:ascii="Times New Roman;Times;serif" w:hAnsi="Times New Roman;Times;serif"/>
          <w:spacing w:val="-4"/>
          <w:sz w:val="20"/>
        </w:rPr>
        <w:t xml:space="preserve"> </w:t>
      </w:r>
      <w:r>
        <w:rPr>
          <w:rFonts w:ascii="Times New Roman;Times;serif" w:hAnsi="Times New Roman;Times;serif"/>
          <w:sz w:val="20"/>
        </w:rPr>
        <w:t>requirements</w:t>
      </w:r>
      <w:r>
        <w:rPr>
          <w:rFonts w:ascii="Times New Roman;Times;serif" w:hAnsi="Times New Roman;Times;serif"/>
          <w:spacing w:val="-4"/>
          <w:sz w:val="20"/>
        </w:rPr>
        <w:t xml:space="preserve"> </w:t>
      </w:r>
      <w:r>
        <w:rPr>
          <w:rFonts w:ascii="Times New Roman;Times;serif" w:hAnsi="Times New Roman;Times;serif"/>
          <w:sz w:val="20"/>
        </w:rPr>
        <w:t>regarding</w:t>
      </w:r>
      <w:r>
        <w:rPr>
          <w:rFonts w:ascii="Times New Roman;Times;serif" w:hAnsi="Times New Roman;Times;serif"/>
          <w:spacing w:val="-4"/>
          <w:sz w:val="20"/>
        </w:rPr>
        <w:t xml:space="preserve"> </w:t>
      </w:r>
      <w:r>
        <w:rPr>
          <w:rFonts w:ascii="Times New Roman;Times;serif" w:hAnsi="Times New Roman;Times;serif"/>
          <w:sz w:val="20"/>
        </w:rPr>
        <w:t>purity</w:t>
      </w:r>
      <w:r>
        <w:rPr>
          <w:rFonts w:ascii="Times New Roman;Times;serif" w:hAnsi="Times New Roman;Times;serif"/>
          <w:spacing w:val="-8"/>
          <w:sz w:val="20"/>
        </w:rPr>
        <w:t xml:space="preserve"> </w:t>
      </w:r>
      <w:r>
        <w:rPr>
          <w:rFonts w:ascii="Times New Roman;Times;serif" w:hAnsi="Times New Roman;Times;serif"/>
          <w:sz w:val="20"/>
        </w:rPr>
        <w:t>and</w:t>
      </w:r>
      <w:r>
        <w:rPr>
          <w:rFonts w:ascii="Times New Roman;Times;serif" w:hAnsi="Times New Roman;Times;serif"/>
          <w:spacing w:val="-2"/>
          <w:sz w:val="20"/>
        </w:rPr>
        <w:t xml:space="preserve"> </w:t>
      </w:r>
      <w:r>
        <w:rPr>
          <w:rFonts w:ascii="Times New Roman;Times;serif" w:hAnsi="Times New Roman;Times;serif"/>
          <w:sz w:val="20"/>
        </w:rPr>
        <w:t>materials used and requires</w:t>
      </w:r>
      <w:r>
        <w:rPr>
          <w:rFonts w:ascii="Times New Roman;Times;serif" w:hAnsi="Times New Roman;Times;serif"/>
          <w:spacing w:val="-2"/>
          <w:sz w:val="20"/>
        </w:rPr>
        <w:t xml:space="preserve"> </w:t>
      </w:r>
      <w:r>
        <w:rPr>
          <w:rFonts w:ascii="Times New Roman;Times;serif" w:hAnsi="Times New Roman;Times;serif"/>
          <w:sz w:val="20"/>
        </w:rPr>
        <w:t>all extractions</w:t>
      </w:r>
      <w:r>
        <w:rPr>
          <w:rFonts w:ascii="Times New Roman;Times;serif" w:hAnsi="Times New Roman;Times;serif"/>
          <w:spacing w:val="-4"/>
          <w:sz w:val="20"/>
        </w:rPr>
        <w:t xml:space="preserve"> </w:t>
      </w:r>
      <w:r>
        <w:rPr>
          <w:rFonts w:ascii="Times New Roman;Times;serif" w:hAnsi="Times New Roman;Times;serif"/>
          <w:sz w:val="20"/>
        </w:rPr>
        <w:t>to be</w:t>
      </w:r>
      <w:r>
        <w:rPr>
          <w:rFonts w:ascii="Times New Roman;Times;serif" w:hAnsi="Times New Roman;Times;serif"/>
          <w:spacing w:val="-1"/>
          <w:sz w:val="20"/>
        </w:rPr>
        <w:t xml:space="preserve"> </w:t>
      </w:r>
      <w:r>
        <w:rPr>
          <w:rFonts w:ascii="Times New Roman;Times;serif" w:hAnsi="Times New Roman;Times;serif"/>
          <w:sz w:val="20"/>
        </w:rPr>
        <w:t>performed in</w:t>
      </w:r>
      <w:r>
        <w:rPr>
          <w:rFonts w:ascii="Times New Roman;Times;serif" w:hAnsi="Times New Roman;Times;serif"/>
          <w:spacing w:val="-4"/>
          <w:sz w:val="20"/>
        </w:rPr>
        <w:t xml:space="preserve"> </w:t>
      </w:r>
      <w:r>
        <w:rPr>
          <w:rFonts w:ascii="Times New Roman;Times;serif" w:hAnsi="Times New Roman;Times;serif"/>
          <w:sz w:val="20"/>
        </w:rPr>
        <w:t>a</w:t>
      </w:r>
      <w:r>
        <w:rPr>
          <w:rFonts w:ascii="Times New Roman;Times;serif" w:hAnsi="Times New Roman;Times;serif"/>
          <w:spacing w:val="-1"/>
          <w:sz w:val="20"/>
        </w:rPr>
        <w:t xml:space="preserve"> </w:t>
      </w:r>
      <w:r>
        <w:rPr>
          <w:rFonts w:ascii="Times New Roman;Times;serif" w:hAnsi="Times New Roman;Times;serif"/>
          <w:sz w:val="20"/>
        </w:rPr>
        <w:t>closed loop system.</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40" w:right="0" w:hanging="0"/>
        <w:jc w:val="both"/>
        <w:rPr>
          <w:rFonts w:ascii="Times New Roman;Times;serif" w:hAnsi="Times New Roman;Times;serif"/>
          <w:i/>
          <w:sz w:val="20"/>
        </w:rPr>
      </w:pPr>
      <w:r>
        <w:rPr>
          <w:rFonts w:ascii="Times New Roman;Times;serif" w:hAnsi="Times New Roman;Times;serif"/>
          <w:i/>
          <w:sz w:val="20"/>
        </w:rPr>
        <w:t>Retail Requirements</w:t>
      </w:r>
    </w:p>
    <w:p>
      <w:pPr>
        <w:pStyle w:val="TextBody"/>
        <w:spacing w:before="30" w:after="240"/>
        <w:ind w:left="40" w:right="107" w:hanging="0"/>
        <w:jc w:val="both"/>
        <w:rPr>
          <w:rFonts w:ascii="Times New Roman;Times;serif" w:hAnsi="Times New Roman;Times;serif"/>
          <w:sz w:val="20"/>
        </w:rPr>
      </w:pPr>
      <w:r>
        <w:rPr>
          <w:rFonts w:ascii="Times New Roman;Times;serif" w:hAnsi="Times New Roman;Times;serif"/>
          <w:sz w:val="20"/>
        </w:rPr>
        <w:t>Adult use retailed licenses permit the sale of cannabis and cannabis products to any individual age 21 years</w:t>
      </w:r>
      <w:r>
        <w:rPr>
          <w:rFonts w:ascii="Times New Roman;Times;serif" w:hAnsi="Times New Roman;Times;serif"/>
          <w:spacing w:val="-2"/>
          <w:sz w:val="20"/>
        </w:rPr>
        <w:t xml:space="preserve"> </w:t>
      </w:r>
      <w:r>
        <w:rPr>
          <w:rFonts w:ascii="Times New Roman;Times;serif" w:hAnsi="Times New Roman;Times;serif"/>
          <w:sz w:val="20"/>
        </w:rPr>
        <w:t>of age or older</w:t>
      </w:r>
      <w:r>
        <w:rPr>
          <w:rFonts w:ascii="Times New Roman;Times;serif" w:hAnsi="Times New Roman;Times;serif"/>
          <w:spacing w:val="-2"/>
          <w:sz w:val="20"/>
        </w:rPr>
        <w:t xml:space="preserve"> </w:t>
      </w:r>
      <w:r>
        <w:rPr>
          <w:rFonts w:ascii="Times New Roman;Times;serif" w:hAnsi="Times New Roman;Times;serif"/>
          <w:sz w:val="20"/>
        </w:rPr>
        <w:t>or</w:t>
      </w:r>
      <w:r>
        <w:rPr>
          <w:rFonts w:ascii="Times New Roman;Times;serif" w:hAnsi="Times New Roman;Times;serif"/>
          <w:spacing w:val="-2"/>
          <w:sz w:val="20"/>
        </w:rPr>
        <w:t xml:space="preserve"> </w:t>
      </w:r>
      <w:r>
        <w:rPr>
          <w:rFonts w:ascii="Times New Roman;Times;serif" w:hAnsi="Times New Roman;Times;serif"/>
          <w:sz w:val="20"/>
        </w:rPr>
        <w:t>to</w:t>
      </w:r>
      <w:r>
        <w:rPr>
          <w:rFonts w:ascii="Times New Roman;Times;serif" w:hAnsi="Times New Roman;Times;serif"/>
          <w:spacing w:val="-4"/>
          <w:sz w:val="20"/>
        </w:rPr>
        <w:t xml:space="preserve"> </w:t>
      </w:r>
      <w:r>
        <w:rPr>
          <w:rFonts w:ascii="Times New Roman;Times;serif" w:hAnsi="Times New Roman;Times;serif"/>
          <w:sz w:val="20"/>
        </w:rPr>
        <w:t>any</w:t>
      </w:r>
      <w:r>
        <w:rPr>
          <w:rFonts w:ascii="Times New Roman;Times;serif" w:hAnsi="Times New Roman;Times;serif"/>
          <w:spacing w:val="-9"/>
          <w:sz w:val="20"/>
        </w:rPr>
        <w:t xml:space="preserve"> </w:t>
      </w:r>
      <w:r>
        <w:rPr>
          <w:rFonts w:ascii="Times New Roman;Times;serif" w:hAnsi="Times New Roman;Times;serif"/>
          <w:sz w:val="20"/>
        </w:rPr>
        <w:t>individual</w:t>
      </w:r>
      <w:r>
        <w:rPr>
          <w:rFonts w:ascii="Times New Roman;Times;serif" w:hAnsi="Times New Roman;Times;serif"/>
          <w:spacing w:val="-4"/>
          <w:sz w:val="20"/>
        </w:rPr>
        <w:t xml:space="preserve"> </w:t>
      </w:r>
      <w:r>
        <w:rPr>
          <w:rFonts w:ascii="Times New Roman;Times;serif" w:hAnsi="Times New Roman;Times;serif"/>
          <w:sz w:val="20"/>
        </w:rPr>
        <w:t>18 years</w:t>
      </w:r>
      <w:r>
        <w:rPr>
          <w:rFonts w:ascii="Times New Roman;Times;serif" w:hAnsi="Times New Roman;Times;serif"/>
          <w:spacing w:val="-6"/>
          <w:sz w:val="20"/>
        </w:rPr>
        <w:t xml:space="preserve"> </w:t>
      </w:r>
      <w:r>
        <w:rPr>
          <w:rFonts w:ascii="Times New Roman;Times;serif" w:hAnsi="Times New Roman;Times;serif"/>
          <w:sz w:val="20"/>
        </w:rPr>
        <w:t>of</w:t>
      </w:r>
      <w:r>
        <w:rPr>
          <w:rFonts w:ascii="Times New Roman;Times;serif" w:hAnsi="Times New Roman;Times;serif"/>
          <w:spacing w:val="-6"/>
          <w:sz w:val="20"/>
        </w:rPr>
        <w:t xml:space="preserve"> </w:t>
      </w:r>
      <w:r>
        <w:rPr>
          <w:rFonts w:ascii="Times New Roman;Times;serif" w:hAnsi="Times New Roman;Times;serif"/>
          <w:sz w:val="20"/>
        </w:rPr>
        <w:t>age</w:t>
      </w:r>
      <w:r>
        <w:rPr>
          <w:rFonts w:ascii="Times New Roman;Times;serif" w:hAnsi="Times New Roman;Times;serif"/>
          <w:spacing w:val="-3"/>
          <w:sz w:val="20"/>
        </w:rPr>
        <w:t xml:space="preserve"> </w:t>
      </w:r>
      <w:r>
        <w:rPr>
          <w:rFonts w:ascii="Times New Roman;Times;serif" w:hAnsi="Times New Roman;Times;serif"/>
          <w:sz w:val="20"/>
        </w:rPr>
        <w:t>or</w:t>
      </w:r>
      <w:r>
        <w:rPr>
          <w:rFonts w:ascii="Times New Roman;Times;serif" w:hAnsi="Times New Roman;Times;serif"/>
          <w:spacing w:val="-4"/>
          <w:sz w:val="20"/>
        </w:rPr>
        <w:t xml:space="preserve"> </w:t>
      </w:r>
      <w:r>
        <w:rPr>
          <w:rFonts w:ascii="Times New Roman;Times;serif" w:hAnsi="Times New Roman;Times;serif"/>
          <w:sz w:val="20"/>
        </w:rPr>
        <w:t>older</w:t>
      </w:r>
      <w:r>
        <w:rPr>
          <w:rFonts w:ascii="Times New Roman;Times;serif" w:hAnsi="Times New Roman;Times;serif"/>
          <w:spacing w:val="-2"/>
          <w:sz w:val="20"/>
        </w:rPr>
        <w:t xml:space="preserve"> </w:t>
      </w:r>
      <w:r>
        <w:rPr>
          <w:rFonts w:ascii="Times New Roman;Times;serif" w:hAnsi="Times New Roman;Times;serif"/>
          <w:sz w:val="20"/>
        </w:rPr>
        <w:t>if</w:t>
      </w:r>
      <w:r>
        <w:rPr>
          <w:rFonts w:ascii="Times New Roman;Times;serif" w:hAnsi="Times New Roman;Times;serif"/>
          <w:spacing w:val="-4"/>
          <w:sz w:val="20"/>
        </w:rPr>
        <w:t xml:space="preserve"> </w:t>
      </w:r>
      <w:r>
        <w:rPr>
          <w:rFonts w:ascii="Times New Roman;Times;serif" w:hAnsi="Times New Roman;Times;serif"/>
          <w:sz w:val="20"/>
        </w:rPr>
        <w:t>such</w:t>
      </w:r>
      <w:r>
        <w:rPr>
          <w:rFonts w:ascii="Times New Roman;Times;serif" w:hAnsi="Times New Roman;Times;serif"/>
          <w:spacing w:val="-4"/>
          <w:sz w:val="20"/>
        </w:rPr>
        <w:t xml:space="preserve"> </w:t>
      </w:r>
      <w:r>
        <w:rPr>
          <w:rFonts w:ascii="Times New Roman;Times;serif" w:hAnsi="Times New Roman;Times;serif"/>
          <w:sz w:val="20"/>
        </w:rPr>
        <w:t>person</w:t>
      </w:r>
      <w:r>
        <w:rPr>
          <w:rFonts w:ascii="Times New Roman;Times;serif" w:hAnsi="Times New Roman;Times;serif"/>
          <w:spacing w:val="-6"/>
          <w:sz w:val="20"/>
        </w:rPr>
        <w:t xml:space="preserve"> </w:t>
      </w:r>
      <w:r>
        <w:rPr>
          <w:rFonts w:ascii="Times New Roman;Times;serif" w:hAnsi="Times New Roman;Times;serif"/>
          <w:sz w:val="20"/>
        </w:rPr>
        <w:t>possesses</w:t>
      </w:r>
      <w:r>
        <w:rPr>
          <w:rFonts w:ascii="Times New Roman;Times;serif" w:hAnsi="Times New Roman;Times;serif"/>
          <w:spacing w:val="-4"/>
          <w:sz w:val="20"/>
        </w:rPr>
        <w:t xml:space="preserve"> </w:t>
      </w:r>
      <w:r>
        <w:rPr>
          <w:rFonts w:ascii="Times New Roman;Times;serif" w:hAnsi="Times New Roman;Times;serif"/>
          <w:sz w:val="20"/>
        </w:rPr>
        <w:t>a</w:t>
      </w:r>
      <w:r>
        <w:rPr>
          <w:rFonts w:ascii="Times New Roman;Times;serif" w:hAnsi="Times New Roman;Times;serif"/>
          <w:spacing w:val="-2"/>
          <w:sz w:val="20"/>
        </w:rPr>
        <w:t xml:space="preserve"> </w:t>
      </w:r>
      <w:r>
        <w:rPr>
          <w:rFonts w:ascii="Times New Roman;Times;serif" w:hAnsi="Times New Roman;Times;serif"/>
          <w:sz w:val="20"/>
        </w:rPr>
        <w:t>valid</w:t>
      </w:r>
      <w:r>
        <w:rPr>
          <w:rFonts w:ascii="Times New Roman;Times;serif" w:hAnsi="Times New Roman;Times;serif"/>
          <w:spacing w:val="-2"/>
          <w:sz w:val="20"/>
        </w:rPr>
        <w:t xml:space="preserve"> </w:t>
      </w:r>
      <w:r>
        <w:rPr>
          <w:rFonts w:ascii="Times New Roman;Times;serif" w:hAnsi="Times New Roman;Times;serif"/>
          <w:sz w:val="20"/>
        </w:rPr>
        <w:t>qualified patient,</w:t>
      </w:r>
      <w:r>
        <w:rPr>
          <w:rFonts w:ascii="Times New Roman;Times;serif" w:hAnsi="Times New Roman;Times;serif"/>
          <w:spacing w:val="-4"/>
          <w:sz w:val="20"/>
        </w:rPr>
        <w:t xml:space="preserve"> </w:t>
      </w:r>
      <w:r>
        <w:rPr>
          <w:rFonts w:ascii="Times New Roman;Times;serif" w:hAnsi="Times New Roman;Times;serif"/>
          <w:sz w:val="20"/>
        </w:rPr>
        <w:t>primary</w:t>
      </w:r>
      <w:r>
        <w:rPr>
          <w:rFonts w:ascii="Times New Roman;Times;serif" w:hAnsi="Times New Roman;Times;serif"/>
          <w:spacing w:val="-9"/>
          <w:sz w:val="20"/>
        </w:rPr>
        <w:t xml:space="preserve"> </w:t>
      </w:r>
      <w:r>
        <w:rPr>
          <w:rFonts w:ascii="Times New Roman;Times;serif" w:hAnsi="Times New Roman;Times;serif"/>
          <w:sz w:val="20"/>
        </w:rPr>
        <w:t>caregiver or</w:t>
      </w:r>
      <w:r>
        <w:rPr>
          <w:rFonts w:ascii="Times New Roman;Times;serif" w:hAnsi="Times New Roman;Times;serif"/>
          <w:spacing w:val="-4"/>
          <w:sz w:val="20"/>
        </w:rPr>
        <w:t xml:space="preserve"> </w:t>
      </w:r>
      <w:r>
        <w:rPr>
          <w:rFonts w:ascii="Times New Roman;Times;serif" w:hAnsi="Times New Roman;Times;serif"/>
          <w:sz w:val="20"/>
        </w:rPr>
        <w:t>reciprocal</w:t>
      </w:r>
      <w:r>
        <w:rPr>
          <w:rFonts w:ascii="Times New Roman;Times;serif" w:hAnsi="Times New Roman;Times;serif"/>
          <w:spacing w:val="-5"/>
          <w:sz w:val="20"/>
        </w:rPr>
        <w:t xml:space="preserve"> </w:t>
      </w:r>
      <w:r>
        <w:rPr>
          <w:rFonts w:ascii="Times New Roman;Times;serif" w:hAnsi="Times New Roman;Times;serif"/>
          <w:sz w:val="20"/>
        </w:rPr>
        <w:t>participant</w:t>
      </w:r>
      <w:r>
        <w:rPr>
          <w:rFonts w:ascii="Times New Roman;Times;serif" w:hAnsi="Times New Roman;Times;serif"/>
          <w:spacing w:val="-4"/>
          <w:sz w:val="20"/>
        </w:rPr>
        <w:t xml:space="preserve"> </w:t>
      </w:r>
      <w:r>
        <w:rPr>
          <w:rFonts w:ascii="Times New Roman;Times;serif" w:hAnsi="Times New Roman;Times;serif"/>
          <w:sz w:val="20"/>
        </w:rPr>
        <w:t>registry</w:t>
      </w:r>
      <w:r>
        <w:rPr>
          <w:rFonts w:ascii="Times New Roman;Times;serif" w:hAnsi="Times New Roman;Times;serif"/>
          <w:spacing w:val="-9"/>
          <w:sz w:val="20"/>
        </w:rPr>
        <w:t xml:space="preserve"> </w:t>
      </w:r>
      <w:r>
        <w:rPr>
          <w:rFonts w:ascii="Times New Roman;Times;serif" w:hAnsi="Times New Roman;Times;serif"/>
          <w:sz w:val="20"/>
        </w:rPr>
        <w:t>card.</w:t>
      </w:r>
      <w:r>
        <w:rPr>
          <w:rFonts w:ascii="Times New Roman;Times;serif" w:hAnsi="Times New Roman;Times;serif"/>
          <w:spacing w:val="-4"/>
          <w:sz w:val="20"/>
        </w:rPr>
        <w:t xml:space="preserve"> </w:t>
      </w:r>
      <w:r>
        <w:rPr>
          <w:rFonts w:ascii="Times New Roman;Times;serif" w:hAnsi="Times New Roman;Times;serif"/>
          <w:sz w:val="20"/>
        </w:rPr>
        <w:t>As</w:t>
      </w:r>
      <w:r>
        <w:rPr>
          <w:rFonts w:ascii="Times New Roman;Times;serif" w:hAnsi="Times New Roman;Times;serif"/>
          <w:spacing w:val="-2"/>
          <w:sz w:val="20"/>
        </w:rPr>
        <w:t xml:space="preserve"> </w:t>
      </w:r>
      <w:r>
        <w:rPr>
          <w:rFonts w:ascii="Times New Roman;Times;serif" w:hAnsi="Times New Roman;Times;serif"/>
          <w:sz w:val="20"/>
        </w:rPr>
        <w:t>with</w:t>
      </w:r>
      <w:r>
        <w:rPr>
          <w:rFonts w:ascii="Times New Roman;Times;serif" w:hAnsi="Times New Roman;Times;serif"/>
          <w:spacing w:val="-6"/>
          <w:sz w:val="20"/>
        </w:rPr>
        <w:t xml:space="preserve"> </w:t>
      </w:r>
      <w:r>
        <w:rPr>
          <w:rFonts w:ascii="Times New Roman;Times;serif" w:hAnsi="Times New Roman;Times;serif"/>
          <w:sz w:val="20"/>
        </w:rPr>
        <w:t>all</w:t>
      </w:r>
      <w:r>
        <w:rPr>
          <w:rFonts w:ascii="Times New Roman;Times;serif" w:hAnsi="Times New Roman;Times;serif"/>
          <w:spacing w:val="-4"/>
          <w:sz w:val="20"/>
        </w:rPr>
        <w:t xml:space="preserve"> </w:t>
      </w:r>
      <w:r>
        <w:rPr>
          <w:rFonts w:ascii="Times New Roman;Times;serif" w:hAnsi="Times New Roman;Times;serif"/>
          <w:sz w:val="20"/>
        </w:rPr>
        <w:t>state-legal</w:t>
      </w:r>
      <w:r>
        <w:rPr>
          <w:rFonts w:ascii="Times New Roman;Times;serif" w:hAnsi="Times New Roman;Times;serif"/>
          <w:spacing w:val="-4"/>
          <w:sz w:val="20"/>
        </w:rPr>
        <w:t xml:space="preserve"> </w:t>
      </w:r>
      <w:r>
        <w:rPr>
          <w:rFonts w:ascii="Times New Roman;Times;serif" w:hAnsi="Times New Roman;Times;serif"/>
          <w:sz w:val="20"/>
        </w:rPr>
        <w:t>cannabis</w:t>
      </w:r>
      <w:r>
        <w:rPr>
          <w:rFonts w:ascii="Times New Roman;Times;serif" w:hAnsi="Times New Roman;Times;serif"/>
          <w:spacing w:val="-4"/>
          <w:sz w:val="20"/>
        </w:rPr>
        <w:t xml:space="preserve"> </w:t>
      </w:r>
      <w:r>
        <w:rPr>
          <w:rFonts w:ascii="Times New Roman;Times;serif" w:hAnsi="Times New Roman;Times;serif"/>
          <w:sz w:val="20"/>
        </w:rPr>
        <w:t>programs,</w:t>
      </w:r>
      <w:r>
        <w:rPr>
          <w:rFonts w:ascii="Times New Roman;Times;serif" w:hAnsi="Times New Roman;Times;serif"/>
          <w:spacing w:val="-4"/>
          <w:sz w:val="20"/>
        </w:rPr>
        <w:t xml:space="preserve"> </w:t>
      </w:r>
      <w:r>
        <w:rPr>
          <w:rFonts w:ascii="Times New Roman;Times;serif" w:hAnsi="Times New Roman;Times;serif"/>
          <w:sz w:val="20"/>
        </w:rPr>
        <w:t>only</w:t>
      </w:r>
      <w:r>
        <w:rPr>
          <w:rFonts w:ascii="Times New Roman;Times;serif" w:hAnsi="Times New Roman;Times;serif"/>
          <w:spacing w:val="-9"/>
          <w:sz w:val="20"/>
        </w:rPr>
        <w:t xml:space="preserve"> </w:t>
      </w:r>
      <w:r>
        <w:rPr>
          <w:rFonts w:ascii="Times New Roman;Times;serif" w:hAnsi="Times New Roman;Times;serif"/>
          <w:sz w:val="20"/>
        </w:rPr>
        <w:t>cannabis</w:t>
      </w:r>
      <w:r>
        <w:rPr>
          <w:rFonts w:ascii="Times New Roman;Times;serif" w:hAnsi="Times New Roman;Times;serif"/>
          <w:spacing w:val="-4"/>
          <w:sz w:val="20"/>
        </w:rPr>
        <w:t xml:space="preserve"> </w:t>
      </w:r>
      <w:r>
        <w:rPr>
          <w:rFonts w:ascii="Times New Roman;Times;serif" w:hAnsi="Times New Roman;Times;serif"/>
          <w:sz w:val="20"/>
        </w:rPr>
        <w:t>grown</w:t>
      </w:r>
      <w:r>
        <w:rPr>
          <w:rFonts w:ascii="Times New Roman;Times;serif" w:hAnsi="Times New Roman;Times;serif"/>
          <w:spacing w:val="-4"/>
          <w:sz w:val="20"/>
        </w:rPr>
        <w:t xml:space="preserve"> </w:t>
      </w:r>
      <w:r>
        <w:rPr>
          <w:rFonts w:ascii="Times New Roman;Times;serif" w:hAnsi="Times New Roman;Times;serif"/>
          <w:sz w:val="20"/>
        </w:rPr>
        <w:t>in</w:t>
      </w:r>
      <w:r>
        <w:rPr>
          <w:rFonts w:ascii="Times New Roman;Times;serif" w:hAnsi="Times New Roman;Times;serif"/>
          <w:spacing w:val="-4"/>
          <w:sz w:val="20"/>
        </w:rPr>
        <w:t xml:space="preserve"> </w:t>
      </w:r>
      <w:r>
        <w:rPr>
          <w:rFonts w:ascii="Times New Roman;Times;serif" w:hAnsi="Times New Roman;Times;serif"/>
          <w:sz w:val="20"/>
        </w:rPr>
        <w:t>New</w:t>
      </w:r>
      <w:r>
        <w:rPr>
          <w:rFonts w:ascii="Times New Roman;Times;serif" w:hAnsi="Times New Roman;Times;serif"/>
          <w:spacing w:val="-9"/>
          <w:sz w:val="20"/>
        </w:rPr>
        <w:t xml:space="preserve"> </w:t>
      </w:r>
      <w:r>
        <w:rPr>
          <w:rFonts w:ascii="Times New Roman;Times;serif" w:hAnsi="Times New Roman;Times;serif"/>
          <w:sz w:val="20"/>
        </w:rPr>
        <w:t>Mexico can be sold in New Mexico.</w:t>
      </w:r>
    </w:p>
    <w:p>
      <w:pPr>
        <w:pStyle w:val="TextBody"/>
        <w:spacing w:before="0" w:after="240"/>
        <w:ind w:left="40" w:right="104" w:hanging="0"/>
        <w:jc w:val="both"/>
        <w:rPr>
          <w:rFonts w:ascii="Times New Roman;Times;serif" w:hAnsi="Times New Roman;Times;serif"/>
          <w:sz w:val="20"/>
        </w:rPr>
      </w:pPr>
      <w:r>
        <w:rPr>
          <w:rFonts w:ascii="Times New Roman;Times;serif" w:hAnsi="Times New Roman;Times;serif"/>
          <w:sz w:val="20"/>
        </w:rPr>
        <w:t>Cannabis</w:t>
      </w:r>
      <w:r>
        <w:rPr>
          <w:rFonts w:ascii="Times New Roman;Times;serif" w:hAnsi="Times New Roman;Times;serif"/>
          <w:spacing w:val="18"/>
          <w:sz w:val="20"/>
        </w:rPr>
        <w:t xml:space="preserve"> </w:t>
      </w:r>
      <w:r>
        <w:rPr>
          <w:rFonts w:ascii="Times New Roman;Times;serif" w:hAnsi="Times New Roman;Times;serif"/>
          <w:sz w:val="20"/>
        </w:rPr>
        <w:t>retailers</w:t>
      </w:r>
      <w:r>
        <w:rPr>
          <w:rFonts w:ascii="Times New Roman;Times;serif" w:hAnsi="Times New Roman;Times;serif"/>
          <w:spacing w:val="19"/>
          <w:sz w:val="20"/>
        </w:rPr>
        <w:t xml:space="preserve"> </w:t>
      </w:r>
      <w:r>
        <w:rPr>
          <w:rFonts w:ascii="Times New Roman;Times;serif" w:hAnsi="Times New Roman;Times;serif"/>
          <w:sz w:val="20"/>
        </w:rPr>
        <w:t>may</w:t>
      </w:r>
      <w:r>
        <w:rPr>
          <w:rFonts w:ascii="Times New Roman;Times;serif" w:hAnsi="Times New Roman;Times;serif"/>
          <w:spacing w:val="14"/>
          <w:sz w:val="20"/>
        </w:rPr>
        <w:t xml:space="preserve"> </w:t>
      </w:r>
      <w:r>
        <w:rPr>
          <w:rFonts w:ascii="Times New Roman;Times;serif" w:hAnsi="Times New Roman;Times;serif"/>
          <w:sz w:val="20"/>
        </w:rPr>
        <w:t>only</w:t>
      </w:r>
      <w:r>
        <w:rPr>
          <w:rFonts w:ascii="Times New Roman;Times;serif" w:hAnsi="Times New Roman;Times;serif"/>
          <w:spacing w:val="19"/>
          <w:sz w:val="20"/>
        </w:rPr>
        <w:t xml:space="preserve"> </w:t>
      </w:r>
      <w:r>
        <w:rPr>
          <w:rFonts w:ascii="Times New Roman;Times;serif" w:hAnsi="Times New Roman;Times;serif"/>
          <w:sz w:val="20"/>
        </w:rPr>
        <w:t>display</w:t>
      </w:r>
      <w:r>
        <w:rPr>
          <w:rFonts w:ascii="Times New Roman;Times;serif" w:hAnsi="Times New Roman;Times;serif"/>
          <w:spacing w:val="14"/>
          <w:sz w:val="20"/>
        </w:rPr>
        <w:t xml:space="preserve"> </w:t>
      </w:r>
      <w:r>
        <w:rPr>
          <w:rFonts w:ascii="Times New Roman;Times;serif" w:hAnsi="Times New Roman;Times;serif"/>
          <w:sz w:val="20"/>
        </w:rPr>
        <w:t>cannabis</w:t>
      </w:r>
      <w:r>
        <w:rPr>
          <w:rFonts w:ascii="Times New Roman;Times;serif" w:hAnsi="Times New Roman;Times;serif"/>
          <w:spacing w:val="19"/>
          <w:sz w:val="20"/>
        </w:rPr>
        <w:t xml:space="preserve"> </w:t>
      </w:r>
      <w:r>
        <w:rPr>
          <w:rFonts w:ascii="Times New Roman;Times;serif" w:hAnsi="Times New Roman;Times;serif"/>
          <w:sz w:val="20"/>
        </w:rPr>
        <w:t>goods</w:t>
      </w:r>
      <w:r>
        <w:rPr>
          <w:rFonts w:ascii="Times New Roman;Times;serif" w:hAnsi="Times New Roman;Times;serif"/>
          <w:spacing w:val="16"/>
          <w:sz w:val="20"/>
        </w:rPr>
        <w:t xml:space="preserve"> </w:t>
      </w:r>
      <w:r>
        <w:rPr>
          <w:rFonts w:ascii="Times New Roman;Times;serif" w:hAnsi="Times New Roman;Times;serif"/>
          <w:sz w:val="20"/>
        </w:rPr>
        <w:t>for</w:t>
      </w:r>
      <w:r>
        <w:rPr>
          <w:rFonts w:ascii="Times New Roman;Times;serif" w:hAnsi="Times New Roman;Times;serif"/>
          <w:spacing w:val="19"/>
          <w:sz w:val="20"/>
        </w:rPr>
        <w:t xml:space="preserve"> </w:t>
      </w:r>
      <w:r>
        <w:rPr>
          <w:rFonts w:ascii="Times New Roman;Times;serif" w:hAnsi="Times New Roman;Times;serif"/>
          <w:sz w:val="20"/>
        </w:rPr>
        <w:t>inspection</w:t>
      </w:r>
      <w:r>
        <w:rPr>
          <w:rFonts w:ascii="Times New Roman;Times;serif" w:hAnsi="Times New Roman;Times;serif"/>
          <w:spacing w:val="16"/>
          <w:sz w:val="20"/>
        </w:rPr>
        <w:t xml:space="preserve"> </w:t>
      </w:r>
      <w:r>
        <w:rPr>
          <w:rFonts w:ascii="Times New Roman;Times;serif" w:hAnsi="Times New Roman;Times;serif"/>
          <w:sz w:val="20"/>
        </w:rPr>
        <w:t>and</w:t>
      </w:r>
      <w:r>
        <w:rPr>
          <w:rFonts w:ascii="Times New Roman;Times;serif" w:hAnsi="Times New Roman;Times;serif"/>
          <w:spacing w:val="19"/>
          <w:sz w:val="20"/>
        </w:rPr>
        <w:t xml:space="preserve"> </w:t>
      </w:r>
      <w:r>
        <w:rPr>
          <w:rFonts w:ascii="Times New Roman;Times;serif" w:hAnsi="Times New Roman;Times;serif"/>
          <w:sz w:val="20"/>
        </w:rPr>
        <w:t>sale</w:t>
      </w:r>
      <w:r>
        <w:rPr>
          <w:rFonts w:ascii="Times New Roman;Times;serif" w:hAnsi="Times New Roman;Times;serif"/>
          <w:spacing w:val="19"/>
          <w:sz w:val="20"/>
        </w:rPr>
        <w:t xml:space="preserve"> </w:t>
      </w:r>
      <w:r>
        <w:rPr>
          <w:rFonts w:ascii="Times New Roman;Times;serif" w:hAnsi="Times New Roman;Times;serif"/>
          <w:sz w:val="20"/>
        </w:rPr>
        <w:t>in</w:t>
      </w:r>
      <w:r>
        <w:rPr>
          <w:rFonts w:ascii="Times New Roman;Times;serif" w:hAnsi="Times New Roman;Times;serif"/>
          <w:spacing w:val="16"/>
          <w:sz w:val="20"/>
        </w:rPr>
        <w:t xml:space="preserve"> </w:t>
      </w:r>
      <w:r>
        <w:rPr>
          <w:rFonts w:ascii="Times New Roman;Times;serif" w:hAnsi="Times New Roman;Times;serif"/>
          <w:sz w:val="20"/>
        </w:rPr>
        <w:t>the</w:t>
      </w:r>
      <w:r>
        <w:rPr>
          <w:rFonts w:ascii="Times New Roman;Times;serif" w:hAnsi="Times New Roman;Times;serif"/>
          <w:spacing w:val="18"/>
          <w:sz w:val="20"/>
        </w:rPr>
        <w:t xml:space="preserve"> </w:t>
      </w:r>
      <w:r>
        <w:rPr>
          <w:rFonts w:ascii="Times New Roman;Times;serif" w:hAnsi="Times New Roman;Times;serif"/>
          <w:sz w:val="20"/>
        </w:rPr>
        <w:t>retail</w:t>
      </w:r>
      <w:r>
        <w:rPr>
          <w:rFonts w:ascii="Times New Roman;Times;serif" w:hAnsi="Times New Roman;Times;serif"/>
          <w:spacing w:val="20"/>
          <w:sz w:val="20"/>
        </w:rPr>
        <w:t xml:space="preserve"> </w:t>
      </w:r>
      <w:r>
        <w:rPr>
          <w:rFonts w:ascii="Times New Roman;Times;serif" w:hAnsi="Times New Roman;Times;serif"/>
          <w:sz w:val="20"/>
        </w:rPr>
        <w:t>area.</w:t>
      </w:r>
      <w:r>
        <w:rPr>
          <w:rFonts w:ascii="Times New Roman;Times;serif" w:hAnsi="Times New Roman;Times;serif"/>
          <w:spacing w:val="18"/>
          <w:sz w:val="20"/>
        </w:rPr>
        <w:t xml:space="preserve"> </w:t>
      </w:r>
      <w:r>
        <w:rPr>
          <w:rFonts w:ascii="Times New Roman;Times;serif" w:hAnsi="Times New Roman;Times;serif"/>
          <w:sz w:val="20"/>
        </w:rPr>
        <w:t>Such</w:t>
      </w:r>
      <w:r>
        <w:rPr>
          <w:rFonts w:ascii="Times New Roman;Times;serif" w:hAnsi="Times New Roman;Times;serif"/>
          <w:spacing w:val="18"/>
          <w:sz w:val="20"/>
        </w:rPr>
        <w:t xml:space="preserve"> </w:t>
      </w:r>
      <w:r>
        <w:rPr>
          <w:rFonts w:ascii="Times New Roman;Times;serif" w:hAnsi="Times New Roman;Times;serif"/>
          <w:sz w:val="20"/>
        </w:rPr>
        <w:t>goods</w:t>
      </w:r>
      <w:r>
        <w:rPr>
          <w:rFonts w:ascii="Times New Roman;Times;serif" w:hAnsi="Times New Roman;Times;serif"/>
          <w:spacing w:val="18"/>
          <w:sz w:val="20"/>
        </w:rPr>
        <w:t xml:space="preserve"> </w:t>
      </w:r>
      <w:r>
        <w:rPr>
          <w:rFonts w:ascii="Times New Roman;Times;serif" w:hAnsi="Times New Roman;Times;serif"/>
          <w:sz w:val="20"/>
        </w:rPr>
        <w:t>may</w:t>
      </w:r>
      <w:r>
        <w:rPr>
          <w:rFonts w:ascii="Times New Roman;Times;serif" w:hAnsi="Times New Roman;Times;serif"/>
          <w:spacing w:val="14"/>
          <w:sz w:val="20"/>
        </w:rPr>
        <w:t xml:space="preserve"> </w:t>
      </w:r>
      <w:r>
        <w:rPr>
          <w:rFonts w:ascii="Times New Roman;Times;serif" w:hAnsi="Times New Roman;Times;serif"/>
          <w:sz w:val="20"/>
        </w:rPr>
        <w:t>be</w:t>
      </w:r>
      <w:r>
        <w:rPr>
          <w:rFonts w:ascii="Times New Roman;Times;serif" w:hAnsi="Times New Roman;Times;serif"/>
          <w:spacing w:val="-2"/>
          <w:sz w:val="20"/>
        </w:rPr>
        <w:t xml:space="preserve"> </w:t>
      </w:r>
      <w:r>
        <w:rPr>
          <w:rFonts w:ascii="Times New Roman;Times;serif" w:hAnsi="Times New Roman;Times;serif"/>
          <w:sz w:val="20"/>
        </w:rPr>
        <w:t>removed</w:t>
      </w:r>
      <w:r>
        <w:rPr>
          <w:rFonts w:ascii="Times New Roman;Times;serif" w:hAnsi="Times New Roman;Times;serif"/>
          <w:spacing w:val="-2"/>
          <w:sz w:val="20"/>
        </w:rPr>
        <w:t xml:space="preserve"> </w:t>
      </w:r>
      <w:r>
        <w:rPr>
          <w:rFonts w:ascii="Times New Roman;Times;serif" w:hAnsi="Times New Roman;Times;serif"/>
          <w:sz w:val="20"/>
        </w:rPr>
        <w:t>from</w:t>
      </w:r>
      <w:r>
        <w:rPr>
          <w:rFonts w:ascii="Times New Roman;Times;serif" w:hAnsi="Times New Roman;Times;serif"/>
          <w:spacing w:val="-7"/>
          <w:sz w:val="20"/>
        </w:rPr>
        <w:t xml:space="preserve"> </w:t>
      </w:r>
      <w:r>
        <w:rPr>
          <w:rFonts w:ascii="Times New Roman;Times;serif" w:hAnsi="Times New Roman;Times;serif"/>
          <w:sz w:val="20"/>
        </w:rPr>
        <w:t>their</w:t>
      </w:r>
      <w:r>
        <w:rPr>
          <w:rFonts w:ascii="Times New Roman;Times;serif" w:hAnsi="Times New Roman;Times;serif"/>
          <w:spacing w:val="-2"/>
          <w:sz w:val="20"/>
        </w:rPr>
        <w:t xml:space="preserve"> </w:t>
      </w:r>
      <w:r>
        <w:rPr>
          <w:rFonts w:ascii="Times New Roman;Times;serif" w:hAnsi="Times New Roman;Times;serif"/>
          <w:sz w:val="20"/>
        </w:rPr>
        <w:t>packaging</w:t>
      </w:r>
      <w:r>
        <w:rPr>
          <w:rFonts w:ascii="Times New Roman;Times;serif" w:hAnsi="Times New Roman;Times;serif"/>
          <w:spacing w:val="-2"/>
          <w:sz w:val="20"/>
        </w:rPr>
        <w:t xml:space="preserve"> </w:t>
      </w:r>
      <w:r>
        <w:rPr>
          <w:rFonts w:ascii="Times New Roman;Times;serif" w:hAnsi="Times New Roman;Times;serif"/>
          <w:sz w:val="20"/>
        </w:rPr>
        <w:t>and</w:t>
      </w:r>
      <w:r>
        <w:rPr>
          <w:rFonts w:ascii="Times New Roman;Times;serif" w:hAnsi="Times New Roman;Times;serif"/>
          <w:spacing w:val="-2"/>
          <w:sz w:val="20"/>
        </w:rPr>
        <w:t xml:space="preserve"> </w:t>
      </w:r>
      <w:r>
        <w:rPr>
          <w:rFonts w:ascii="Times New Roman;Times;serif" w:hAnsi="Times New Roman;Times;serif"/>
          <w:sz w:val="20"/>
        </w:rPr>
        <w:t>placed</w:t>
      </w:r>
      <w:r>
        <w:rPr>
          <w:rFonts w:ascii="Times New Roman;Times;serif" w:hAnsi="Times New Roman;Times;serif"/>
          <w:spacing w:val="-2"/>
          <w:sz w:val="20"/>
        </w:rPr>
        <w:t xml:space="preserve"> </w:t>
      </w:r>
      <w:r>
        <w:rPr>
          <w:rFonts w:ascii="Times New Roman;Times;serif" w:hAnsi="Times New Roman;Times;serif"/>
          <w:sz w:val="20"/>
        </w:rPr>
        <w:t>in</w:t>
      </w:r>
      <w:r>
        <w:rPr>
          <w:rFonts w:ascii="Times New Roman;Times;serif" w:hAnsi="Times New Roman;Times;serif"/>
          <w:spacing w:val="-6"/>
          <w:sz w:val="20"/>
        </w:rPr>
        <w:t xml:space="preserve"> </w:t>
      </w:r>
      <w:r>
        <w:rPr>
          <w:rFonts w:ascii="Times New Roman;Times;serif" w:hAnsi="Times New Roman;Times;serif"/>
          <w:sz w:val="20"/>
        </w:rPr>
        <w:t>containers</w:t>
      </w:r>
      <w:r>
        <w:rPr>
          <w:rFonts w:ascii="Times New Roman;Times;serif" w:hAnsi="Times New Roman;Times;serif"/>
          <w:spacing w:val="-6"/>
          <w:sz w:val="20"/>
        </w:rPr>
        <w:t xml:space="preserve"> </w:t>
      </w:r>
      <w:r>
        <w:rPr>
          <w:rFonts w:ascii="Times New Roman;Times;serif" w:hAnsi="Times New Roman;Times;serif"/>
          <w:sz w:val="20"/>
        </w:rPr>
        <w:t>to</w:t>
      </w:r>
      <w:r>
        <w:rPr>
          <w:rFonts w:ascii="Times New Roman;Times;serif" w:hAnsi="Times New Roman;Times;serif"/>
          <w:spacing w:val="-2"/>
          <w:sz w:val="20"/>
        </w:rPr>
        <w:t xml:space="preserve"> </w:t>
      </w:r>
      <w:r>
        <w:rPr>
          <w:rFonts w:ascii="Times New Roman;Times;serif" w:hAnsi="Times New Roman;Times;serif"/>
          <w:sz w:val="20"/>
        </w:rPr>
        <w:t>allow</w:t>
      </w:r>
      <w:r>
        <w:rPr>
          <w:rFonts w:ascii="Times New Roman;Times;serif" w:hAnsi="Times New Roman;Times;serif"/>
          <w:spacing w:val="-8"/>
          <w:sz w:val="20"/>
        </w:rPr>
        <w:t xml:space="preserve"> </w:t>
      </w:r>
      <w:r>
        <w:rPr>
          <w:rFonts w:ascii="Times New Roman;Times;serif" w:hAnsi="Times New Roman;Times;serif"/>
          <w:sz w:val="20"/>
        </w:rPr>
        <w:t>for</w:t>
      </w:r>
      <w:r>
        <w:rPr>
          <w:rFonts w:ascii="Times New Roman;Times;serif" w:hAnsi="Times New Roman;Times;serif"/>
          <w:spacing w:val="-2"/>
          <w:sz w:val="20"/>
        </w:rPr>
        <w:t xml:space="preserve"> </w:t>
      </w:r>
      <w:r>
        <w:rPr>
          <w:rFonts w:ascii="Times New Roman;Times;serif" w:hAnsi="Times New Roman;Times;serif"/>
          <w:sz w:val="20"/>
        </w:rPr>
        <w:t>customer</w:t>
      </w:r>
      <w:r>
        <w:rPr>
          <w:rFonts w:ascii="Times New Roman;Times;serif" w:hAnsi="Times New Roman;Times;serif"/>
          <w:spacing w:val="-4"/>
          <w:sz w:val="20"/>
        </w:rPr>
        <w:t xml:space="preserve"> </w:t>
      </w:r>
      <w:r>
        <w:rPr>
          <w:rFonts w:ascii="Times New Roman;Times;serif" w:hAnsi="Times New Roman;Times;serif"/>
          <w:sz w:val="20"/>
        </w:rPr>
        <w:t>inspection,</w:t>
      </w:r>
      <w:r>
        <w:rPr>
          <w:rFonts w:ascii="Times New Roman;Times;serif" w:hAnsi="Times New Roman;Times;serif"/>
          <w:spacing w:val="-4"/>
          <w:sz w:val="20"/>
        </w:rPr>
        <w:t xml:space="preserve"> </w:t>
      </w:r>
      <w:r>
        <w:rPr>
          <w:rFonts w:ascii="Times New Roman;Times;serif" w:hAnsi="Times New Roman;Times;serif"/>
          <w:sz w:val="20"/>
        </w:rPr>
        <w:t>so</w:t>
      </w:r>
      <w:r>
        <w:rPr>
          <w:rFonts w:ascii="Times New Roman;Times;serif" w:hAnsi="Times New Roman;Times;serif"/>
          <w:spacing w:val="-2"/>
          <w:sz w:val="20"/>
        </w:rPr>
        <w:t xml:space="preserve"> </w:t>
      </w:r>
      <w:r>
        <w:rPr>
          <w:rFonts w:ascii="Times New Roman;Times;serif" w:hAnsi="Times New Roman;Times;serif"/>
          <w:sz w:val="20"/>
        </w:rPr>
        <w:t>long</w:t>
      </w:r>
      <w:r>
        <w:rPr>
          <w:rFonts w:ascii="Times New Roman;Times;serif" w:hAnsi="Times New Roman;Times;serif"/>
          <w:spacing w:val="-4"/>
          <w:sz w:val="20"/>
        </w:rPr>
        <w:t xml:space="preserve"> </w:t>
      </w:r>
      <w:r>
        <w:rPr>
          <w:rFonts w:ascii="Times New Roman;Times;serif" w:hAnsi="Times New Roman;Times;serif"/>
          <w:sz w:val="20"/>
        </w:rPr>
        <w:t>as</w:t>
      </w:r>
      <w:r>
        <w:rPr>
          <w:rFonts w:ascii="Times New Roman;Times;serif" w:hAnsi="Times New Roman;Times;serif"/>
          <w:spacing w:val="-4"/>
          <w:sz w:val="20"/>
        </w:rPr>
        <w:t xml:space="preserve"> </w:t>
      </w:r>
      <w:r>
        <w:rPr>
          <w:rFonts w:ascii="Times New Roman;Times;serif" w:hAnsi="Times New Roman;Times;serif"/>
          <w:sz w:val="20"/>
        </w:rPr>
        <w:t>the</w:t>
      </w:r>
      <w:r>
        <w:rPr>
          <w:rFonts w:ascii="Times New Roman;Times;serif" w:hAnsi="Times New Roman;Times;serif"/>
          <w:spacing w:val="-4"/>
          <w:sz w:val="20"/>
        </w:rPr>
        <w:t xml:space="preserve"> </w:t>
      </w:r>
      <w:r>
        <w:rPr>
          <w:rFonts w:ascii="Times New Roman;Times;serif" w:hAnsi="Times New Roman;Times;serif"/>
          <w:sz w:val="20"/>
        </w:rPr>
        <w:t>containers</w:t>
      </w:r>
      <w:r>
        <w:rPr>
          <w:rFonts w:ascii="Times New Roman;Times;serif" w:hAnsi="Times New Roman;Times;serif"/>
          <w:spacing w:val="-4"/>
          <w:sz w:val="20"/>
        </w:rPr>
        <w:t xml:space="preserve"> </w:t>
      </w:r>
      <w:r>
        <w:rPr>
          <w:rFonts w:ascii="Times New Roman;Times;serif" w:hAnsi="Times New Roman;Times;serif"/>
          <w:sz w:val="20"/>
        </w:rPr>
        <w:t>are</w:t>
      </w:r>
      <w:r>
        <w:rPr>
          <w:rFonts w:ascii="Times New Roman;Times;serif" w:hAnsi="Times New Roman;Times;serif"/>
          <w:spacing w:val="-2"/>
          <w:sz w:val="20"/>
        </w:rPr>
        <w:t xml:space="preserve"> </w:t>
      </w:r>
      <w:r>
        <w:rPr>
          <w:rFonts w:ascii="Times New Roman;Times;serif" w:hAnsi="Times New Roman;Times;serif"/>
          <w:sz w:val="20"/>
        </w:rPr>
        <w:t>not</w:t>
      </w:r>
      <w:r>
        <w:rPr>
          <w:rFonts w:ascii="Times New Roman;Times;serif" w:hAnsi="Times New Roman;Times;serif"/>
          <w:spacing w:val="6"/>
          <w:sz w:val="20"/>
        </w:rPr>
        <w:t xml:space="preserve"> </w:t>
      </w:r>
      <w:r>
        <w:rPr>
          <w:rFonts w:ascii="Times New Roman;Times;serif" w:hAnsi="Times New Roman;Times;serif"/>
          <w:sz w:val="20"/>
        </w:rPr>
        <w:t>readily accessible</w:t>
      </w:r>
      <w:r>
        <w:rPr>
          <w:rFonts w:ascii="Times New Roman;Times;serif" w:hAnsi="Times New Roman;Times;serif"/>
          <w:spacing w:val="6"/>
          <w:sz w:val="20"/>
        </w:rPr>
        <w:t xml:space="preserve"> </w:t>
      </w:r>
      <w:r>
        <w:rPr>
          <w:rFonts w:ascii="Times New Roman;Times;serif" w:hAnsi="Times New Roman;Times;serif"/>
          <w:sz w:val="20"/>
        </w:rPr>
        <w:t>to</w:t>
      </w:r>
      <w:r>
        <w:rPr>
          <w:rFonts w:ascii="Times New Roman;Times;serif" w:hAnsi="Times New Roman;Times;serif"/>
          <w:spacing w:val="6"/>
          <w:sz w:val="20"/>
        </w:rPr>
        <w:t xml:space="preserve"> </w:t>
      </w:r>
      <w:r>
        <w:rPr>
          <w:rFonts w:ascii="Times New Roman;Times;serif" w:hAnsi="Times New Roman;Times;serif"/>
          <w:sz w:val="20"/>
        </w:rPr>
        <w:t>customers</w:t>
      </w:r>
      <w:r>
        <w:rPr>
          <w:rFonts w:ascii="Times New Roman;Times;serif" w:hAnsi="Times New Roman;Times;serif"/>
          <w:spacing w:val="8"/>
          <w:sz w:val="20"/>
        </w:rPr>
        <w:t xml:space="preserve"> </w:t>
      </w:r>
      <w:r>
        <w:rPr>
          <w:rFonts w:ascii="Times New Roman;Times;serif" w:hAnsi="Times New Roman;Times;serif"/>
          <w:sz w:val="20"/>
        </w:rPr>
        <w:t>without</w:t>
      </w:r>
      <w:r>
        <w:rPr>
          <w:rFonts w:ascii="Times New Roman;Times;serif" w:hAnsi="Times New Roman;Times;serif"/>
          <w:spacing w:val="6"/>
          <w:sz w:val="20"/>
        </w:rPr>
        <w:t xml:space="preserve"> </w:t>
      </w:r>
      <w:r>
        <w:rPr>
          <w:rFonts w:ascii="Times New Roman;Times;serif" w:hAnsi="Times New Roman;Times;serif"/>
          <w:sz w:val="20"/>
        </w:rPr>
        <w:t>the</w:t>
      </w:r>
      <w:r>
        <w:rPr>
          <w:rFonts w:ascii="Times New Roman;Times;serif" w:hAnsi="Times New Roman;Times;serif"/>
          <w:spacing w:val="6"/>
          <w:sz w:val="20"/>
        </w:rPr>
        <w:t xml:space="preserve"> </w:t>
      </w:r>
      <w:r>
        <w:rPr>
          <w:rFonts w:ascii="Times New Roman;Times;serif" w:hAnsi="Times New Roman;Times;serif"/>
          <w:sz w:val="20"/>
        </w:rPr>
        <w:t>assistance</w:t>
      </w:r>
      <w:r>
        <w:rPr>
          <w:rFonts w:ascii="Times New Roman;Times;serif" w:hAnsi="Times New Roman;Times;serif"/>
          <w:spacing w:val="6"/>
          <w:sz w:val="20"/>
        </w:rPr>
        <w:t xml:space="preserve"> </w:t>
      </w:r>
      <w:r>
        <w:rPr>
          <w:rFonts w:ascii="Times New Roman;Times;serif" w:hAnsi="Times New Roman;Times;serif"/>
          <w:sz w:val="20"/>
        </w:rPr>
        <w:t>of</w:t>
      </w:r>
      <w:r>
        <w:rPr>
          <w:rFonts w:ascii="Times New Roman;Times;serif" w:hAnsi="Times New Roman;Times;serif"/>
          <w:spacing w:val="6"/>
          <w:sz w:val="20"/>
        </w:rPr>
        <w:t xml:space="preserve"> </w:t>
      </w:r>
      <w:r>
        <w:rPr>
          <w:rFonts w:ascii="Times New Roman;Times;serif" w:hAnsi="Times New Roman;Times;serif"/>
          <w:sz w:val="20"/>
        </w:rPr>
        <w:t>retailer</w:t>
      </w:r>
      <w:r>
        <w:rPr>
          <w:rFonts w:ascii="Times New Roman;Times;serif" w:hAnsi="Times New Roman;Times;serif"/>
          <w:spacing w:val="8"/>
          <w:sz w:val="20"/>
        </w:rPr>
        <w:t xml:space="preserve"> </w:t>
      </w:r>
      <w:r>
        <w:rPr>
          <w:rFonts w:ascii="Times New Roman;Times;serif" w:hAnsi="Times New Roman;Times;serif"/>
          <w:sz w:val="20"/>
        </w:rPr>
        <w:t>personnel.</w:t>
      </w:r>
      <w:r>
        <w:rPr>
          <w:rFonts w:ascii="Times New Roman;Times;serif" w:hAnsi="Times New Roman;Times;serif"/>
          <w:spacing w:val="10"/>
          <w:sz w:val="20"/>
        </w:rPr>
        <w:t xml:space="preserve"> </w:t>
      </w:r>
      <w:r>
        <w:rPr>
          <w:rFonts w:ascii="Times New Roman;Times;serif" w:hAnsi="Times New Roman;Times;serif"/>
          <w:sz w:val="20"/>
        </w:rPr>
        <w:t>A</w:t>
      </w:r>
      <w:r>
        <w:rPr>
          <w:rFonts w:ascii="Times New Roman;Times;serif" w:hAnsi="Times New Roman;Times;serif"/>
          <w:spacing w:val="4"/>
          <w:sz w:val="20"/>
        </w:rPr>
        <w:t xml:space="preserve"> </w:t>
      </w:r>
      <w:r>
        <w:rPr>
          <w:rFonts w:ascii="Times New Roman;Times;serif" w:hAnsi="Times New Roman;Times;serif"/>
          <w:sz w:val="20"/>
        </w:rPr>
        <w:t>container</w:t>
      </w:r>
      <w:r>
        <w:rPr>
          <w:rFonts w:ascii="Times New Roman;Times;serif" w:hAnsi="Times New Roman;Times;serif"/>
          <w:spacing w:val="10"/>
          <w:sz w:val="20"/>
        </w:rPr>
        <w:t xml:space="preserve"> </w:t>
      </w:r>
      <w:r>
        <w:rPr>
          <w:rFonts w:ascii="Times New Roman;Times;serif" w:hAnsi="Times New Roman;Times;serif"/>
          <w:sz w:val="20"/>
        </w:rPr>
        <w:t>must</w:t>
      </w:r>
      <w:r>
        <w:rPr>
          <w:rFonts w:ascii="Times New Roman;Times;serif" w:hAnsi="Times New Roman;Times;serif"/>
          <w:spacing w:val="6"/>
          <w:sz w:val="20"/>
        </w:rPr>
        <w:t xml:space="preserve"> </w:t>
      </w:r>
      <w:r>
        <w:rPr>
          <w:rFonts w:ascii="Times New Roman;Times;serif" w:hAnsi="Times New Roman;Times;serif"/>
          <w:sz w:val="20"/>
        </w:rPr>
        <w:t>be</w:t>
      </w:r>
      <w:r>
        <w:rPr>
          <w:rFonts w:ascii="Times New Roman;Times;serif" w:hAnsi="Times New Roman;Times;serif"/>
          <w:spacing w:val="7"/>
          <w:sz w:val="20"/>
        </w:rPr>
        <w:t xml:space="preserve"> </w:t>
      </w:r>
      <w:r>
        <w:rPr>
          <w:rFonts w:ascii="Times New Roman;Times;serif" w:hAnsi="Times New Roman;Times;serif"/>
          <w:sz w:val="20"/>
        </w:rPr>
        <w:t>provided</w:t>
      </w:r>
      <w:r>
        <w:rPr>
          <w:rFonts w:ascii="Times New Roman;Times;serif" w:hAnsi="Times New Roman;Times;serif"/>
          <w:spacing w:val="6"/>
          <w:sz w:val="20"/>
        </w:rPr>
        <w:t xml:space="preserve"> </w:t>
      </w:r>
      <w:r>
        <w:rPr>
          <w:rFonts w:ascii="Times New Roman;Times;serif" w:hAnsi="Times New Roman;Times;serif"/>
          <w:sz w:val="20"/>
        </w:rPr>
        <w:t>to</w:t>
      </w:r>
      <w:r>
        <w:rPr>
          <w:rFonts w:ascii="Times New Roman;Times;serif" w:hAnsi="Times New Roman;Times;serif"/>
          <w:spacing w:val="8"/>
          <w:sz w:val="20"/>
        </w:rPr>
        <w:t xml:space="preserve"> </w:t>
      </w:r>
      <w:r>
        <w:rPr>
          <w:rFonts w:ascii="Times New Roman;Times;serif" w:hAnsi="Times New Roman;Times;serif"/>
          <w:sz w:val="20"/>
        </w:rPr>
        <w:t>the</w:t>
      </w:r>
      <w:r>
        <w:rPr>
          <w:rFonts w:ascii="Times New Roman;Times;serif" w:hAnsi="Times New Roman;Times;serif"/>
          <w:spacing w:val="-2"/>
          <w:sz w:val="20"/>
        </w:rPr>
        <w:t xml:space="preserve"> </w:t>
      </w:r>
      <w:r>
        <w:rPr>
          <w:rFonts w:ascii="Times New Roman;Times;serif" w:hAnsi="Times New Roman;Times;serif"/>
          <w:sz w:val="20"/>
        </w:rPr>
        <w:t>customer by</w:t>
      </w:r>
      <w:r>
        <w:rPr>
          <w:rFonts w:ascii="Times New Roman;Times;serif" w:hAnsi="Times New Roman;Times;serif"/>
          <w:spacing w:val="-2"/>
          <w:sz w:val="20"/>
        </w:rPr>
        <w:t xml:space="preserve"> </w:t>
      </w:r>
      <w:r>
        <w:rPr>
          <w:rFonts w:ascii="Times New Roman;Times;serif" w:hAnsi="Times New Roman;Times;serif"/>
          <w:sz w:val="20"/>
        </w:rPr>
        <w:t>the licensed retailer or its employees,</w:t>
      </w:r>
      <w:r>
        <w:rPr>
          <w:rFonts w:ascii="Times New Roman;Times;serif" w:hAnsi="Times New Roman;Times;serif"/>
          <w:spacing w:val="4"/>
          <w:sz w:val="20"/>
        </w:rPr>
        <w:t xml:space="preserve"> </w:t>
      </w:r>
      <w:r>
        <w:rPr>
          <w:rFonts w:ascii="Times New Roman;Times;serif" w:hAnsi="Times New Roman;Times;serif"/>
          <w:sz w:val="20"/>
        </w:rPr>
        <w:t>who</w:t>
      </w:r>
      <w:r>
        <w:rPr>
          <w:rFonts w:ascii="Times New Roman;Times;serif" w:hAnsi="Times New Roman;Times;serif"/>
          <w:spacing w:val="4"/>
          <w:sz w:val="20"/>
        </w:rPr>
        <w:t xml:space="preserve"> </w:t>
      </w:r>
      <w:r>
        <w:rPr>
          <w:rFonts w:ascii="Times New Roman;Times;serif" w:hAnsi="Times New Roman;Times;serif"/>
          <w:sz w:val="20"/>
        </w:rPr>
        <w:t>must remain with the customer at</w:t>
      </w:r>
      <w:r>
        <w:rPr>
          <w:rFonts w:ascii="Times New Roman;Times;serif" w:hAnsi="Times New Roman;Times;serif"/>
          <w:spacing w:val="4"/>
          <w:sz w:val="20"/>
        </w:rPr>
        <w:t xml:space="preserve"> </w:t>
      </w:r>
      <w:r>
        <w:rPr>
          <w:rFonts w:ascii="Times New Roman;Times;serif" w:hAnsi="Times New Roman;Times;serif"/>
          <w:sz w:val="20"/>
        </w:rPr>
        <w:t>all times that</w:t>
      </w:r>
      <w:r>
        <w:rPr>
          <w:rFonts w:ascii="Times New Roman;Times;serif" w:hAnsi="Times New Roman;Times;serif"/>
          <w:spacing w:val="4"/>
          <w:sz w:val="20"/>
        </w:rPr>
        <w:t xml:space="preserve"> </w:t>
      </w:r>
      <w:r>
        <w:rPr>
          <w:rFonts w:ascii="Times New Roman;Times;serif" w:hAnsi="Times New Roman;Times;serif"/>
          <w:sz w:val="20"/>
        </w:rPr>
        <w:t>the container</w:t>
      </w:r>
      <w:r>
        <w:rPr>
          <w:rFonts w:ascii="Times New Roman;Times;serif" w:hAnsi="Times New Roman;Times;serif"/>
          <w:spacing w:val="-2"/>
          <w:sz w:val="20"/>
        </w:rPr>
        <w:t xml:space="preserve"> </w:t>
      </w:r>
      <w:r>
        <w:rPr>
          <w:rFonts w:ascii="Times New Roman;Times;serif" w:hAnsi="Times New Roman;Times;serif"/>
          <w:sz w:val="20"/>
        </w:rPr>
        <w:t>is</w:t>
      </w:r>
      <w:r>
        <w:rPr>
          <w:rFonts w:ascii="Times New Roman;Times;serif" w:hAnsi="Times New Roman;Times;serif"/>
          <w:spacing w:val="12"/>
          <w:sz w:val="20"/>
        </w:rPr>
        <w:t xml:space="preserve"> </w:t>
      </w:r>
      <w:r>
        <w:rPr>
          <w:rFonts w:ascii="Times New Roman;Times;serif" w:hAnsi="Times New Roman;Times;serif"/>
          <w:sz w:val="20"/>
        </w:rPr>
        <w:t>being</w:t>
      </w:r>
      <w:r>
        <w:rPr>
          <w:rFonts w:ascii="Times New Roman;Times;serif" w:hAnsi="Times New Roman;Times;serif"/>
          <w:spacing w:val="12"/>
          <w:sz w:val="20"/>
        </w:rPr>
        <w:t xml:space="preserve"> </w:t>
      </w:r>
      <w:r>
        <w:rPr>
          <w:rFonts w:ascii="Times New Roman;Times;serif" w:hAnsi="Times New Roman;Times;serif"/>
          <w:sz w:val="20"/>
        </w:rPr>
        <w:t>inspected</w:t>
      </w:r>
      <w:r>
        <w:rPr>
          <w:rFonts w:ascii="Times New Roman;Times;serif" w:hAnsi="Times New Roman;Times;serif"/>
          <w:spacing w:val="14"/>
          <w:sz w:val="20"/>
        </w:rPr>
        <w:t xml:space="preserve"> </w:t>
      </w:r>
      <w:r>
        <w:rPr>
          <w:rFonts w:ascii="Times New Roman;Times;serif" w:hAnsi="Times New Roman;Times;serif"/>
          <w:sz w:val="20"/>
        </w:rPr>
        <w:t>by</w:t>
      </w:r>
      <w:r>
        <w:rPr>
          <w:rFonts w:ascii="Times New Roman;Times;serif" w:hAnsi="Times New Roman;Times;serif"/>
          <w:spacing w:val="10"/>
          <w:sz w:val="20"/>
        </w:rPr>
        <w:t xml:space="preserve"> </w:t>
      </w:r>
      <w:r>
        <w:rPr>
          <w:rFonts w:ascii="Times New Roman;Times;serif" w:hAnsi="Times New Roman;Times;serif"/>
          <w:sz w:val="20"/>
        </w:rPr>
        <w:t>the</w:t>
      </w:r>
      <w:r>
        <w:rPr>
          <w:rFonts w:ascii="Times New Roman;Times;serif" w:hAnsi="Times New Roman;Times;serif"/>
          <w:spacing w:val="12"/>
          <w:sz w:val="20"/>
        </w:rPr>
        <w:t xml:space="preserve"> </w:t>
      </w:r>
      <w:r>
        <w:rPr>
          <w:rFonts w:ascii="Times New Roman;Times;serif" w:hAnsi="Times New Roman;Times;serif"/>
          <w:sz w:val="20"/>
        </w:rPr>
        <w:t>customer.</w:t>
      </w:r>
      <w:r>
        <w:rPr>
          <w:rFonts w:ascii="Times New Roman;Times;serif" w:hAnsi="Times New Roman;Times;serif"/>
          <w:spacing w:val="16"/>
          <w:sz w:val="20"/>
        </w:rPr>
        <w:t xml:space="preserve"> </w:t>
      </w:r>
      <w:r>
        <w:rPr>
          <w:rFonts w:ascii="Times New Roman;Times;serif" w:hAnsi="Times New Roman;Times;serif"/>
          <w:sz w:val="20"/>
        </w:rPr>
        <w:t>Cannabis</w:t>
      </w:r>
      <w:r>
        <w:rPr>
          <w:rFonts w:ascii="Times New Roman;Times;serif" w:hAnsi="Times New Roman;Times;serif"/>
          <w:spacing w:val="16"/>
          <w:sz w:val="20"/>
        </w:rPr>
        <w:t xml:space="preserve"> </w:t>
      </w:r>
      <w:r>
        <w:rPr>
          <w:rFonts w:ascii="Times New Roman;Times;serif" w:hAnsi="Times New Roman;Times;serif"/>
          <w:sz w:val="20"/>
        </w:rPr>
        <w:t>goods</w:t>
      </w:r>
      <w:r>
        <w:rPr>
          <w:rFonts w:ascii="Times New Roman;Times;serif" w:hAnsi="Times New Roman;Times;serif"/>
          <w:spacing w:val="14"/>
          <w:sz w:val="20"/>
        </w:rPr>
        <w:t xml:space="preserve"> </w:t>
      </w:r>
      <w:r>
        <w:rPr>
          <w:rFonts w:ascii="Times New Roman;Times;serif" w:hAnsi="Times New Roman;Times;serif"/>
          <w:sz w:val="20"/>
        </w:rPr>
        <w:t>removed</w:t>
      </w:r>
      <w:r>
        <w:rPr>
          <w:rFonts w:ascii="Times New Roman;Times;serif" w:hAnsi="Times New Roman;Times;serif"/>
          <w:spacing w:val="14"/>
          <w:sz w:val="20"/>
        </w:rPr>
        <w:t xml:space="preserve"> </w:t>
      </w:r>
      <w:r>
        <w:rPr>
          <w:rFonts w:ascii="Times New Roman;Times;serif" w:hAnsi="Times New Roman;Times;serif"/>
          <w:sz w:val="20"/>
        </w:rPr>
        <w:t>from</w:t>
      </w:r>
      <w:r>
        <w:rPr>
          <w:rFonts w:ascii="Times New Roman;Times;serif" w:hAnsi="Times New Roman;Times;serif"/>
          <w:spacing w:val="9"/>
          <w:sz w:val="20"/>
        </w:rPr>
        <w:t xml:space="preserve"> </w:t>
      </w:r>
      <w:r>
        <w:rPr>
          <w:rFonts w:ascii="Times New Roman;Times;serif" w:hAnsi="Times New Roman;Times;serif"/>
          <w:sz w:val="20"/>
        </w:rPr>
        <w:t>their</w:t>
      </w:r>
      <w:r>
        <w:rPr>
          <w:rFonts w:ascii="Times New Roman;Times;serif" w:hAnsi="Times New Roman;Times;serif"/>
          <w:spacing w:val="14"/>
          <w:sz w:val="20"/>
        </w:rPr>
        <w:t xml:space="preserve"> </w:t>
      </w:r>
      <w:r>
        <w:rPr>
          <w:rFonts w:ascii="Times New Roman;Times;serif" w:hAnsi="Times New Roman;Times;serif"/>
          <w:sz w:val="20"/>
        </w:rPr>
        <w:t>packaging</w:t>
      </w:r>
      <w:r>
        <w:rPr>
          <w:rFonts w:ascii="Times New Roman;Times;serif" w:hAnsi="Times New Roman;Times;serif"/>
          <w:spacing w:val="12"/>
          <w:sz w:val="20"/>
        </w:rPr>
        <w:t xml:space="preserve"> </w:t>
      </w:r>
      <w:r>
        <w:rPr>
          <w:rFonts w:ascii="Times New Roman;Times;serif" w:hAnsi="Times New Roman;Times;serif"/>
          <w:sz w:val="20"/>
        </w:rPr>
        <w:t>in</w:t>
      </w:r>
      <w:r>
        <w:rPr>
          <w:rFonts w:ascii="Times New Roman;Times;serif" w:hAnsi="Times New Roman;Times;serif"/>
          <w:spacing w:val="12"/>
          <w:sz w:val="20"/>
        </w:rPr>
        <w:t xml:space="preserve"> </w:t>
      </w:r>
      <w:r>
        <w:rPr>
          <w:rFonts w:ascii="Times New Roman;Times;serif" w:hAnsi="Times New Roman;Times;serif"/>
          <w:sz w:val="20"/>
        </w:rPr>
        <w:t>this</w:t>
      </w:r>
      <w:r>
        <w:rPr>
          <w:rFonts w:ascii="Times New Roman;Times;serif" w:hAnsi="Times New Roman;Times;serif"/>
          <w:spacing w:val="16"/>
          <w:sz w:val="20"/>
        </w:rPr>
        <w:t xml:space="preserve"> </w:t>
      </w:r>
      <w:r>
        <w:rPr>
          <w:rFonts w:ascii="Times New Roman;Times;serif" w:hAnsi="Times New Roman;Times;serif"/>
          <w:sz w:val="20"/>
        </w:rPr>
        <w:t>way</w:t>
      </w:r>
      <w:r>
        <w:rPr>
          <w:rFonts w:ascii="Times New Roman;Times;serif" w:hAnsi="Times New Roman;Times;serif"/>
          <w:spacing w:val="14"/>
          <w:sz w:val="20"/>
        </w:rPr>
        <w:t xml:space="preserve"> </w:t>
      </w:r>
      <w:r>
        <w:rPr>
          <w:rFonts w:ascii="Times New Roman;Times;serif" w:hAnsi="Times New Roman;Times;serif"/>
          <w:sz w:val="20"/>
        </w:rPr>
        <w:t>may</w:t>
      </w:r>
      <w:r>
        <w:rPr>
          <w:rFonts w:ascii="Times New Roman;Times;serif" w:hAnsi="Times New Roman;Times;serif"/>
          <w:spacing w:val="14"/>
          <w:sz w:val="20"/>
        </w:rPr>
        <w:t xml:space="preserve"> </w:t>
      </w:r>
      <w:r>
        <w:rPr>
          <w:rFonts w:ascii="Times New Roman;Times;serif" w:hAnsi="Times New Roman;Times;serif"/>
          <w:sz w:val="20"/>
        </w:rPr>
        <w:t>not</w:t>
      </w:r>
      <w:r>
        <w:rPr>
          <w:rFonts w:ascii="Times New Roman;Times;serif" w:hAnsi="Times New Roman;Times;serif"/>
          <w:spacing w:val="14"/>
          <w:sz w:val="20"/>
        </w:rPr>
        <w:t xml:space="preserve"> </w:t>
      </w:r>
      <w:r>
        <w:rPr>
          <w:rFonts w:ascii="Times New Roman;Times;serif" w:hAnsi="Times New Roman;Times;serif"/>
          <w:sz w:val="20"/>
        </w:rPr>
        <w:t>be</w:t>
      </w:r>
      <w:r>
        <w:rPr>
          <w:rFonts w:ascii="Times New Roman;Times;serif" w:hAnsi="Times New Roman;Times;serif"/>
          <w:spacing w:val="12"/>
          <w:sz w:val="20"/>
        </w:rPr>
        <w:t xml:space="preserve"> </w:t>
      </w:r>
      <w:r>
        <w:rPr>
          <w:rFonts w:ascii="Times New Roman;Times;serif" w:hAnsi="Times New Roman;Times;serif"/>
          <w:sz w:val="20"/>
        </w:rPr>
        <w:t>sold</w:t>
      </w:r>
      <w:r>
        <w:rPr>
          <w:rFonts w:ascii="Times New Roman;Times;serif" w:hAnsi="Times New Roman;Times;serif"/>
          <w:spacing w:val="16"/>
          <w:sz w:val="20"/>
        </w:rPr>
        <w:t xml:space="preserve"> </w:t>
      </w:r>
      <w:r>
        <w:rPr>
          <w:rFonts w:ascii="Times New Roman;Times;serif" w:hAnsi="Times New Roman;Times;serif"/>
          <w:sz w:val="20"/>
        </w:rPr>
        <w:t>or</w:t>
      </w:r>
      <w:r>
        <w:rPr>
          <w:rFonts w:ascii="Times New Roman;Times;serif" w:hAnsi="Times New Roman;Times;serif"/>
          <w:spacing w:val="-2"/>
          <w:sz w:val="20"/>
        </w:rPr>
        <w:t xml:space="preserve"> </w:t>
      </w:r>
      <w:r>
        <w:rPr>
          <w:rFonts w:ascii="Times New Roman;Times;serif" w:hAnsi="Times New Roman;Times;serif"/>
          <w:sz w:val="20"/>
        </w:rPr>
        <w:t>consumed. They must be destroyed appropriately when they are no longer being used for display. Retailers may also</w:t>
      </w:r>
      <w:r>
        <w:rPr>
          <w:rFonts w:ascii="Times New Roman;Times;serif" w:hAnsi="Times New Roman;Times;serif"/>
          <w:spacing w:val="-2"/>
          <w:sz w:val="20"/>
        </w:rPr>
        <w:t xml:space="preserve"> </w:t>
      </w:r>
      <w:r>
        <w:rPr>
          <w:rFonts w:ascii="Times New Roman;Times;serif" w:hAnsi="Times New Roman;Times;serif"/>
          <w:sz w:val="20"/>
        </w:rPr>
        <w:t>sell</w:t>
      </w:r>
      <w:r>
        <w:rPr>
          <w:rFonts w:ascii="Times New Roman;Times;serif" w:hAnsi="Times New Roman;Times;serif"/>
          <w:spacing w:val="-6"/>
          <w:sz w:val="20"/>
        </w:rPr>
        <w:t xml:space="preserve"> </w:t>
      </w:r>
      <w:r>
        <w:rPr>
          <w:rFonts w:ascii="Times New Roman;Times;serif" w:hAnsi="Times New Roman;Times;serif"/>
          <w:sz w:val="20"/>
        </w:rPr>
        <w:t>live,</w:t>
      </w:r>
      <w:r>
        <w:rPr>
          <w:rFonts w:ascii="Times New Roman;Times;serif" w:hAnsi="Times New Roman;Times;serif"/>
          <w:spacing w:val="-6"/>
          <w:sz w:val="20"/>
        </w:rPr>
        <w:t xml:space="preserve"> </w:t>
      </w:r>
      <w:r>
        <w:rPr>
          <w:rFonts w:ascii="Times New Roman;Times;serif" w:hAnsi="Times New Roman;Times;serif"/>
          <w:sz w:val="20"/>
        </w:rPr>
        <w:t>immature</w:t>
      </w:r>
      <w:r>
        <w:rPr>
          <w:rFonts w:ascii="Times New Roman;Times;serif" w:hAnsi="Times New Roman;Times;serif"/>
          <w:spacing w:val="-6"/>
          <w:sz w:val="20"/>
        </w:rPr>
        <w:t xml:space="preserve"> </w:t>
      </w:r>
      <w:r>
        <w:rPr>
          <w:rFonts w:ascii="Times New Roman;Times;serif" w:hAnsi="Times New Roman;Times;serif"/>
          <w:sz w:val="20"/>
        </w:rPr>
        <w:t>cannabis</w:t>
      </w:r>
      <w:r>
        <w:rPr>
          <w:rFonts w:ascii="Times New Roman;Times;serif" w:hAnsi="Times New Roman;Times;serif"/>
          <w:spacing w:val="-6"/>
          <w:sz w:val="20"/>
        </w:rPr>
        <w:t xml:space="preserve"> </w:t>
      </w:r>
      <w:r>
        <w:rPr>
          <w:rFonts w:ascii="Times New Roman;Times;serif" w:hAnsi="Times New Roman;Times;serif"/>
          <w:sz w:val="20"/>
        </w:rPr>
        <w:t>plants</w:t>
      </w:r>
      <w:r>
        <w:rPr>
          <w:rFonts w:ascii="Times New Roman;Times;serif" w:hAnsi="Times New Roman;Times;serif"/>
          <w:spacing w:val="-6"/>
          <w:sz w:val="20"/>
        </w:rPr>
        <w:t xml:space="preserve"> </w:t>
      </w:r>
      <w:r>
        <w:rPr>
          <w:rFonts w:ascii="Times New Roman;Times;serif" w:hAnsi="Times New Roman;Times;serif"/>
          <w:sz w:val="20"/>
        </w:rPr>
        <w:t>and</w:t>
      </w:r>
      <w:r>
        <w:rPr>
          <w:rFonts w:ascii="Times New Roman;Times;serif" w:hAnsi="Times New Roman;Times;serif"/>
          <w:spacing w:val="-4"/>
          <w:sz w:val="20"/>
        </w:rPr>
        <w:t xml:space="preserve"> </w:t>
      </w:r>
      <w:r>
        <w:rPr>
          <w:rFonts w:ascii="Times New Roman;Times;serif" w:hAnsi="Times New Roman;Times;serif"/>
          <w:sz w:val="20"/>
        </w:rPr>
        <w:t>seeds.</w:t>
      </w:r>
      <w:r>
        <w:rPr>
          <w:rFonts w:ascii="Times New Roman;Times;serif" w:hAnsi="Times New Roman;Times;serif"/>
          <w:spacing w:val="-4"/>
          <w:sz w:val="20"/>
        </w:rPr>
        <w:t xml:space="preserve"> </w:t>
      </w:r>
      <w:r>
        <w:rPr>
          <w:rFonts w:ascii="Times New Roman;Times;serif" w:hAnsi="Times New Roman;Times;serif"/>
          <w:sz w:val="20"/>
        </w:rPr>
        <w:t>A</w:t>
      </w:r>
      <w:r>
        <w:rPr>
          <w:rFonts w:ascii="Times New Roman;Times;serif" w:hAnsi="Times New Roman;Times;serif"/>
          <w:spacing w:val="-8"/>
          <w:sz w:val="20"/>
        </w:rPr>
        <w:t xml:space="preserve"> </w:t>
      </w:r>
      <w:r>
        <w:rPr>
          <w:rFonts w:ascii="Times New Roman;Times;serif" w:hAnsi="Times New Roman;Times;serif"/>
          <w:sz w:val="20"/>
        </w:rPr>
        <w:t>retailer</w:t>
      </w:r>
      <w:r>
        <w:rPr>
          <w:rFonts w:ascii="Times New Roman;Times;serif" w:hAnsi="Times New Roman;Times;serif"/>
          <w:spacing w:val="-4"/>
          <w:sz w:val="20"/>
        </w:rPr>
        <w:t xml:space="preserve"> </w:t>
      </w:r>
      <w:r>
        <w:rPr>
          <w:rFonts w:ascii="Times New Roman;Times;serif" w:hAnsi="Times New Roman;Times;serif"/>
          <w:sz w:val="20"/>
        </w:rPr>
        <w:t>may</w:t>
      </w:r>
      <w:r>
        <w:rPr>
          <w:rFonts w:ascii="Times New Roman;Times;serif" w:hAnsi="Times New Roman;Times;serif"/>
          <w:spacing w:val="-8"/>
          <w:sz w:val="20"/>
        </w:rPr>
        <w:t xml:space="preserve"> </w:t>
      </w:r>
      <w:r>
        <w:rPr>
          <w:rFonts w:ascii="Times New Roman;Times;serif" w:hAnsi="Times New Roman;Times;serif"/>
          <w:sz w:val="20"/>
        </w:rPr>
        <w:t>not</w:t>
      </w:r>
      <w:r>
        <w:rPr>
          <w:rFonts w:ascii="Times New Roman;Times;serif" w:hAnsi="Times New Roman;Times;serif"/>
          <w:spacing w:val="-7"/>
          <w:sz w:val="20"/>
        </w:rPr>
        <w:t xml:space="preserve"> </w:t>
      </w:r>
      <w:r>
        <w:rPr>
          <w:rFonts w:ascii="Times New Roman;Times;serif" w:hAnsi="Times New Roman;Times;serif"/>
          <w:sz w:val="20"/>
        </w:rPr>
        <w:t>sell</w:t>
      </w:r>
      <w:r>
        <w:rPr>
          <w:rFonts w:ascii="Times New Roman;Times;serif" w:hAnsi="Times New Roman;Times;serif"/>
          <w:spacing w:val="-4"/>
          <w:sz w:val="20"/>
        </w:rPr>
        <w:t xml:space="preserve"> </w:t>
      </w:r>
      <w:r>
        <w:rPr>
          <w:rFonts w:ascii="Times New Roman;Times;serif" w:hAnsi="Times New Roman;Times;serif"/>
          <w:sz w:val="20"/>
        </w:rPr>
        <w:t>more</w:t>
      </w:r>
      <w:r>
        <w:rPr>
          <w:rFonts w:ascii="Times New Roman;Times;serif" w:hAnsi="Times New Roman;Times;serif"/>
          <w:spacing w:val="-5"/>
          <w:sz w:val="20"/>
        </w:rPr>
        <w:t xml:space="preserve"> </w:t>
      </w:r>
      <w:r>
        <w:rPr>
          <w:rFonts w:ascii="Times New Roman;Times;serif" w:hAnsi="Times New Roman;Times;serif"/>
          <w:sz w:val="20"/>
        </w:rPr>
        <w:t>than</w:t>
      </w:r>
      <w:r>
        <w:rPr>
          <w:rFonts w:ascii="Times New Roman;Times;serif" w:hAnsi="Times New Roman;Times;serif"/>
          <w:spacing w:val="-8"/>
          <w:sz w:val="20"/>
        </w:rPr>
        <w:t xml:space="preserve"> </w:t>
      </w:r>
      <w:r>
        <w:rPr>
          <w:rFonts w:ascii="Times New Roman;Times;serif" w:hAnsi="Times New Roman;Times;serif"/>
          <w:sz w:val="20"/>
        </w:rPr>
        <w:t>two</w:t>
      </w:r>
      <w:r>
        <w:rPr>
          <w:rFonts w:ascii="Times New Roman;Times;serif" w:hAnsi="Times New Roman;Times;serif"/>
          <w:spacing w:val="-4"/>
          <w:sz w:val="20"/>
        </w:rPr>
        <w:t xml:space="preserve"> </w:t>
      </w:r>
      <w:r>
        <w:rPr>
          <w:rFonts w:ascii="Times New Roman;Times;serif" w:hAnsi="Times New Roman;Times;serif"/>
          <w:sz w:val="20"/>
        </w:rPr>
        <w:t>ounces</w:t>
      </w:r>
      <w:r>
        <w:rPr>
          <w:rFonts w:ascii="Times New Roman;Times;serif" w:hAnsi="Times New Roman;Times;serif"/>
          <w:spacing w:val="-6"/>
          <w:sz w:val="20"/>
        </w:rPr>
        <w:t xml:space="preserve"> </w:t>
      </w:r>
      <w:r>
        <w:rPr>
          <w:rFonts w:ascii="Times New Roman;Times;serif" w:hAnsi="Times New Roman;Times;serif"/>
          <w:sz w:val="20"/>
        </w:rPr>
        <w:t>of</w:t>
      </w:r>
      <w:r>
        <w:rPr>
          <w:rFonts w:ascii="Times New Roman;Times;serif" w:hAnsi="Times New Roman;Times;serif"/>
          <w:spacing w:val="-8"/>
          <w:sz w:val="20"/>
        </w:rPr>
        <w:t xml:space="preserve"> </w:t>
      </w:r>
      <w:r>
        <w:rPr>
          <w:rFonts w:ascii="Times New Roman;Times;serif" w:hAnsi="Times New Roman;Times;serif"/>
          <w:sz w:val="20"/>
        </w:rPr>
        <w:t>cannabis,</w:t>
      </w:r>
      <w:r>
        <w:rPr>
          <w:rFonts w:ascii="Times New Roman;Times;serif" w:hAnsi="Times New Roman;Times;serif"/>
          <w:spacing w:val="-6"/>
          <w:sz w:val="20"/>
        </w:rPr>
        <w:t xml:space="preserve"> </w:t>
      </w:r>
      <w:r>
        <w:rPr>
          <w:rFonts w:ascii="Times New Roman;Times;serif" w:hAnsi="Times New Roman;Times;serif"/>
          <w:sz w:val="20"/>
        </w:rPr>
        <w:t>sixteen</w:t>
      </w:r>
      <w:r>
        <w:rPr>
          <w:rFonts w:ascii="Times New Roman;Times;serif" w:hAnsi="Times New Roman;Times;serif"/>
          <w:spacing w:val="-8"/>
          <w:sz w:val="20"/>
        </w:rPr>
        <w:t xml:space="preserve"> </w:t>
      </w:r>
      <w:r>
        <w:rPr>
          <w:rFonts w:ascii="Times New Roman;Times;serif" w:hAnsi="Times New Roman;Times;serif"/>
          <w:sz w:val="20"/>
        </w:rPr>
        <w:t>grams</w:t>
      </w:r>
      <w:r>
        <w:rPr>
          <w:rFonts w:ascii="Times New Roman;Times;serif" w:hAnsi="Times New Roman;Times;serif"/>
          <w:spacing w:val="-2"/>
          <w:sz w:val="20"/>
        </w:rPr>
        <w:t xml:space="preserve"> </w:t>
      </w:r>
      <w:r>
        <w:rPr>
          <w:rFonts w:ascii="Times New Roman;Times;serif" w:hAnsi="Times New Roman;Times;serif"/>
          <w:sz w:val="20"/>
        </w:rPr>
        <w:t>of cannabis</w:t>
      </w:r>
      <w:r>
        <w:rPr>
          <w:rFonts w:ascii="Times New Roman;Times;serif" w:hAnsi="Times New Roman;Times;serif"/>
          <w:spacing w:val="6"/>
          <w:sz w:val="20"/>
        </w:rPr>
        <w:t xml:space="preserve"> </w:t>
      </w:r>
      <w:r>
        <w:rPr>
          <w:rFonts w:ascii="Times New Roman;Times;serif" w:hAnsi="Times New Roman;Times;serif"/>
          <w:sz w:val="20"/>
        </w:rPr>
        <w:t>extract,</w:t>
      </w:r>
      <w:r>
        <w:rPr>
          <w:rFonts w:ascii="Times New Roman;Times;serif" w:hAnsi="Times New Roman;Times;serif"/>
          <w:spacing w:val="6"/>
          <w:sz w:val="20"/>
        </w:rPr>
        <w:t xml:space="preserve"> </w:t>
      </w:r>
      <w:r>
        <w:rPr>
          <w:rFonts w:ascii="Times New Roman;Times;serif" w:hAnsi="Times New Roman;Times;serif"/>
          <w:sz w:val="20"/>
        </w:rPr>
        <w:t>eight</w:t>
      </w:r>
      <w:r>
        <w:rPr>
          <w:rFonts w:ascii="Times New Roman;Times;serif" w:hAnsi="Times New Roman;Times;serif"/>
          <w:spacing w:val="6"/>
          <w:sz w:val="20"/>
        </w:rPr>
        <w:t xml:space="preserve"> </w:t>
      </w:r>
      <w:r>
        <w:rPr>
          <w:rFonts w:ascii="Times New Roman;Times;serif" w:hAnsi="Times New Roman;Times;serif"/>
          <w:sz w:val="20"/>
        </w:rPr>
        <w:t>hundred</w:t>
      </w:r>
      <w:r>
        <w:rPr>
          <w:rFonts w:ascii="Times New Roman;Times;serif" w:hAnsi="Times New Roman;Times;serif"/>
          <w:spacing w:val="4"/>
          <w:sz w:val="20"/>
        </w:rPr>
        <w:t xml:space="preserve"> </w:t>
      </w:r>
      <w:r>
        <w:rPr>
          <w:rFonts w:ascii="Times New Roman;Times;serif" w:hAnsi="Times New Roman;Times;serif"/>
          <w:sz w:val="20"/>
        </w:rPr>
        <w:t>milligrams</w:t>
      </w:r>
      <w:r>
        <w:rPr>
          <w:rFonts w:ascii="Times New Roman;Times;serif" w:hAnsi="Times New Roman;Times;serif"/>
          <w:spacing w:val="4"/>
          <w:sz w:val="20"/>
        </w:rPr>
        <w:t xml:space="preserve"> </w:t>
      </w:r>
      <w:r>
        <w:rPr>
          <w:rFonts w:ascii="Times New Roman;Times;serif" w:hAnsi="Times New Roman;Times;serif"/>
          <w:sz w:val="20"/>
        </w:rPr>
        <w:t>of</w:t>
      </w:r>
      <w:r>
        <w:rPr>
          <w:rFonts w:ascii="Times New Roman;Times;serif" w:hAnsi="Times New Roman;Times;serif"/>
          <w:spacing w:val="4"/>
          <w:sz w:val="20"/>
        </w:rPr>
        <w:t xml:space="preserve"> </w:t>
      </w:r>
      <w:r>
        <w:rPr>
          <w:rFonts w:ascii="Times New Roman;Times;serif" w:hAnsi="Times New Roman;Times;serif"/>
          <w:sz w:val="20"/>
        </w:rPr>
        <w:t>edible</w:t>
      </w:r>
      <w:r>
        <w:rPr>
          <w:rFonts w:ascii="Times New Roman;Times;serif" w:hAnsi="Times New Roman;Times;serif"/>
          <w:spacing w:val="3"/>
          <w:sz w:val="20"/>
        </w:rPr>
        <w:t xml:space="preserve"> </w:t>
      </w:r>
      <w:r>
        <w:rPr>
          <w:rFonts w:ascii="Times New Roman;Times;serif" w:hAnsi="Times New Roman;Times;serif"/>
          <w:sz w:val="20"/>
        </w:rPr>
        <w:t>cannabis,</w:t>
      </w:r>
      <w:r>
        <w:rPr>
          <w:rFonts w:ascii="Times New Roman;Times;serif" w:hAnsi="Times New Roman;Times;serif"/>
          <w:spacing w:val="4"/>
          <w:sz w:val="20"/>
        </w:rPr>
        <w:t xml:space="preserve"> </w:t>
      </w:r>
      <w:r>
        <w:rPr>
          <w:rFonts w:ascii="Times New Roman;Times;serif" w:hAnsi="Times New Roman;Times;serif"/>
          <w:sz w:val="20"/>
        </w:rPr>
        <w:t>or</w:t>
      </w:r>
      <w:r>
        <w:rPr>
          <w:rFonts w:ascii="Times New Roman;Times;serif" w:hAnsi="Times New Roman;Times;serif"/>
          <w:spacing w:val="4"/>
          <w:sz w:val="20"/>
        </w:rPr>
        <w:t xml:space="preserve"> </w:t>
      </w:r>
      <w:r>
        <w:rPr>
          <w:rFonts w:ascii="Times New Roman;Times;serif" w:hAnsi="Times New Roman;Times;serif"/>
          <w:sz w:val="20"/>
        </w:rPr>
        <w:t>six</w:t>
      </w:r>
      <w:r>
        <w:rPr>
          <w:rFonts w:ascii="Times New Roman;Times;serif" w:hAnsi="Times New Roman;Times;serif"/>
          <w:spacing w:val="4"/>
          <w:sz w:val="20"/>
        </w:rPr>
        <w:t xml:space="preserve"> </w:t>
      </w:r>
      <w:r>
        <w:rPr>
          <w:rFonts w:ascii="Times New Roman;Times;serif" w:hAnsi="Times New Roman;Times;serif"/>
          <w:sz w:val="20"/>
        </w:rPr>
        <w:t>immature</w:t>
      </w:r>
      <w:r>
        <w:rPr>
          <w:rFonts w:ascii="Times New Roman;Times;serif" w:hAnsi="Times New Roman;Times;serif"/>
          <w:spacing w:val="3"/>
          <w:sz w:val="20"/>
        </w:rPr>
        <w:t xml:space="preserve"> </w:t>
      </w:r>
      <w:r>
        <w:rPr>
          <w:rFonts w:ascii="Times New Roman;Times;serif" w:hAnsi="Times New Roman;Times;serif"/>
          <w:sz w:val="20"/>
        </w:rPr>
        <w:t>cannabis plants</w:t>
      </w:r>
      <w:r>
        <w:rPr>
          <w:rFonts w:ascii="Times New Roman;Times;serif" w:hAnsi="Times New Roman;Times;serif"/>
          <w:spacing w:val="4"/>
          <w:sz w:val="20"/>
        </w:rPr>
        <w:t xml:space="preserve"> </w:t>
      </w:r>
      <w:r>
        <w:rPr>
          <w:rFonts w:ascii="Times New Roman;Times;serif" w:hAnsi="Times New Roman;Times;serif"/>
          <w:sz w:val="20"/>
        </w:rPr>
        <w:t>to</w:t>
      </w:r>
      <w:r>
        <w:rPr>
          <w:rFonts w:ascii="Times New Roman;Times;serif" w:hAnsi="Times New Roman;Times;serif"/>
          <w:spacing w:val="4"/>
          <w:sz w:val="20"/>
        </w:rPr>
        <w:t xml:space="preserve"> </w:t>
      </w:r>
      <w:r>
        <w:rPr>
          <w:rFonts w:ascii="Times New Roman;Times;serif" w:hAnsi="Times New Roman;Times;serif"/>
          <w:sz w:val="20"/>
        </w:rPr>
        <w:t>a</w:t>
      </w:r>
      <w:r>
        <w:rPr>
          <w:rFonts w:ascii="Times New Roman;Times;serif" w:hAnsi="Times New Roman;Times;serif"/>
          <w:spacing w:val="7"/>
          <w:sz w:val="20"/>
        </w:rPr>
        <w:t xml:space="preserve"> </w:t>
      </w:r>
      <w:r>
        <w:rPr>
          <w:rFonts w:ascii="Times New Roman;Times;serif" w:hAnsi="Times New Roman;Times;serif"/>
          <w:sz w:val="20"/>
        </w:rPr>
        <w:t>customer</w:t>
      </w:r>
      <w:r>
        <w:rPr>
          <w:rFonts w:ascii="Times New Roman;Times;serif" w:hAnsi="Times New Roman;Times;serif"/>
          <w:spacing w:val="8"/>
          <w:sz w:val="20"/>
        </w:rPr>
        <w:t xml:space="preserve"> </w:t>
      </w:r>
      <w:r>
        <w:rPr>
          <w:rFonts w:ascii="Times New Roman;Times;serif" w:hAnsi="Times New Roman;Times;serif"/>
          <w:sz w:val="20"/>
        </w:rPr>
        <w:t>in</w:t>
      </w:r>
      <w:r>
        <w:rPr>
          <w:rFonts w:ascii="Times New Roman;Times;serif" w:hAnsi="Times New Roman;Times;serif"/>
          <w:spacing w:val="6"/>
          <w:sz w:val="20"/>
        </w:rPr>
        <w:t xml:space="preserve"> </w:t>
      </w:r>
      <w:r>
        <w:rPr>
          <w:rFonts w:ascii="Times New Roman;Times;serif" w:hAnsi="Times New Roman;Times;serif"/>
          <w:sz w:val="20"/>
        </w:rPr>
        <w:t xml:space="preserve">a single purchase. </w:t>
      </w:r>
    </w:p>
    <w:p>
      <w:pPr>
        <w:pStyle w:val="TextBody"/>
        <w:spacing w:before="0" w:after="240"/>
        <w:ind w:left="100" w:right="0" w:hanging="0"/>
        <w:jc w:val="both"/>
        <w:rPr>
          <w:rFonts w:ascii="Times New Roman;Times;serif" w:hAnsi="Times New Roman;Times;serif"/>
          <w:i/>
          <w:sz w:val="20"/>
        </w:rPr>
      </w:pPr>
      <w:r>
        <w:rPr>
          <w:rFonts w:ascii="Times New Roman;Times;serif" w:hAnsi="Times New Roman;Times;serif"/>
          <w:i/>
          <w:sz w:val="20"/>
        </w:rPr>
        <w:t>Courier Requirements</w:t>
      </w:r>
    </w:p>
    <w:p>
      <w:pPr>
        <w:pStyle w:val="TextBody"/>
        <w:spacing w:before="1" w:after="240"/>
        <w:ind w:left="100" w:right="101" w:hanging="0"/>
        <w:jc w:val="both"/>
        <w:rPr>
          <w:rFonts w:ascii="Times New Roman;Times;serif" w:hAnsi="Times New Roman;Times;serif"/>
          <w:sz w:val="20"/>
        </w:rPr>
      </w:pPr>
      <w:r>
        <w:rPr>
          <w:rFonts w:ascii="Times New Roman;Times;serif" w:hAnsi="Times New Roman;Times;serif"/>
          <w:sz w:val="20"/>
        </w:rPr>
        <w:t>A</w:t>
      </w:r>
      <w:r>
        <w:rPr>
          <w:rFonts w:ascii="Times New Roman;Times;serif" w:hAnsi="Times New Roman;Times;serif"/>
          <w:spacing w:val="15"/>
          <w:sz w:val="20"/>
        </w:rPr>
        <w:t xml:space="preserve"> </w:t>
      </w:r>
      <w:r>
        <w:rPr>
          <w:rFonts w:ascii="Times New Roman;Times;serif" w:hAnsi="Times New Roman;Times;serif"/>
          <w:sz w:val="20"/>
        </w:rPr>
        <w:t>licensee</w:t>
      </w:r>
      <w:r>
        <w:rPr>
          <w:rFonts w:ascii="Times New Roman;Times;serif" w:hAnsi="Times New Roman;Times;serif"/>
          <w:spacing w:val="19"/>
          <w:sz w:val="20"/>
        </w:rPr>
        <w:t xml:space="preserve"> </w:t>
      </w:r>
      <w:r>
        <w:rPr>
          <w:rFonts w:ascii="Times New Roman;Times;serif" w:hAnsi="Times New Roman;Times;serif"/>
          <w:sz w:val="20"/>
        </w:rPr>
        <w:t>may</w:t>
      </w:r>
      <w:r>
        <w:rPr>
          <w:rFonts w:ascii="Times New Roman;Times;serif" w:hAnsi="Times New Roman;Times;serif"/>
          <w:spacing w:val="15"/>
          <w:sz w:val="20"/>
        </w:rPr>
        <w:t xml:space="preserve"> </w:t>
      </w:r>
      <w:r>
        <w:rPr>
          <w:rFonts w:ascii="Times New Roman;Times;serif" w:hAnsi="Times New Roman;Times;serif"/>
          <w:sz w:val="20"/>
        </w:rPr>
        <w:t>deliver</w:t>
      </w:r>
      <w:r>
        <w:rPr>
          <w:rFonts w:ascii="Times New Roman;Times;serif" w:hAnsi="Times New Roman;Times;serif"/>
          <w:spacing w:val="18"/>
          <w:sz w:val="20"/>
        </w:rPr>
        <w:t xml:space="preserve"> </w:t>
      </w:r>
      <w:r>
        <w:rPr>
          <w:rFonts w:ascii="Times New Roman;Times;serif" w:hAnsi="Times New Roman;Times;serif"/>
          <w:sz w:val="20"/>
        </w:rPr>
        <w:t>cannabis</w:t>
      </w:r>
      <w:r>
        <w:rPr>
          <w:rFonts w:ascii="Times New Roman;Times;serif" w:hAnsi="Times New Roman;Times;serif"/>
          <w:spacing w:val="15"/>
          <w:sz w:val="20"/>
        </w:rPr>
        <w:t xml:space="preserve"> </w:t>
      </w:r>
      <w:r>
        <w:rPr>
          <w:rFonts w:ascii="Times New Roman;Times;serif" w:hAnsi="Times New Roman;Times;serif"/>
          <w:sz w:val="20"/>
        </w:rPr>
        <w:t>products</w:t>
      </w:r>
      <w:r>
        <w:rPr>
          <w:rFonts w:ascii="Times New Roman;Times;serif" w:hAnsi="Times New Roman;Times;serif"/>
          <w:spacing w:val="15"/>
          <w:sz w:val="20"/>
        </w:rPr>
        <w:t xml:space="preserve"> </w:t>
      </w:r>
      <w:r>
        <w:rPr>
          <w:rFonts w:ascii="Times New Roman;Times;serif" w:hAnsi="Times New Roman;Times;serif"/>
          <w:sz w:val="20"/>
        </w:rPr>
        <w:t>directly</w:t>
      </w:r>
      <w:r>
        <w:rPr>
          <w:rFonts w:ascii="Times New Roman;Times;serif" w:hAnsi="Times New Roman;Times;serif"/>
          <w:spacing w:val="15"/>
          <w:sz w:val="20"/>
        </w:rPr>
        <w:t xml:space="preserve"> </w:t>
      </w:r>
      <w:r>
        <w:rPr>
          <w:rFonts w:ascii="Times New Roman;Times;serif" w:hAnsi="Times New Roman;Times;serif"/>
          <w:sz w:val="20"/>
        </w:rPr>
        <w:t>to</w:t>
      </w:r>
      <w:r>
        <w:rPr>
          <w:rFonts w:ascii="Times New Roman;Times;serif" w:hAnsi="Times New Roman;Times;serif"/>
          <w:spacing w:val="19"/>
          <w:sz w:val="20"/>
        </w:rPr>
        <w:t xml:space="preserve"> </w:t>
      </w:r>
      <w:r>
        <w:rPr>
          <w:rFonts w:ascii="Times New Roman;Times;serif" w:hAnsi="Times New Roman;Times;serif"/>
          <w:sz w:val="20"/>
        </w:rPr>
        <w:t>a</w:t>
      </w:r>
      <w:r>
        <w:rPr>
          <w:rFonts w:ascii="Times New Roman;Times;serif" w:hAnsi="Times New Roman;Times;serif"/>
          <w:spacing w:val="17"/>
          <w:sz w:val="20"/>
        </w:rPr>
        <w:t xml:space="preserve"> </w:t>
      </w:r>
      <w:r>
        <w:rPr>
          <w:rFonts w:ascii="Times New Roman;Times;serif" w:hAnsi="Times New Roman;Times;serif"/>
          <w:sz w:val="20"/>
        </w:rPr>
        <w:t>qualified</w:t>
      </w:r>
      <w:r>
        <w:rPr>
          <w:rFonts w:ascii="Times New Roman;Times;serif" w:hAnsi="Times New Roman;Times;serif"/>
          <w:spacing w:val="19"/>
          <w:sz w:val="20"/>
        </w:rPr>
        <w:t xml:space="preserve"> </w:t>
      </w:r>
      <w:r>
        <w:rPr>
          <w:rFonts w:ascii="Times New Roman;Times;serif" w:hAnsi="Times New Roman;Times;serif"/>
          <w:sz w:val="20"/>
        </w:rPr>
        <w:t>patient</w:t>
      </w:r>
      <w:r>
        <w:rPr>
          <w:rFonts w:ascii="Times New Roman;Times;serif" w:hAnsi="Times New Roman;Times;serif"/>
          <w:spacing w:val="20"/>
          <w:sz w:val="20"/>
        </w:rPr>
        <w:t xml:space="preserve"> </w:t>
      </w:r>
      <w:r>
        <w:rPr>
          <w:rFonts w:ascii="Times New Roman;Times;serif" w:hAnsi="Times New Roman;Times;serif"/>
          <w:sz w:val="20"/>
        </w:rPr>
        <w:t>who</w:t>
      </w:r>
      <w:r>
        <w:rPr>
          <w:rFonts w:ascii="Times New Roman;Times;serif" w:hAnsi="Times New Roman;Times;serif"/>
          <w:spacing w:val="21"/>
          <w:sz w:val="20"/>
        </w:rPr>
        <w:t xml:space="preserve"> </w:t>
      </w:r>
      <w:r>
        <w:rPr>
          <w:rFonts w:ascii="Times New Roman;Times;serif" w:hAnsi="Times New Roman;Times;serif"/>
          <w:sz w:val="20"/>
        </w:rPr>
        <w:t>is</w:t>
      </w:r>
      <w:r>
        <w:rPr>
          <w:rFonts w:ascii="Times New Roman;Times;serif" w:hAnsi="Times New Roman;Times;serif"/>
          <w:spacing w:val="15"/>
          <w:sz w:val="20"/>
        </w:rPr>
        <w:t xml:space="preserve"> </w:t>
      </w:r>
      <w:r>
        <w:rPr>
          <w:rFonts w:ascii="Times New Roman;Times;serif" w:hAnsi="Times New Roman;Times;serif"/>
          <w:sz w:val="20"/>
        </w:rPr>
        <w:t>at</w:t>
      </w:r>
      <w:r>
        <w:rPr>
          <w:rFonts w:ascii="Times New Roman;Times;serif" w:hAnsi="Times New Roman;Times;serif"/>
          <w:spacing w:val="17"/>
          <w:sz w:val="20"/>
        </w:rPr>
        <w:t xml:space="preserve"> </w:t>
      </w:r>
      <w:r>
        <w:rPr>
          <w:rFonts w:ascii="Times New Roman;Times;serif" w:hAnsi="Times New Roman;Times;serif"/>
          <w:sz w:val="20"/>
        </w:rPr>
        <w:t>least</w:t>
      </w:r>
      <w:r>
        <w:rPr>
          <w:rFonts w:ascii="Times New Roman;Times;serif" w:hAnsi="Times New Roman;Times;serif"/>
          <w:spacing w:val="18"/>
          <w:sz w:val="20"/>
        </w:rPr>
        <w:t xml:space="preserve"> </w:t>
      </w:r>
      <w:r>
        <w:rPr>
          <w:rFonts w:ascii="Times New Roman;Times;serif" w:hAnsi="Times New Roman;Times;serif"/>
          <w:sz w:val="20"/>
        </w:rPr>
        <w:t>18</w:t>
      </w:r>
      <w:r>
        <w:rPr>
          <w:rFonts w:ascii="Times New Roman;Times;serif" w:hAnsi="Times New Roman;Times;serif"/>
          <w:spacing w:val="19"/>
          <w:sz w:val="20"/>
        </w:rPr>
        <w:t xml:space="preserve"> </w:t>
      </w:r>
      <w:r>
        <w:rPr>
          <w:rFonts w:ascii="Times New Roman;Times;serif" w:hAnsi="Times New Roman;Times;serif"/>
          <w:sz w:val="20"/>
        </w:rPr>
        <w:t>years</w:t>
      </w:r>
      <w:r>
        <w:rPr>
          <w:rFonts w:ascii="Times New Roman;Times;serif" w:hAnsi="Times New Roman;Times;serif"/>
          <w:spacing w:val="15"/>
          <w:sz w:val="20"/>
        </w:rPr>
        <w:t xml:space="preserve"> </w:t>
      </w:r>
      <w:r>
        <w:rPr>
          <w:rFonts w:ascii="Times New Roman;Times;serif" w:hAnsi="Times New Roman;Times;serif"/>
          <w:sz w:val="20"/>
        </w:rPr>
        <w:t>of</w:t>
      </w:r>
      <w:r>
        <w:rPr>
          <w:rFonts w:ascii="Times New Roman;Times;serif" w:hAnsi="Times New Roman;Times;serif"/>
          <w:spacing w:val="15"/>
          <w:sz w:val="20"/>
        </w:rPr>
        <w:t xml:space="preserve"> </w:t>
      </w:r>
      <w:r>
        <w:rPr>
          <w:rFonts w:ascii="Times New Roman;Times;serif" w:hAnsi="Times New Roman;Times;serif"/>
          <w:sz w:val="20"/>
        </w:rPr>
        <w:t>age,</w:t>
      </w:r>
      <w:r>
        <w:rPr>
          <w:rFonts w:ascii="Times New Roman;Times;serif" w:hAnsi="Times New Roman;Times;serif"/>
          <w:spacing w:val="17"/>
          <w:sz w:val="20"/>
        </w:rPr>
        <w:t xml:space="preserve"> </w:t>
      </w:r>
      <w:r>
        <w:rPr>
          <w:rFonts w:ascii="Times New Roman;Times;serif" w:hAnsi="Times New Roman;Times;serif"/>
          <w:sz w:val="20"/>
        </w:rPr>
        <w:t>a</w:t>
      </w:r>
      <w:r>
        <w:rPr>
          <w:rFonts w:ascii="Times New Roman;Times;serif" w:hAnsi="Times New Roman;Times;serif"/>
          <w:spacing w:val="18"/>
          <w:sz w:val="20"/>
        </w:rPr>
        <w:t xml:space="preserve"> </w:t>
      </w:r>
      <w:r>
        <w:rPr>
          <w:rFonts w:ascii="Times New Roman;Times;serif" w:hAnsi="Times New Roman;Times;serif"/>
          <w:sz w:val="20"/>
        </w:rPr>
        <w:t>primary</w:t>
      </w:r>
      <w:r>
        <w:rPr>
          <w:rFonts w:ascii="Times New Roman;Times;serif" w:hAnsi="Times New Roman;Times;serif"/>
          <w:spacing w:val="-1"/>
          <w:sz w:val="20"/>
        </w:rPr>
        <w:t xml:space="preserve"> </w:t>
      </w:r>
      <w:r>
        <w:rPr>
          <w:rFonts w:ascii="Times New Roman;Times;serif" w:hAnsi="Times New Roman;Times;serif"/>
          <w:sz w:val="20"/>
        </w:rPr>
        <w:t>caregiver</w:t>
      </w:r>
      <w:r>
        <w:rPr>
          <w:rFonts w:ascii="Times New Roman;Times;serif" w:hAnsi="Times New Roman;Times;serif"/>
          <w:spacing w:val="5"/>
          <w:sz w:val="20"/>
        </w:rPr>
        <w:t xml:space="preserve"> </w:t>
      </w:r>
      <w:r>
        <w:rPr>
          <w:rFonts w:ascii="Times New Roman;Times;serif" w:hAnsi="Times New Roman;Times;serif"/>
          <w:sz w:val="20"/>
        </w:rPr>
        <w:t>or</w:t>
      </w:r>
      <w:r>
        <w:rPr>
          <w:rFonts w:ascii="Times New Roman;Times;serif" w:hAnsi="Times New Roman;Times;serif"/>
          <w:spacing w:val="7"/>
          <w:sz w:val="20"/>
        </w:rPr>
        <w:t xml:space="preserve"> </w:t>
      </w:r>
      <w:r>
        <w:rPr>
          <w:rFonts w:ascii="Times New Roman;Times;serif" w:hAnsi="Times New Roman;Times;serif"/>
          <w:sz w:val="20"/>
        </w:rPr>
        <w:t>a</w:t>
      </w:r>
      <w:r>
        <w:rPr>
          <w:rFonts w:ascii="Times New Roman;Times;serif" w:hAnsi="Times New Roman;Times;serif"/>
          <w:spacing w:val="5"/>
          <w:sz w:val="20"/>
        </w:rPr>
        <w:t xml:space="preserve"> </w:t>
      </w:r>
      <w:r>
        <w:rPr>
          <w:rFonts w:ascii="Times New Roman;Times;serif" w:hAnsi="Times New Roman;Times;serif"/>
          <w:sz w:val="20"/>
        </w:rPr>
        <w:t>reciprocal</w:t>
      </w:r>
      <w:r>
        <w:rPr>
          <w:rFonts w:ascii="Times New Roman;Times;serif" w:hAnsi="Times New Roman;Times;serif"/>
          <w:spacing w:val="4"/>
          <w:sz w:val="20"/>
        </w:rPr>
        <w:t xml:space="preserve"> </w:t>
      </w:r>
      <w:r>
        <w:rPr>
          <w:rFonts w:ascii="Times New Roman;Times;serif" w:hAnsi="Times New Roman;Times;serif"/>
          <w:sz w:val="20"/>
        </w:rPr>
        <w:t>participant,</w:t>
      </w:r>
      <w:r>
        <w:rPr>
          <w:rFonts w:ascii="Times New Roman;Times;serif" w:hAnsi="Times New Roman;Times;serif"/>
          <w:spacing w:val="5"/>
          <w:sz w:val="20"/>
        </w:rPr>
        <w:t xml:space="preserve"> </w:t>
      </w:r>
      <w:r>
        <w:rPr>
          <w:rFonts w:ascii="Times New Roman;Times;serif" w:hAnsi="Times New Roman;Times;serif"/>
          <w:sz w:val="20"/>
        </w:rPr>
        <w:t>or</w:t>
      </w:r>
      <w:r>
        <w:rPr>
          <w:rFonts w:ascii="Times New Roman;Times;serif" w:hAnsi="Times New Roman;Times;serif"/>
          <w:spacing w:val="7"/>
          <w:sz w:val="20"/>
        </w:rPr>
        <w:t xml:space="preserve"> </w:t>
      </w:r>
      <w:r>
        <w:rPr>
          <w:rFonts w:ascii="Times New Roman;Times;serif" w:hAnsi="Times New Roman;Times;serif"/>
          <w:sz w:val="20"/>
        </w:rPr>
        <w:t>directly to</w:t>
      </w:r>
      <w:r>
        <w:rPr>
          <w:rFonts w:ascii="Times New Roman;Times;serif" w:hAnsi="Times New Roman;Times;serif"/>
          <w:spacing w:val="5"/>
          <w:sz w:val="20"/>
        </w:rPr>
        <w:t xml:space="preserve"> </w:t>
      </w:r>
      <w:r>
        <w:rPr>
          <w:rFonts w:ascii="Times New Roman;Times;serif" w:hAnsi="Times New Roman;Times;serif"/>
          <w:sz w:val="20"/>
        </w:rPr>
        <w:t>a</w:t>
      </w:r>
      <w:r>
        <w:rPr>
          <w:rFonts w:ascii="Times New Roman;Times;serif" w:hAnsi="Times New Roman;Times;serif"/>
          <w:spacing w:val="6"/>
          <w:sz w:val="20"/>
        </w:rPr>
        <w:t xml:space="preserve"> </w:t>
      </w:r>
      <w:r>
        <w:rPr>
          <w:rFonts w:ascii="Times New Roman;Times;serif" w:hAnsi="Times New Roman;Times;serif"/>
          <w:sz w:val="20"/>
        </w:rPr>
        <w:t>consumer</w:t>
      </w:r>
      <w:r>
        <w:rPr>
          <w:rFonts w:ascii="Times New Roman;Times;serif" w:hAnsi="Times New Roman;Times;serif"/>
          <w:spacing w:val="9"/>
          <w:sz w:val="20"/>
        </w:rPr>
        <w:t xml:space="preserve"> </w:t>
      </w:r>
      <w:r>
        <w:rPr>
          <w:rFonts w:ascii="Times New Roman;Times;serif" w:hAnsi="Times New Roman;Times;serif"/>
          <w:sz w:val="20"/>
        </w:rPr>
        <w:t>who</w:t>
      </w:r>
      <w:r>
        <w:rPr>
          <w:rFonts w:ascii="Times New Roman;Times;serif" w:hAnsi="Times New Roman;Times;serif"/>
          <w:spacing w:val="7"/>
          <w:sz w:val="20"/>
        </w:rPr>
        <w:t xml:space="preserve"> </w:t>
      </w:r>
      <w:r>
        <w:rPr>
          <w:rFonts w:ascii="Times New Roman;Times;serif" w:hAnsi="Times New Roman;Times;serif"/>
          <w:sz w:val="20"/>
        </w:rPr>
        <w:t>is</w:t>
      </w:r>
      <w:r>
        <w:rPr>
          <w:rFonts w:ascii="Times New Roman;Times;serif" w:hAnsi="Times New Roman;Times;serif"/>
          <w:spacing w:val="7"/>
          <w:sz w:val="20"/>
        </w:rPr>
        <w:t xml:space="preserve"> </w:t>
      </w:r>
      <w:r>
        <w:rPr>
          <w:rFonts w:ascii="Times New Roman;Times;serif" w:hAnsi="Times New Roman;Times;serif"/>
          <w:sz w:val="20"/>
        </w:rPr>
        <w:t>at</w:t>
      </w:r>
      <w:r>
        <w:rPr>
          <w:rFonts w:ascii="Times New Roman;Times;serif" w:hAnsi="Times New Roman;Times;serif"/>
          <w:spacing w:val="5"/>
          <w:sz w:val="20"/>
        </w:rPr>
        <w:t xml:space="preserve"> </w:t>
      </w:r>
      <w:r>
        <w:rPr>
          <w:rFonts w:ascii="Times New Roman;Times;serif" w:hAnsi="Times New Roman;Times;serif"/>
          <w:sz w:val="20"/>
        </w:rPr>
        <w:t>least</w:t>
      </w:r>
      <w:r>
        <w:rPr>
          <w:rFonts w:ascii="Times New Roman;Times;serif" w:hAnsi="Times New Roman;Times;serif"/>
          <w:spacing w:val="5"/>
          <w:sz w:val="20"/>
        </w:rPr>
        <w:t xml:space="preserve"> </w:t>
      </w:r>
      <w:r>
        <w:rPr>
          <w:rFonts w:ascii="Times New Roman;Times;serif" w:hAnsi="Times New Roman;Times;serif"/>
          <w:sz w:val="20"/>
        </w:rPr>
        <w:t>21</w:t>
      </w:r>
      <w:r>
        <w:rPr>
          <w:rFonts w:ascii="Times New Roman;Times;serif" w:hAnsi="Times New Roman;Times;serif"/>
          <w:spacing w:val="9"/>
          <w:sz w:val="20"/>
        </w:rPr>
        <w:t xml:space="preserve"> </w:t>
      </w:r>
      <w:r>
        <w:rPr>
          <w:rFonts w:ascii="Times New Roman;Times;serif" w:hAnsi="Times New Roman;Times;serif"/>
          <w:sz w:val="20"/>
        </w:rPr>
        <w:t>years of age.</w:t>
      </w:r>
      <w:r>
        <w:rPr>
          <w:rFonts w:ascii="Times New Roman;Times;serif" w:hAnsi="Times New Roman;Times;serif"/>
          <w:spacing w:val="5"/>
          <w:sz w:val="20"/>
        </w:rPr>
        <w:t xml:space="preserve"> </w:t>
      </w:r>
      <w:r>
        <w:rPr>
          <w:rFonts w:ascii="Times New Roman;Times;serif" w:hAnsi="Times New Roman;Times;serif"/>
          <w:sz w:val="20"/>
        </w:rPr>
        <w:t>Payment</w:t>
      </w:r>
      <w:r>
        <w:rPr>
          <w:rFonts w:ascii="Times New Roman;Times;serif" w:hAnsi="Times New Roman;Times;serif"/>
          <w:spacing w:val="7"/>
          <w:sz w:val="20"/>
        </w:rPr>
        <w:t xml:space="preserve"> </w:t>
      </w:r>
      <w:r>
        <w:rPr>
          <w:rFonts w:ascii="Times New Roman;Times;serif" w:hAnsi="Times New Roman;Times;serif"/>
          <w:sz w:val="20"/>
        </w:rPr>
        <w:t>for</w:t>
      </w:r>
      <w:r>
        <w:rPr>
          <w:rFonts w:ascii="Times New Roman;Times;serif" w:hAnsi="Times New Roman;Times;serif"/>
          <w:spacing w:val="7"/>
          <w:sz w:val="20"/>
        </w:rPr>
        <w:t xml:space="preserve"> </w:t>
      </w:r>
      <w:r>
        <w:rPr>
          <w:rFonts w:ascii="Times New Roman;Times;serif" w:hAnsi="Times New Roman;Times;serif"/>
          <w:sz w:val="20"/>
        </w:rPr>
        <w:t>cannabis</w:t>
      </w:r>
      <w:r>
        <w:rPr>
          <w:rFonts w:ascii="Times New Roman;Times;serif" w:hAnsi="Times New Roman;Times;serif"/>
          <w:spacing w:val="-1"/>
          <w:sz w:val="20"/>
        </w:rPr>
        <w:t xml:space="preserve"> </w:t>
      </w:r>
      <w:r>
        <w:rPr>
          <w:rFonts w:ascii="Times New Roman;Times;serif" w:hAnsi="Times New Roman;Times;serif"/>
          <w:sz w:val="20"/>
        </w:rPr>
        <w:t>and</w:t>
      </w:r>
      <w:r>
        <w:rPr>
          <w:rFonts w:ascii="Times New Roman;Times;serif" w:hAnsi="Times New Roman;Times;serif"/>
          <w:spacing w:val="13"/>
          <w:sz w:val="20"/>
        </w:rPr>
        <w:t xml:space="preserve"> </w:t>
      </w:r>
      <w:r>
        <w:rPr>
          <w:rFonts w:ascii="Times New Roman;Times;serif" w:hAnsi="Times New Roman;Times;serif"/>
          <w:sz w:val="20"/>
        </w:rPr>
        <w:t>cannabis</w:t>
      </w:r>
      <w:r>
        <w:rPr>
          <w:rFonts w:ascii="Times New Roman;Times;serif" w:hAnsi="Times New Roman;Times;serif"/>
          <w:spacing w:val="11"/>
          <w:sz w:val="20"/>
        </w:rPr>
        <w:t xml:space="preserve"> </w:t>
      </w:r>
      <w:r>
        <w:rPr>
          <w:rFonts w:ascii="Times New Roman;Times;serif" w:hAnsi="Times New Roman;Times;serif"/>
          <w:sz w:val="20"/>
        </w:rPr>
        <w:t>products</w:t>
      </w:r>
      <w:r>
        <w:rPr>
          <w:rFonts w:ascii="Times New Roman;Times;serif" w:hAnsi="Times New Roman;Times;serif"/>
          <w:spacing w:val="11"/>
          <w:sz w:val="20"/>
        </w:rPr>
        <w:t xml:space="preserve"> </w:t>
      </w:r>
      <w:r>
        <w:rPr>
          <w:rFonts w:ascii="Times New Roman;Times;serif" w:hAnsi="Times New Roman;Times;serif"/>
          <w:sz w:val="20"/>
        </w:rPr>
        <w:t>cannot</w:t>
      </w:r>
      <w:r>
        <w:rPr>
          <w:rFonts w:ascii="Times New Roman;Times;serif" w:hAnsi="Times New Roman;Times;serif"/>
          <w:spacing w:val="11"/>
          <w:sz w:val="20"/>
        </w:rPr>
        <w:t xml:space="preserve"> </w:t>
      </w:r>
      <w:r>
        <w:rPr>
          <w:rFonts w:ascii="Times New Roman;Times;serif" w:hAnsi="Times New Roman;Times;serif"/>
          <w:sz w:val="20"/>
        </w:rPr>
        <w:t>be</w:t>
      </w:r>
      <w:r>
        <w:rPr>
          <w:rFonts w:ascii="Times New Roman;Times;serif" w:hAnsi="Times New Roman;Times;serif"/>
          <w:spacing w:val="12"/>
          <w:sz w:val="20"/>
        </w:rPr>
        <w:t xml:space="preserve"> </w:t>
      </w:r>
      <w:r>
        <w:rPr>
          <w:rFonts w:ascii="Times New Roman;Times;serif" w:hAnsi="Times New Roman;Times;serif"/>
          <w:sz w:val="20"/>
        </w:rPr>
        <w:t>requested</w:t>
      </w:r>
      <w:r>
        <w:rPr>
          <w:rFonts w:ascii="Times New Roman;Times;serif" w:hAnsi="Times New Roman;Times;serif"/>
          <w:spacing w:val="13"/>
          <w:sz w:val="20"/>
        </w:rPr>
        <w:t xml:space="preserve"> </w:t>
      </w:r>
      <w:r>
        <w:rPr>
          <w:rFonts w:ascii="Times New Roman;Times;serif" w:hAnsi="Times New Roman;Times;serif"/>
          <w:sz w:val="20"/>
        </w:rPr>
        <w:t>or</w:t>
      </w:r>
      <w:r>
        <w:rPr>
          <w:rFonts w:ascii="Times New Roman;Times;serif" w:hAnsi="Times New Roman;Times;serif"/>
          <w:spacing w:val="13"/>
          <w:sz w:val="20"/>
        </w:rPr>
        <w:t xml:space="preserve"> </w:t>
      </w:r>
      <w:r>
        <w:rPr>
          <w:rFonts w:ascii="Times New Roman;Times;serif" w:hAnsi="Times New Roman;Times;serif"/>
          <w:sz w:val="20"/>
        </w:rPr>
        <w:t>received</w:t>
      </w:r>
      <w:r>
        <w:rPr>
          <w:rFonts w:ascii="Times New Roman;Times;serif" w:hAnsi="Times New Roman;Times;serif"/>
          <w:spacing w:val="13"/>
          <w:sz w:val="20"/>
        </w:rPr>
        <w:t xml:space="preserve"> </w:t>
      </w:r>
      <w:r>
        <w:rPr>
          <w:rFonts w:ascii="Times New Roman;Times;serif" w:hAnsi="Times New Roman;Times;serif"/>
          <w:sz w:val="20"/>
        </w:rPr>
        <w:t>by</w:t>
      </w:r>
      <w:r>
        <w:rPr>
          <w:rFonts w:ascii="Times New Roman;Times;serif" w:hAnsi="Times New Roman;Times;serif"/>
          <w:spacing w:val="11"/>
          <w:sz w:val="20"/>
        </w:rPr>
        <w:t xml:space="preserve"> </w:t>
      </w:r>
      <w:r>
        <w:rPr>
          <w:rFonts w:ascii="Times New Roman;Times;serif" w:hAnsi="Times New Roman;Times;serif"/>
          <w:sz w:val="20"/>
        </w:rPr>
        <w:t>a</w:t>
      </w:r>
      <w:r>
        <w:rPr>
          <w:rFonts w:ascii="Times New Roman;Times;serif" w:hAnsi="Times New Roman;Times;serif"/>
          <w:spacing w:val="11"/>
          <w:sz w:val="20"/>
        </w:rPr>
        <w:t xml:space="preserve"> </w:t>
      </w:r>
      <w:r>
        <w:rPr>
          <w:rFonts w:ascii="Times New Roman;Times;serif" w:hAnsi="Times New Roman;Times;serif"/>
          <w:sz w:val="20"/>
        </w:rPr>
        <w:t>cannabis</w:t>
      </w:r>
      <w:r>
        <w:rPr>
          <w:rFonts w:ascii="Times New Roman;Times;serif" w:hAnsi="Times New Roman;Times;serif"/>
          <w:spacing w:val="11"/>
          <w:sz w:val="20"/>
        </w:rPr>
        <w:t xml:space="preserve"> </w:t>
      </w:r>
      <w:r>
        <w:rPr>
          <w:rFonts w:ascii="Times New Roman;Times;serif" w:hAnsi="Times New Roman;Times;serif"/>
          <w:sz w:val="20"/>
        </w:rPr>
        <w:t>courier.</w:t>
      </w:r>
      <w:r>
        <w:rPr>
          <w:rFonts w:ascii="Times New Roman;Times;serif" w:hAnsi="Times New Roman;Times;serif"/>
          <w:spacing w:val="15"/>
          <w:sz w:val="20"/>
        </w:rPr>
        <w:t xml:space="preserve"> </w:t>
      </w:r>
      <w:r>
        <w:rPr>
          <w:rFonts w:ascii="Times New Roman;Times;serif" w:hAnsi="Times New Roman;Times;serif"/>
          <w:sz w:val="20"/>
        </w:rPr>
        <w:t>Licensees</w:t>
      </w:r>
      <w:r>
        <w:rPr>
          <w:rFonts w:ascii="Times New Roman;Times;serif" w:hAnsi="Times New Roman;Times;serif"/>
          <w:spacing w:val="13"/>
          <w:sz w:val="20"/>
        </w:rPr>
        <w:t xml:space="preserve"> </w:t>
      </w:r>
      <w:r>
        <w:rPr>
          <w:rFonts w:ascii="Times New Roman;Times;serif" w:hAnsi="Times New Roman;Times;serif"/>
          <w:sz w:val="20"/>
        </w:rPr>
        <w:t>may</w:t>
      </w:r>
      <w:r>
        <w:rPr>
          <w:rFonts w:ascii="Times New Roman;Times;serif" w:hAnsi="Times New Roman;Times;serif"/>
          <w:spacing w:val="11"/>
          <w:sz w:val="20"/>
        </w:rPr>
        <w:t xml:space="preserve"> </w:t>
      </w:r>
      <w:r>
        <w:rPr>
          <w:rFonts w:ascii="Times New Roman;Times;serif" w:hAnsi="Times New Roman;Times;serif"/>
          <w:sz w:val="20"/>
        </w:rPr>
        <w:t>only</w:t>
      </w:r>
      <w:r>
        <w:rPr>
          <w:rFonts w:ascii="Times New Roman;Times;serif" w:hAnsi="Times New Roman;Times;serif"/>
          <w:spacing w:val="11"/>
          <w:sz w:val="20"/>
        </w:rPr>
        <w:t xml:space="preserve"> </w:t>
      </w:r>
      <w:r>
        <w:rPr>
          <w:rFonts w:ascii="Times New Roman;Times;serif" w:hAnsi="Times New Roman;Times;serif"/>
          <w:sz w:val="20"/>
        </w:rPr>
        <w:t>deliver</w:t>
      </w:r>
      <w:r>
        <w:rPr>
          <w:rFonts w:ascii="Times New Roman;Times;serif" w:hAnsi="Times New Roman;Times;serif"/>
          <w:spacing w:val="13"/>
          <w:sz w:val="20"/>
        </w:rPr>
        <w:t xml:space="preserve"> </w:t>
      </w:r>
      <w:r>
        <w:rPr>
          <w:rFonts w:ascii="Times New Roman;Times;serif" w:hAnsi="Times New Roman;Times;serif"/>
          <w:sz w:val="20"/>
        </w:rPr>
        <w:t>cannabis</w:t>
      </w:r>
      <w:r>
        <w:rPr>
          <w:rFonts w:ascii="Times New Roman;Times;serif" w:hAnsi="Times New Roman;Times;serif"/>
          <w:spacing w:val="-1"/>
          <w:sz w:val="20"/>
        </w:rPr>
        <w:t xml:space="preserve"> </w:t>
      </w:r>
      <w:r>
        <w:rPr>
          <w:rFonts w:ascii="Times New Roman;Times;serif" w:hAnsi="Times New Roman;Times;serif"/>
          <w:sz w:val="20"/>
        </w:rPr>
        <w:t>products</w:t>
      </w:r>
      <w:r>
        <w:rPr>
          <w:rFonts w:ascii="Times New Roman;Times;serif" w:hAnsi="Times New Roman;Times;serif"/>
          <w:spacing w:val="-1"/>
          <w:sz w:val="20"/>
        </w:rPr>
        <w:t xml:space="preserve"> </w:t>
      </w:r>
      <w:r>
        <w:rPr>
          <w:rFonts w:ascii="Times New Roman;Times;serif" w:hAnsi="Times New Roman;Times;serif"/>
          <w:sz w:val="20"/>
        </w:rPr>
        <w:t>to the</w:t>
      </w:r>
      <w:r>
        <w:rPr>
          <w:rFonts w:ascii="Times New Roman;Times;serif" w:hAnsi="Times New Roman;Times;serif"/>
          <w:spacing w:val="-1"/>
          <w:sz w:val="20"/>
        </w:rPr>
        <w:t xml:space="preserve"> </w:t>
      </w:r>
      <w:r>
        <w:rPr>
          <w:rFonts w:ascii="Times New Roman;Times;serif" w:hAnsi="Times New Roman;Times;serif"/>
          <w:sz w:val="20"/>
        </w:rPr>
        <w:t>person who is</w:t>
      </w:r>
      <w:r>
        <w:rPr>
          <w:rFonts w:ascii="Times New Roman;Times;serif" w:hAnsi="Times New Roman;Times;serif"/>
          <w:spacing w:val="-1"/>
          <w:sz w:val="20"/>
        </w:rPr>
        <w:t xml:space="preserve"> </w:t>
      </w:r>
      <w:r>
        <w:rPr>
          <w:rFonts w:ascii="Times New Roman;Times;serif" w:hAnsi="Times New Roman;Times;serif"/>
          <w:sz w:val="20"/>
        </w:rPr>
        <w:t>identified by</w:t>
      </w:r>
      <w:r>
        <w:rPr>
          <w:rFonts w:ascii="Times New Roman;Times;serif" w:hAnsi="Times New Roman;Times;serif"/>
          <w:spacing w:val="-5"/>
          <w:sz w:val="20"/>
        </w:rPr>
        <w:t xml:space="preserve"> </w:t>
      </w:r>
      <w:r>
        <w:rPr>
          <w:rFonts w:ascii="Times New Roman;Times;serif" w:hAnsi="Times New Roman;Times;serif"/>
          <w:sz w:val="20"/>
        </w:rPr>
        <w:t>the</w:t>
      </w:r>
      <w:r>
        <w:rPr>
          <w:rFonts w:ascii="Times New Roman;Times;serif" w:hAnsi="Times New Roman;Times;serif"/>
          <w:spacing w:val="-1"/>
          <w:sz w:val="20"/>
        </w:rPr>
        <w:t xml:space="preserve"> </w:t>
      </w:r>
      <w:r>
        <w:rPr>
          <w:rFonts w:ascii="Times New Roman;Times;serif" w:hAnsi="Times New Roman;Times;serif"/>
          <w:sz w:val="20"/>
        </w:rPr>
        <w:t>retail</w:t>
      </w:r>
      <w:r>
        <w:rPr>
          <w:rFonts w:ascii="Times New Roman;Times;serif" w:hAnsi="Times New Roman;Times;serif"/>
          <w:spacing w:val="-1"/>
          <w:sz w:val="20"/>
        </w:rPr>
        <w:t xml:space="preserve"> </w:t>
      </w:r>
      <w:r>
        <w:rPr>
          <w:rFonts w:ascii="Times New Roman;Times;serif" w:hAnsi="Times New Roman;Times;serif"/>
          <w:sz w:val="20"/>
        </w:rPr>
        <w:t>cannabis</w:t>
      </w:r>
      <w:r>
        <w:rPr>
          <w:rFonts w:ascii="Times New Roman;Times;serif" w:hAnsi="Times New Roman;Times;serif"/>
          <w:spacing w:val="-1"/>
          <w:sz w:val="20"/>
        </w:rPr>
        <w:t xml:space="preserve"> </w:t>
      </w:r>
      <w:r>
        <w:rPr>
          <w:rFonts w:ascii="Times New Roman;Times;serif" w:hAnsi="Times New Roman;Times;serif"/>
          <w:sz w:val="20"/>
        </w:rPr>
        <w:t>licensee as</w:t>
      </w:r>
      <w:r>
        <w:rPr>
          <w:rFonts w:ascii="Times New Roman;Times;serif" w:hAnsi="Times New Roman;Times;serif"/>
          <w:spacing w:val="-1"/>
          <w:sz w:val="20"/>
        </w:rPr>
        <w:t xml:space="preserve"> </w:t>
      </w:r>
      <w:r>
        <w:rPr>
          <w:rFonts w:ascii="Times New Roman;Times;serif" w:hAnsi="Times New Roman;Times;serif"/>
          <w:sz w:val="20"/>
        </w:rPr>
        <w:t>an</w:t>
      </w:r>
      <w:r>
        <w:rPr>
          <w:rFonts w:ascii="Times New Roman;Times;serif" w:hAnsi="Times New Roman;Times;serif"/>
          <w:spacing w:val="-1"/>
          <w:sz w:val="20"/>
        </w:rPr>
        <w:t xml:space="preserve"> </w:t>
      </w:r>
      <w:r>
        <w:rPr>
          <w:rFonts w:ascii="Times New Roman;Times;serif" w:hAnsi="Times New Roman;Times;serif"/>
          <w:sz w:val="20"/>
        </w:rPr>
        <w:t>intended, authorized recipient.</w:t>
      </w:r>
    </w:p>
    <w:p>
      <w:pPr>
        <w:pStyle w:val="TextBody"/>
        <w:spacing w:before="0" w:after="240"/>
        <w:ind w:left="100" w:right="106" w:hanging="0"/>
        <w:jc w:val="both"/>
        <w:rPr>
          <w:rFonts w:ascii="Times New Roman;Times;serif" w:hAnsi="Times New Roman;Times;serif"/>
          <w:sz w:val="20"/>
        </w:rPr>
      </w:pPr>
      <w:r>
        <w:rPr>
          <w:rFonts w:ascii="Times New Roman;Times;serif" w:hAnsi="Times New Roman;Times;serif"/>
          <w:sz w:val="20"/>
        </w:rPr>
        <w:t>Licensees</w:t>
      </w:r>
      <w:r>
        <w:rPr>
          <w:rFonts w:ascii="Times New Roman;Times;serif" w:hAnsi="Times New Roman;Times;serif"/>
          <w:spacing w:val="23"/>
          <w:sz w:val="20"/>
        </w:rPr>
        <w:t xml:space="preserve"> </w:t>
      </w:r>
      <w:r>
        <w:rPr>
          <w:rFonts w:ascii="Times New Roman;Times;serif" w:hAnsi="Times New Roman;Times;serif"/>
          <w:sz w:val="20"/>
        </w:rPr>
        <w:t>must</w:t>
      </w:r>
      <w:r>
        <w:rPr>
          <w:rFonts w:ascii="Times New Roman;Times;serif" w:hAnsi="Times New Roman;Times;serif"/>
          <w:spacing w:val="21"/>
          <w:sz w:val="20"/>
        </w:rPr>
        <w:t xml:space="preserve"> </w:t>
      </w:r>
      <w:r>
        <w:rPr>
          <w:rFonts w:ascii="Times New Roman;Times;serif" w:hAnsi="Times New Roman;Times;serif"/>
          <w:sz w:val="20"/>
        </w:rPr>
        <w:t>obtain</w:t>
      </w:r>
      <w:r>
        <w:rPr>
          <w:rFonts w:ascii="Times New Roman;Times;serif" w:hAnsi="Times New Roman;Times;serif"/>
          <w:spacing w:val="23"/>
          <w:sz w:val="20"/>
        </w:rPr>
        <w:t xml:space="preserve"> </w:t>
      </w:r>
      <w:r>
        <w:rPr>
          <w:rFonts w:ascii="Times New Roman;Times;serif" w:hAnsi="Times New Roman;Times;serif"/>
          <w:sz w:val="20"/>
        </w:rPr>
        <w:t>cannabis</w:t>
      </w:r>
      <w:r>
        <w:rPr>
          <w:rFonts w:ascii="Times New Roman;Times;serif" w:hAnsi="Times New Roman;Times;serif"/>
          <w:spacing w:val="23"/>
          <w:sz w:val="20"/>
        </w:rPr>
        <w:t xml:space="preserve"> </w:t>
      </w:r>
      <w:r>
        <w:rPr>
          <w:rFonts w:ascii="Times New Roman;Times;serif" w:hAnsi="Times New Roman;Times;serif"/>
          <w:sz w:val="20"/>
        </w:rPr>
        <w:t>from</w:t>
      </w:r>
      <w:r>
        <w:rPr>
          <w:rFonts w:ascii="Times New Roman;Times;serif" w:hAnsi="Times New Roman;Times;serif"/>
          <w:spacing w:val="17"/>
          <w:sz w:val="20"/>
        </w:rPr>
        <w:t xml:space="preserve"> </w:t>
      </w:r>
      <w:r>
        <w:rPr>
          <w:rFonts w:ascii="Times New Roman;Times;serif" w:hAnsi="Times New Roman;Times;serif"/>
          <w:sz w:val="20"/>
        </w:rPr>
        <w:t>a</w:t>
      </w:r>
      <w:r>
        <w:rPr>
          <w:rFonts w:ascii="Times New Roman;Times;serif" w:hAnsi="Times New Roman;Times;serif"/>
          <w:spacing w:val="22"/>
          <w:sz w:val="20"/>
        </w:rPr>
        <w:t xml:space="preserve"> </w:t>
      </w:r>
      <w:r>
        <w:rPr>
          <w:rFonts w:ascii="Times New Roman;Times;serif" w:hAnsi="Times New Roman;Times;serif"/>
          <w:sz w:val="20"/>
        </w:rPr>
        <w:t>licensed</w:t>
      </w:r>
      <w:r>
        <w:rPr>
          <w:rFonts w:ascii="Times New Roman;Times;serif" w:hAnsi="Times New Roman;Times;serif"/>
          <w:spacing w:val="23"/>
          <w:sz w:val="20"/>
        </w:rPr>
        <w:t xml:space="preserve"> </w:t>
      </w:r>
      <w:r>
        <w:rPr>
          <w:rFonts w:ascii="Times New Roman;Times;serif" w:hAnsi="Times New Roman;Times;serif"/>
          <w:sz w:val="20"/>
        </w:rPr>
        <w:t>retailer</w:t>
      </w:r>
      <w:r>
        <w:rPr>
          <w:rFonts w:ascii="Times New Roman;Times;serif" w:hAnsi="Times New Roman;Times;serif"/>
          <w:spacing w:val="21"/>
          <w:sz w:val="20"/>
        </w:rPr>
        <w:t xml:space="preserve"> </w:t>
      </w:r>
      <w:r>
        <w:rPr>
          <w:rFonts w:ascii="Times New Roman;Times;serif" w:hAnsi="Times New Roman;Times;serif"/>
          <w:sz w:val="20"/>
        </w:rPr>
        <w:t>and</w:t>
      </w:r>
      <w:r>
        <w:rPr>
          <w:rFonts w:ascii="Times New Roman;Times;serif" w:hAnsi="Times New Roman;Times;serif"/>
          <w:spacing w:val="23"/>
          <w:sz w:val="20"/>
        </w:rPr>
        <w:t xml:space="preserve"> </w:t>
      </w:r>
      <w:r>
        <w:rPr>
          <w:rFonts w:ascii="Times New Roman;Times;serif" w:hAnsi="Times New Roman;Times;serif"/>
          <w:sz w:val="20"/>
        </w:rPr>
        <w:t>the</w:t>
      </w:r>
      <w:r>
        <w:rPr>
          <w:rFonts w:ascii="Times New Roman;Times;serif" w:hAnsi="Times New Roman;Times;serif"/>
          <w:spacing w:val="22"/>
          <w:sz w:val="20"/>
        </w:rPr>
        <w:t xml:space="preserve"> </w:t>
      </w:r>
      <w:r>
        <w:rPr>
          <w:rFonts w:ascii="Times New Roman;Times;serif" w:hAnsi="Times New Roman;Times;serif"/>
          <w:sz w:val="20"/>
        </w:rPr>
        <w:t>courier</w:t>
      </w:r>
      <w:r>
        <w:rPr>
          <w:rFonts w:ascii="Times New Roman;Times;serif" w:hAnsi="Times New Roman;Times;serif"/>
          <w:spacing w:val="24"/>
          <w:sz w:val="20"/>
        </w:rPr>
        <w:t xml:space="preserve"> </w:t>
      </w:r>
      <w:r>
        <w:rPr>
          <w:rFonts w:ascii="Times New Roman;Times;serif" w:hAnsi="Times New Roman;Times;serif"/>
          <w:sz w:val="20"/>
        </w:rPr>
        <w:t>must</w:t>
      </w:r>
      <w:r>
        <w:rPr>
          <w:rFonts w:ascii="Times New Roman;Times;serif" w:hAnsi="Times New Roman;Times;serif"/>
          <w:spacing w:val="23"/>
          <w:sz w:val="20"/>
        </w:rPr>
        <w:t xml:space="preserve"> </w:t>
      </w:r>
      <w:r>
        <w:rPr>
          <w:rFonts w:ascii="Times New Roman;Times;serif" w:hAnsi="Times New Roman;Times;serif"/>
          <w:sz w:val="20"/>
        </w:rPr>
        <w:t>be</w:t>
      </w:r>
      <w:r>
        <w:rPr>
          <w:rFonts w:ascii="Times New Roman;Times;serif" w:hAnsi="Times New Roman;Times;serif"/>
          <w:spacing w:val="22"/>
          <w:sz w:val="20"/>
        </w:rPr>
        <w:t xml:space="preserve"> </w:t>
      </w:r>
      <w:r>
        <w:rPr>
          <w:rFonts w:ascii="Times New Roman;Times;serif" w:hAnsi="Times New Roman;Times;serif"/>
          <w:sz w:val="20"/>
        </w:rPr>
        <w:t>employed</w:t>
      </w:r>
      <w:r>
        <w:rPr>
          <w:rFonts w:ascii="Times New Roman;Times;serif" w:hAnsi="Times New Roman;Times;serif"/>
          <w:spacing w:val="23"/>
          <w:sz w:val="20"/>
        </w:rPr>
        <w:t xml:space="preserve"> </w:t>
      </w:r>
      <w:r>
        <w:rPr>
          <w:rFonts w:ascii="Times New Roman;Times;serif" w:hAnsi="Times New Roman;Times;serif"/>
          <w:sz w:val="20"/>
        </w:rPr>
        <w:t>by</w:t>
      </w:r>
      <w:r>
        <w:rPr>
          <w:rFonts w:ascii="Times New Roman;Times;serif" w:hAnsi="Times New Roman;Times;serif"/>
          <w:spacing w:val="21"/>
          <w:sz w:val="20"/>
        </w:rPr>
        <w:t xml:space="preserve"> </w:t>
      </w:r>
      <w:r>
        <w:rPr>
          <w:rFonts w:ascii="Times New Roman;Times;serif" w:hAnsi="Times New Roman;Times;serif"/>
          <w:sz w:val="20"/>
        </w:rPr>
        <w:t>the</w:t>
      </w:r>
      <w:r>
        <w:rPr>
          <w:rFonts w:ascii="Times New Roman;Times;serif" w:hAnsi="Times New Roman;Times;serif"/>
          <w:spacing w:val="24"/>
          <w:sz w:val="20"/>
        </w:rPr>
        <w:t xml:space="preserve"> </w:t>
      </w:r>
      <w:r>
        <w:rPr>
          <w:rFonts w:ascii="Times New Roman;Times;serif" w:hAnsi="Times New Roman;Times;serif"/>
          <w:sz w:val="20"/>
        </w:rPr>
        <w:t>retailer</w:t>
      </w:r>
      <w:r>
        <w:rPr>
          <w:rFonts w:ascii="Times New Roman;Times;serif" w:hAnsi="Times New Roman;Times;serif"/>
          <w:spacing w:val="22"/>
          <w:sz w:val="20"/>
        </w:rPr>
        <w:t xml:space="preserve"> </w:t>
      </w:r>
      <w:r>
        <w:rPr>
          <w:rFonts w:ascii="Times New Roman;Times;serif" w:hAnsi="Times New Roman;Times;serif"/>
          <w:sz w:val="20"/>
        </w:rPr>
        <w:t>or</w:t>
      </w:r>
      <w:r>
        <w:rPr>
          <w:rFonts w:ascii="Times New Roman;Times;serif" w:hAnsi="Times New Roman;Times;serif"/>
          <w:spacing w:val="22"/>
          <w:sz w:val="20"/>
        </w:rPr>
        <w:t xml:space="preserve"> </w:t>
      </w:r>
      <w:r>
        <w:rPr>
          <w:rFonts w:ascii="Times New Roman;Times;serif" w:hAnsi="Times New Roman;Times;serif"/>
          <w:sz w:val="20"/>
        </w:rPr>
        <w:t>have established</w:t>
      </w:r>
      <w:r>
        <w:rPr>
          <w:rFonts w:ascii="Times New Roman;Times;serif" w:hAnsi="Times New Roman;Times;serif"/>
          <w:spacing w:val="10"/>
          <w:sz w:val="20"/>
        </w:rPr>
        <w:t xml:space="preserve"> </w:t>
      </w:r>
      <w:r>
        <w:rPr>
          <w:rFonts w:ascii="Times New Roman;Times;serif" w:hAnsi="Times New Roman;Times;serif"/>
          <w:sz w:val="20"/>
        </w:rPr>
        <w:t>a</w:t>
      </w:r>
      <w:r>
        <w:rPr>
          <w:rFonts w:ascii="Times New Roman;Times;serif" w:hAnsi="Times New Roman;Times;serif"/>
          <w:spacing w:val="11"/>
          <w:sz w:val="20"/>
        </w:rPr>
        <w:t xml:space="preserve"> </w:t>
      </w:r>
      <w:r>
        <w:rPr>
          <w:rFonts w:ascii="Times New Roman;Times;serif" w:hAnsi="Times New Roman;Times;serif"/>
          <w:sz w:val="20"/>
        </w:rPr>
        <w:t>delivery agreement.</w:t>
      </w:r>
      <w:r>
        <w:rPr>
          <w:rFonts w:ascii="Times New Roman;Times;serif" w:hAnsi="Times New Roman;Times;serif"/>
          <w:spacing w:val="12"/>
          <w:sz w:val="20"/>
        </w:rPr>
        <w:t xml:space="preserve"> </w:t>
      </w:r>
      <w:r>
        <w:rPr>
          <w:rFonts w:ascii="Times New Roman;Times;serif" w:hAnsi="Times New Roman;Times;serif"/>
          <w:sz w:val="20"/>
        </w:rPr>
        <w:t>Licensees</w:t>
      </w:r>
      <w:r>
        <w:rPr>
          <w:rFonts w:ascii="Times New Roman;Times;serif" w:hAnsi="Times New Roman;Times;serif"/>
          <w:spacing w:val="12"/>
          <w:sz w:val="20"/>
        </w:rPr>
        <w:t xml:space="preserve"> </w:t>
      </w:r>
      <w:r>
        <w:rPr>
          <w:rFonts w:ascii="Times New Roman;Times;serif" w:hAnsi="Times New Roman;Times;serif"/>
          <w:sz w:val="20"/>
        </w:rPr>
        <w:t>must</w:t>
      </w:r>
      <w:r>
        <w:rPr>
          <w:rFonts w:ascii="Times New Roman;Times;serif" w:hAnsi="Times New Roman;Times;serif"/>
          <w:spacing w:val="10"/>
          <w:sz w:val="20"/>
        </w:rPr>
        <w:t xml:space="preserve"> </w:t>
      </w:r>
      <w:r>
        <w:rPr>
          <w:rFonts w:ascii="Times New Roman;Times;serif" w:hAnsi="Times New Roman;Times;serif"/>
          <w:sz w:val="20"/>
        </w:rPr>
        <w:t>also</w:t>
      </w:r>
      <w:r>
        <w:rPr>
          <w:rFonts w:ascii="Times New Roman;Times;serif" w:hAnsi="Times New Roman;Times;serif"/>
          <w:spacing w:val="12"/>
          <w:sz w:val="20"/>
        </w:rPr>
        <w:t xml:space="preserve"> </w:t>
      </w:r>
      <w:r>
        <w:rPr>
          <w:rFonts w:ascii="Times New Roman;Times;serif" w:hAnsi="Times New Roman;Times;serif"/>
          <w:sz w:val="20"/>
        </w:rPr>
        <w:t>comply</w:t>
      </w:r>
      <w:r>
        <w:rPr>
          <w:rFonts w:ascii="Times New Roman;Times;serif" w:hAnsi="Times New Roman;Times;serif"/>
          <w:spacing w:val="8"/>
          <w:sz w:val="20"/>
        </w:rPr>
        <w:t xml:space="preserve"> </w:t>
      </w:r>
      <w:r>
        <w:rPr>
          <w:rFonts w:ascii="Times New Roman;Times;serif" w:hAnsi="Times New Roman;Times;serif"/>
          <w:sz w:val="20"/>
        </w:rPr>
        <w:t>with</w:t>
      </w:r>
      <w:r>
        <w:rPr>
          <w:rFonts w:ascii="Times New Roman;Times;serif" w:hAnsi="Times New Roman;Times;serif"/>
          <w:spacing w:val="10"/>
          <w:sz w:val="20"/>
        </w:rPr>
        <w:t xml:space="preserve"> </w:t>
      </w:r>
      <w:r>
        <w:rPr>
          <w:rFonts w:ascii="Times New Roman;Times;serif" w:hAnsi="Times New Roman;Times;serif"/>
          <w:sz w:val="20"/>
        </w:rPr>
        <w:t>any</w:t>
      </w:r>
      <w:r>
        <w:rPr>
          <w:rFonts w:ascii="Times New Roman;Times;serif" w:hAnsi="Times New Roman;Times;serif"/>
          <w:spacing w:val="8"/>
          <w:sz w:val="20"/>
        </w:rPr>
        <w:t xml:space="preserve"> </w:t>
      </w:r>
      <w:r>
        <w:rPr>
          <w:rFonts w:ascii="Times New Roman;Times;serif" w:hAnsi="Times New Roman;Times;serif"/>
          <w:sz w:val="20"/>
        </w:rPr>
        <w:t>local</w:t>
      </w:r>
      <w:r>
        <w:rPr>
          <w:rFonts w:ascii="Times New Roman;Times;serif" w:hAnsi="Times New Roman;Times;serif"/>
          <w:spacing w:val="11"/>
          <w:sz w:val="20"/>
        </w:rPr>
        <w:t xml:space="preserve"> </w:t>
      </w:r>
      <w:r>
        <w:rPr>
          <w:rFonts w:ascii="Times New Roman;Times;serif" w:hAnsi="Times New Roman;Times;serif"/>
          <w:sz w:val="20"/>
        </w:rPr>
        <w:t>laws</w:t>
      </w:r>
      <w:r>
        <w:rPr>
          <w:rFonts w:ascii="Times New Roman;Times;serif" w:hAnsi="Times New Roman;Times;serif"/>
          <w:spacing w:val="10"/>
          <w:sz w:val="20"/>
        </w:rPr>
        <w:t xml:space="preserve"> </w:t>
      </w:r>
      <w:r>
        <w:rPr>
          <w:rFonts w:ascii="Times New Roman;Times;serif" w:hAnsi="Times New Roman;Times;serif"/>
          <w:sz w:val="20"/>
        </w:rPr>
        <w:t>restricting</w:t>
      </w:r>
      <w:r>
        <w:rPr>
          <w:rFonts w:ascii="Times New Roman;Times;serif" w:hAnsi="Times New Roman;Times;serif"/>
          <w:spacing w:val="10"/>
          <w:sz w:val="20"/>
        </w:rPr>
        <w:t xml:space="preserve"> </w:t>
      </w:r>
      <w:r>
        <w:rPr>
          <w:rFonts w:ascii="Times New Roman;Times;serif" w:hAnsi="Times New Roman;Times;serif"/>
          <w:sz w:val="20"/>
        </w:rPr>
        <w:t>time</w:t>
      </w:r>
      <w:r>
        <w:rPr>
          <w:rFonts w:ascii="Times New Roman;Times;serif" w:hAnsi="Times New Roman;Times;serif"/>
          <w:spacing w:val="11"/>
          <w:sz w:val="20"/>
        </w:rPr>
        <w:t xml:space="preserve"> </w:t>
      </w:r>
      <w:r>
        <w:rPr>
          <w:rFonts w:ascii="Times New Roman;Times;serif" w:hAnsi="Times New Roman;Times;serif"/>
          <w:sz w:val="20"/>
        </w:rPr>
        <w:t>of</w:t>
      </w:r>
      <w:r>
        <w:rPr>
          <w:rFonts w:ascii="Times New Roman;Times;serif" w:hAnsi="Times New Roman;Times;serif"/>
          <w:spacing w:val="10"/>
          <w:sz w:val="20"/>
        </w:rPr>
        <w:t xml:space="preserve"> </w:t>
      </w:r>
      <w:r>
        <w:rPr>
          <w:rFonts w:ascii="Times New Roman;Times;serif" w:hAnsi="Times New Roman;Times;serif"/>
          <w:sz w:val="20"/>
        </w:rPr>
        <w:t>deliveries</w:t>
      </w:r>
      <w:r>
        <w:rPr>
          <w:rFonts w:ascii="Times New Roman;Times;serif" w:hAnsi="Times New Roman;Times;serif"/>
          <w:spacing w:val="10"/>
          <w:sz w:val="20"/>
        </w:rPr>
        <w:t xml:space="preserve"> </w:t>
      </w:r>
      <w:r>
        <w:rPr>
          <w:rFonts w:ascii="Times New Roman;Times;serif" w:hAnsi="Times New Roman;Times;serif"/>
          <w:sz w:val="20"/>
        </w:rPr>
        <w:t>and can only</w:t>
      </w:r>
      <w:r>
        <w:rPr>
          <w:rFonts w:ascii="Times New Roman;Times;serif" w:hAnsi="Times New Roman;Times;serif"/>
          <w:spacing w:val="-4"/>
          <w:sz w:val="20"/>
        </w:rPr>
        <w:t xml:space="preserve"> </w:t>
      </w:r>
      <w:r>
        <w:rPr>
          <w:rFonts w:ascii="Times New Roman;Times;serif" w:hAnsi="Times New Roman;Times;serif"/>
          <w:sz w:val="20"/>
        </w:rPr>
        <w:t>be delivered to a residential address.</w:t>
      </w:r>
    </w:p>
    <w:p>
      <w:pPr>
        <w:pStyle w:val="TextBody"/>
        <w:spacing w:before="0" w:after="240"/>
        <w:ind w:left="100" w:right="0" w:hanging="0"/>
        <w:jc w:val="both"/>
        <w:rPr>
          <w:rFonts w:ascii="Times New Roman;Times;serif" w:hAnsi="Times New Roman;Times;serif"/>
          <w:i/>
          <w:sz w:val="20"/>
        </w:rPr>
      </w:pPr>
      <w:r>
        <w:rPr>
          <w:rFonts w:ascii="Times New Roman;Times;serif" w:hAnsi="Times New Roman;Times;serif"/>
          <w:i/>
          <w:sz w:val="20"/>
        </w:rPr>
        <w:t>Reporting Requirements</w:t>
      </w:r>
    </w:p>
    <w:p>
      <w:pPr>
        <w:pStyle w:val="TextBody"/>
        <w:spacing w:before="0" w:after="240"/>
        <w:ind w:left="100" w:right="99" w:hanging="0"/>
        <w:jc w:val="both"/>
        <w:rPr>
          <w:rFonts w:ascii="Times New Roman;Times;serif" w:hAnsi="Times New Roman;Times;serif"/>
          <w:sz w:val="20"/>
        </w:rPr>
      </w:pPr>
      <w:r>
        <w:rPr>
          <w:rFonts w:ascii="Times New Roman;Times;serif" w:hAnsi="Times New Roman;Times;serif"/>
          <w:sz w:val="20"/>
        </w:rPr>
        <w:t>New</w:t>
      </w:r>
      <w:r>
        <w:rPr>
          <w:rFonts w:ascii="Times New Roman;Times;serif" w:hAnsi="Times New Roman;Times;serif"/>
          <w:spacing w:val="40"/>
          <w:sz w:val="20"/>
        </w:rPr>
        <w:t xml:space="preserve"> </w:t>
      </w:r>
      <w:r>
        <w:rPr>
          <w:rFonts w:ascii="Times New Roman;Times;serif" w:hAnsi="Times New Roman;Times;serif"/>
          <w:sz w:val="20"/>
        </w:rPr>
        <w:t>Mexico</w:t>
      </w:r>
      <w:r>
        <w:rPr>
          <w:rFonts w:ascii="Times New Roman;Times;serif" w:hAnsi="Times New Roman;Times;serif"/>
          <w:spacing w:val="40"/>
          <w:sz w:val="20"/>
        </w:rPr>
        <w:t xml:space="preserve"> </w:t>
      </w:r>
      <w:r>
        <w:rPr>
          <w:rFonts w:ascii="Times New Roman;Times;serif" w:hAnsi="Times New Roman;Times;serif"/>
          <w:sz w:val="20"/>
        </w:rPr>
        <w:t>uses</w:t>
      </w:r>
      <w:r>
        <w:rPr>
          <w:rFonts w:ascii="Times New Roman;Times;serif" w:hAnsi="Times New Roman;Times;serif"/>
          <w:spacing w:val="40"/>
          <w:sz w:val="20"/>
        </w:rPr>
        <w:t xml:space="preserve"> </w:t>
      </w:r>
      <w:r>
        <w:rPr>
          <w:rFonts w:ascii="Times New Roman;Times;serif" w:hAnsi="Times New Roman;Times;serif"/>
          <w:sz w:val="20"/>
        </w:rPr>
        <w:t>BioTrackTHC</w:t>
      </w:r>
      <w:r>
        <w:rPr>
          <w:rFonts w:ascii="Times New Roman;Times;serif" w:hAnsi="Times New Roman;Times;serif"/>
          <w:spacing w:val="40"/>
          <w:sz w:val="20"/>
        </w:rPr>
        <w:t xml:space="preserve"> </w:t>
      </w:r>
      <w:r>
        <w:rPr>
          <w:rFonts w:ascii="Times New Roman;Times;serif" w:hAnsi="Times New Roman;Times;serif"/>
          <w:sz w:val="20"/>
        </w:rPr>
        <w:t>(“BioTrack”)</w:t>
      </w:r>
      <w:r>
        <w:rPr>
          <w:rFonts w:ascii="Times New Roman;Times;serif" w:hAnsi="Times New Roman;Times;serif"/>
          <w:spacing w:val="40"/>
          <w:sz w:val="20"/>
        </w:rPr>
        <w:t xml:space="preserve"> </w:t>
      </w:r>
      <w:r>
        <w:rPr>
          <w:rFonts w:ascii="Times New Roman;Times;serif" w:hAnsi="Times New Roman;Times;serif"/>
          <w:sz w:val="20"/>
        </w:rPr>
        <w:t>as</w:t>
      </w:r>
      <w:r>
        <w:rPr>
          <w:rFonts w:ascii="Times New Roman;Times;serif" w:hAnsi="Times New Roman;Times;serif"/>
          <w:spacing w:val="40"/>
          <w:sz w:val="20"/>
        </w:rPr>
        <w:t xml:space="preserve"> </w:t>
      </w:r>
      <w:r>
        <w:rPr>
          <w:rFonts w:ascii="Times New Roman;Times;serif" w:hAnsi="Times New Roman;Times;serif"/>
          <w:sz w:val="20"/>
        </w:rPr>
        <w:t>the</w:t>
      </w:r>
      <w:r>
        <w:rPr>
          <w:rFonts w:ascii="Times New Roman;Times;serif" w:hAnsi="Times New Roman;Times;serif"/>
          <w:spacing w:val="40"/>
          <w:sz w:val="20"/>
        </w:rPr>
        <w:t xml:space="preserve"> </w:t>
      </w:r>
      <w:r>
        <w:rPr>
          <w:rFonts w:ascii="Times New Roman;Times;serif" w:hAnsi="Times New Roman;Times;serif"/>
          <w:sz w:val="20"/>
        </w:rPr>
        <w:t>state’s</w:t>
      </w:r>
      <w:r>
        <w:rPr>
          <w:rFonts w:ascii="Times New Roman;Times;serif" w:hAnsi="Times New Roman;Times;serif"/>
          <w:spacing w:val="40"/>
          <w:sz w:val="20"/>
        </w:rPr>
        <w:t xml:space="preserve"> </w:t>
      </w:r>
      <w:r>
        <w:rPr>
          <w:rFonts w:ascii="Times New Roman;Times;serif" w:hAnsi="Times New Roman;Times;serif"/>
          <w:sz w:val="20"/>
        </w:rPr>
        <w:t>track-and-trace</w:t>
      </w:r>
      <w:r>
        <w:rPr>
          <w:rFonts w:ascii="Times New Roman;Times;serif" w:hAnsi="Times New Roman;Times;serif"/>
          <w:spacing w:val="40"/>
          <w:sz w:val="20"/>
        </w:rPr>
        <w:t xml:space="preserve"> </w:t>
      </w:r>
      <w:r>
        <w:rPr>
          <w:rFonts w:ascii="Times New Roman;Times;serif" w:hAnsi="Times New Roman;Times;serif"/>
          <w:sz w:val="20"/>
        </w:rPr>
        <w:t>system</w:t>
      </w:r>
      <w:r>
        <w:rPr>
          <w:rFonts w:ascii="Times New Roman;Times;serif" w:hAnsi="Times New Roman;Times;serif"/>
          <w:spacing w:val="40"/>
          <w:sz w:val="20"/>
        </w:rPr>
        <w:t xml:space="preserve"> </w:t>
      </w:r>
      <w:r>
        <w:rPr>
          <w:rFonts w:ascii="Times New Roman;Times;serif" w:hAnsi="Times New Roman;Times;serif"/>
          <w:sz w:val="20"/>
        </w:rPr>
        <w:t>used</w:t>
      </w:r>
      <w:r>
        <w:rPr>
          <w:rFonts w:ascii="Times New Roman;Times;serif" w:hAnsi="Times New Roman;Times;serif"/>
          <w:spacing w:val="40"/>
          <w:sz w:val="20"/>
        </w:rPr>
        <w:t xml:space="preserve"> </w:t>
      </w:r>
      <w:r>
        <w:rPr>
          <w:rFonts w:ascii="Times New Roman;Times;serif" w:hAnsi="Times New Roman;Times;serif"/>
          <w:sz w:val="20"/>
        </w:rPr>
        <w:t>to</w:t>
      </w:r>
      <w:r>
        <w:rPr>
          <w:rFonts w:ascii="Times New Roman;Times;serif" w:hAnsi="Times New Roman;Times;serif"/>
          <w:spacing w:val="40"/>
          <w:sz w:val="20"/>
        </w:rPr>
        <w:t xml:space="preserve"> </w:t>
      </w:r>
      <w:r>
        <w:rPr>
          <w:rFonts w:ascii="Times New Roman;Times;serif" w:hAnsi="Times New Roman;Times;serif"/>
          <w:sz w:val="20"/>
        </w:rPr>
        <w:t>track</w:t>
      </w:r>
      <w:r>
        <w:rPr>
          <w:rFonts w:ascii="Times New Roman;Times;serif" w:hAnsi="Times New Roman;Times;serif"/>
          <w:spacing w:val="40"/>
          <w:sz w:val="20"/>
        </w:rPr>
        <w:t xml:space="preserve"> </w:t>
      </w:r>
      <w:r>
        <w:rPr>
          <w:rFonts w:ascii="Times New Roman;Times;serif" w:hAnsi="Times New Roman;Times;serif"/>
          <w:sz w:val="20"/>
        </w:rPr>
        <w:t>commercial cannabis activity and</w:t>
      </w:r>
      <w:r>
        <w:rPr>
          <w:rFonts w:ascii="Times New Roman;Times;serif" w:hAnsi="Times New Roman;Times;serif"/>
          <w:spacing w:val="8"/>
          <w:sz w:val="20"/>
        </w:rPr>
        <w:t xml:space="preserve"> </w:t>
      </w:r>
      <w:r>
        <w:rPr>
          <w:rFonts w:ascii="Times New Roman;Times;serif" w:hAnsi="Times New Roman;Times;serif"/>
          <w:sz w:val="20"/>
        </w:rPr>
        <w:t>movement across</w:t>
      </w:r>
      <w:r>
        <w:rPr>
          <w:rFonts w:ascii="Times New Roman;Times;serif" w:hAnsi="Times New Roman;Times;serif"/>
          <w:spacing w:val="6"/>
          <w:sz w:val="20"/>
        </w:rPr>
        <w:t xml:space="preserve"> </w:t>
      </w:r>
      <w:r>
        <w:rPr>
          <w:rFonts w:ascii="Times New Roman;Times;serif" w:hAnsi="Times New Roman;Times;serif"/>
          <w:sz w:val="20"/>
        </w:rPr>
        <w:t>the distribution chain for</w:t>
      </w:r>
      <w:r>
        <w:rPr>
          <w:rFonts w:ascii="Times New Roman;Times;serif" w:hAnsi="Times New Roman;Times;serif"/>
          <w:spacing w:val="8"/>
          <w:sz w:val="20"/>
        </w:rPr>
        <w:t xml:space="preserve"> </w:t>
      </w:r>
      <w:r>
        <w:rPr>
          <w:rFonts w:ascii="Times New Roman;Times;serif" w:hAnsi="Times New Roman;Times;serif"/>
          <w:sz w:val="20"/>
        </w:rPr>
        <w:t>all</w:t>
      </w:r>
      <w:r>
        <w:rPr>
          <w:rFonts w:ascii="Times New Roman;Times;serif" w:hAnsi="Times New Roman;Times;serif"/>
          <w:spacing w:val="6"/>
          <w:sz w:val="20"/>
        </w:rPr>
        <w:t xml:space="preserve"> </w:t>
      </w:r>
      <w:r>
        <w:rPr>
          <w:rFonts w:ascii="Times New Roman;Times;serif" w:hAnsi="Times New Roman;Times;serif"/>
          <w:sz w:val="20"/>
        </w:rPr>
        <w:t>sate-issued</w:t>
      </w:r>
      <w:r>
        <w:rPr>
          <w:rFonts w:ascii="Times New Roman;Times;serif" w:hAnsi="Times New Roman;Times;serif"/>
          <w:spacing w:val="6"/>
          <w:sz w:val="20"/>
        </w:rPr>
        <w:t xml:space="preserve"> </w:t>
      </w:r>
      <w:r>
        <w:rPr>
          <w:rFonts w:ascii="Times New Roman;Times;serif" w:hAnsi="Times New Roman;Times;serif"/>
          <w:sz w:val="20"/>
        </w:rPr>
        <w:t>annual</w:t>
      </w:r>
      <w:r>
        <w:rPr>
          <w:rFonts w:ascii="Times New Roman;Times;serif" w:hAnsi="Times New Roman;Times;serif"/>
          <w:spacing w:val="8"/>
          <w:sz w:val="20"/>
        </w:rPr>
        <w:t xml:space="preserve"> </w:t>
      </w:r>
      <w:r>
        <w:rPr>
          <w:rFonts w:ascii="Times New Roman;Times;serif" w:hAnsi="Times New Roman;Times;serif"/>
          <w:sz w:val="20"/>
        </w:rPr>
        <w:t>licensees.</w:t>
      </w:r>
      <w:r>
        <w:rPr>
          <w:rFonts w:ascii="Times New Roman;Times;serif" w:hAnsi="Times New Roman;Times;serif"/>
          <w:spacing w:val="6"/>
          <w:sz w:val="20"/>
        </w:rPr>
        <w:t xml:space="preserve"> </w:t>
      </w:r>
      <w:r>
        <w:rPr>
          <w:rFonts w:ascii="Times New Roman;Times;serif" w:hAnsi="Times New Roman;Times;serif"/>
          <w:sz w:val="20"/>
        </w:rPr>
        <w:t>The system allows for</w:t>
      </w:r>
      <w:r>
        <w:rPr>
          <w:rFonts w:ascii="Times New Roman;Times;serif" w:hAnsi="Times New Roman;Times;serif"/>
          <w:spacing w:val="51"/>
          <w:sz w:val="20"/>
        </w:rPr>
        <w:t xml:space="preserve"> </w:t>
      </w:r>
      <w:r>
        <w:rPr>
          <w:rFonts w:ascii="Times New Roman;Times;serif" w:hAnsi="Times New Roman;Times;serif"/>
          <w:sz w:val="20"/>
        </w:rPr>
        <w:t>other</w:t>
      </w:r>
      <w:r>
        <w:rPr>
          <w:rFonts w:ascii="Times New Roman;Times;serif" w:hAnsi="Times New Roman;Times;serif"/>
          <w:spacing w:val="53"/>
          <w:sz w:val="20"/>
        </w:rPr>
        <w:t xml:space="preserve"> </w:t>
      </w:r>
      <w:r>
        <w:rPr>
          <w:rFonts w:ascii="Times New Roman;Times;serif" w:hAnsi="Times New Roman;Times;serif"/>
          <w:sz w:val="20"/>
        </w:rPr>
        <w:t>third-party</w:t>
      </w:r>
      <w:r>
        <w:rPr>
          <w:rFonts w:ascii="Times New Roman;Times;serif" w:hAnsi="Times New Roman;Times;serif"/>
          <w:spacing w:val="40"/>
          <w:sz w:val="20"/>
        </w:rPr>
        <w:t xml:space="preserve"> </w:t>
      </w:r>
      <w:r>
        <w:rPr>
          <w:rFonts w:ascii="Times New Roman;Times;serif" w:hAnsi="Times New Roman;Times;serif"/>
          <w:sz w:val="20"/>
        </w:rPr>
        <w:t>system</w:t>
      </w:r>
      <w:r>
        <w:rPr>
          <w:rFonts w:ascii="Times New Roman;Times;serif" w:hAnsi="Times New Roman;Times;serif"/>
          <w:spacing w:val="50"/>
          <w:sz w:val="20"/>
        </w:rPr>
        <w:t xml:space="preserve"> </w:t>
      </w:r>
      <w:r>
        <w:rPr>
          <w:rFonts w:ascii="Times New Roman;Times;serif" w:hAnsi="Times New Roman;Times;serif"/>
          <w:sz w:val="20"/>
        </w:rPr>
        <w:t>integration</w:t>
      </w:r>
      <w:r>
        <w:rPr>
          <w:rFonts w:ascii="Times New Roman;Times;serif" w:hAnsi="Times New Roman;Times;serif"/>
          <w:spacing w:val="50"/>
          <w:sz w:val="20"/>
        </w:rPr>
        <w:t xml:space="preserve"> </w:t>
      </w:r>
      <w:r>
        <w:rPr>
          <w:rFonts w:ascii="Times New Roman;Times;serif" w:hAnsi="Times New Roman;Times;serif"/>
          <w:sz w:val="20"/>
        </w:rPr>
        <w:t>via</w:t>
      </w:r>
      <w:r>
        <w:rPr>
          <w:rFonts w:ascii="Times New Roman;Times;serif" w:hAnsi="Times New Roman;Times;serif"/>
          <w:spacing w:val="52"/>
          <w:sz w:val="20"/>
        </w:rPr>
        <w:t xml:space="preserve"> </w:t>
      </w:r>
      <w:r>
        <w:rPr>
          <w:rFonts w:ascii="Times New Roman;Times;serif" w:hAnsi="Times New Roman;Times;serif"/>
          <w:sz w:val="20"/>
        </w:rPr>
        <w:t>application</w:t>
      </w:r>
      <w:r>
        <w:rPr>
          <w:rFonts w:ascii="Times New Roman;Times;serif" w:hAnsi="Times New Roman;Times;serif"/>
          <w:spacing w:val="50"/>
          <w:sz w:val="20"/>
        </w:rPr>
        <w:t xml:space="preserve"> </w:t>
      </w:r>
      <w:r>
        <w:rPr>
          <w:rFonts w:ascii="Times New Roman;Times;serif" w:hAnsi="Times New Roman;Times;serif"/>
          <w:sz w:val="20"/>
        </w:rPr>
        <w:t>programming</w:t>
      </w:r>
      <w:r>
        <w:rPr>
          <w:rFonts w:ascii="Times New Roman;Times;serif" w:hAnsi="Times New Roman;Times;serif"/>
          <w:spacing w:val="50"/>
          <w:sz w:val="20"/>
        </w:rPr>
        <w:t xml:space="preserve"> </w:t>
      </w:r>
      <w:r>
        <w:rPr>
          <w:rFonts w:ascii="Times New Roman;Times;serif" w:hAnsi="Times New Roman;Times;serif"/>
          <w:sz w:val="20"/>
        </w:rPr>
        <w:t>interface.</w:t>
      </w:r>
      <w:r>
        <w:rPr>
          <w:rFonts w:ascii="Times New Roman;Times;serif" w:hAnsi="Times New Roman;Times;serif"/>
          <w:spacing w:val="52"/>
          <w:sz w:val="20"/>
        </w:rPr>
        <w:t xml:space="preserve"> </w:t>
      </w:r>
      <w:r>
        <w:rPr>
          <w:rFonts w:ascii="Times New Roman;Times;serif" w:hAnsi="Times New Roman;Times;serif"/>
          <w:sz w:val="20"/>
        </w:rPr>
        <w:t>Only</w:t>
      </w:r>
      <w:r>
        <w:rPr>
          <w:rFonts w:ascii="Times New Roman;Times;serif" w:hAnsi="Times New Roman;Times;serif"/>
          <w:spacing w:val="50"/>
          <w:sz w:val="20"/>
        </w:rPr>
        <w:t xml:space="preserve"> </w:t>
      </w:r>
      <w:r>
        <w:rPr>
          <w:rFonts w:ascii="Times New Roman;Times;serif" w:hAnsi="Times New Roman;Times;serif"/>
          <w:sz w:val="20"/>
        </w:rPr>
        <w:t>licensees</w:t>
      </w:r>
      <w:r>
        <w:rPr>
          <w:rFonts w:ascii="Times New Roman;Times;serif" w:hAnsi="Times New Roman;Times;serif"/>
          <w:spacing w:val="50"/>
          <w:sz w:val="20"/>
        </w:rPr>
        <w:t xml:space="preserve"> </w:t>
      </w:r>
      <w:r>
        <w:rPr>
          <w:rFonts w:ascii="Times New Roman;Times;serif" w:hAnsi="Times New Roman;Times;serif"/>
          <w:sz w:val="20"/>
        </w:rPr>
        <w:t>have</w:t>
      </w:r>
      <w:r>
        <w:rPr>
          <w:rFonts w:ascii="Times New Roman;Times;serif" w:hAnsi="Times New Roman;Times;serif"/>
          <w:spacing w:val="51"/>
          <w:sz w:val="20"/>
        </w:rPr>
        <w:t xml:space="preserve"> </w:t>
      </w:r>
      <w:r>
        <w:rPr>
          <w:rFonts w:ascii="Times New Roman;Times;serif" w:hAnsi="Times New Roman;Times;serif"/>
          <w:sz w:val="20"/>
        </w:rPr>
        <w:t>access</w:t>
      </w:r>
      <w:r>
        <w:rPr>
          <w:rFonts w:ascii="Times New Roman;Times;serif" w:hAnsi="Times New Roman;Times;serif"/>
          <w:spacing w:val="50"/>
          <w:sz w:val="20"/>
        </w:rPr>
        <w:t xml:space="preserve"> </w:t>
      </w:r>
      <w:r>
        <w:rPr>
          <w:rFonts w:ascii="Times New Roman;Times;serif" w:hAnsi="Times New Roman;Times;serif"/>
          <w:sz w:val="20"/>
        </w:rPr>
        <w:t>to BioTrack.</w:t>
      </w:r>
    </w:p>
    <w:p>
      <w:pPr>
        <w:pStyle w:val="TextBody"/>
        <w:spacing w:before="0" w:after="240"/>
        <w:ind w:left="100" w:right="0" w:hanging="0"/>
        <w:jc w:val="both"/>
        <w:rPr>
          <w:rFonts w:ascii="Times New Roman;Times;serif" w:hAnsi="Times New Roman;Times;serif"/>
          <w:i/>
          <w:sz w:val="20"/>
        </w:rPr>
      </w:pPr>
      <w:r>
        <w:rPr>
          <w:rFonts w:ascii="Times New Roman;Times;serif" w:hAnsi="Times New Roman;Times;serif"/>
          <w:i/>
          <w:sz w:val="20"/>
        </w:rPr>
        <w:t>Storage, Transportation and Security Requirements</w:t>
      </w:r>
    </w:p>
    <w:p>
      <w:pPr>
        <w:pStyle w:val="TextBody"/>
        <w:spacing w:before="0" w:after="240"/>
        <w:ind w:left="100" w:right="106" w:hanging="0"/>
        <w:jc w:val="both"/>
        <w:rPr>
          <w:rFonts w:ascii="Times New Roman;Times;serif" w:hAnsi="Times New Roman;Times;serif"/>
          <w:sz w:val="20"/>
        </w:rPr>
      </w:pPr>
      <w:r>
        <w:rPr>
          <w:rFonts w:ascii="Times New Roman;Times;serif" w:hAnsi="Times New Roman;Times;serif"/>
          <w:sz w:val="20"/>
        </w:rPr>
        <w:t>To</w:t>
      </w:r>
      <w:r>
        <w:rPr>
          <w:rFonts w:ascii="Times New Roman;Times;serif" w:hAnsi="Times New Roman;Times;serif"/>
          <w:spacing w:val="40"/>
          <w:sz w:val="20"/>
        </w:rPr>
        <w:t xml:space="preserve"> </w:t>
      </w:r>
      <w:r>
        <w:rPr>
          <w:rFonts w:ascii="Times New Roman;Times;serif" w:hAnsi="Times New Roman;Times;serif"/>
          <w:sz w:val="20"/>
        </w:rPr>
        <w:t>ensure</w:t>
      </w:r>
      <w:r>
        <w:rPr>
          <w:rFonts w:ascii="Times New Roman;Times;serif" w:hAnsi="Times New Roman;Times;serif"/>
          <w:spacing w:val="40"/>
          <w:sz w:val="20"/>
        </w:rPr>
        <w:t xml:space="preserve"> </w:t>
      </w:r>
      <w:r>
        <w:rPr>
          <w:rFonts w:ascii="Times New Roman;Times;serif" w:hAnsi="Times New Roman;Times;serif"/>
          <w:sz w:val="20"/>
        </w:rPr>
        <w:t>the</w:t>
      </w:r>
      <w:r>
        <w:rPr>
          <w:rFonts w:ascii="Times New Roman;Times;serif" w:hAnsi="Times New Roman;Times;serif"/>
          <w:spacing w:val="40"/>
          <w:sz w:val="20"/>
        </w:rPr>
        <w:t xml:space="preserve"> </w:t>
      </w:r>
      <w:r>
        <w:rPr>
          <w:rFonts w:ascii="Times New Roman;Times;serif" w:hAnsi="Times New Roman;Times;serif"/>
          <w:sz w:val="20"/>
        </w:rPr>
        <w:t>safety</w:t>
      </w:r>
      <w:r>
        <w:rPr>
          <w:rFonts w:ascii="Times New Roman;Times;serif" w:hAnsi="Times New Roman;Times;serif"/>
          <w:spacing w:val="40"/>
          <w:sz w:val="20"/>
        </w:rPr>
        <w:t xml:space="preserve"> </w:t>
      </w:r>
      <w:r>
        <w:rPr>
          <w:rFonts w:ascii="Times New Roman;Times;serif" w:hAnsi="Times New Roman;Times;serif"/>
          <w:sz w:val="20"/>
        </w:rPr>
        <w:t>and</w:t>
      </w:r>
      <w:r>
        <w:rPr>
          <w:rFonts w:ascii="Times New Roman;Times;serif" w:hAnsi="Times New Roman;Times;serif"/>
          <w:spacing w:val="40"/>
          <w:sz w:val="20"/>
        </w:rPr>
        <w:t xml:space="preserve"> </w:t>
      </w:r>
      <w:r>
        <w:rPr>
          <w:rFonts w:ascii="Times New Roman;Times;serif" w:hAnsi="Times New Roman;Times;serif"/>
          <w:sz w:val="20"/>
        </w:rPr>
        <w:t>security</w:t>
      </w:r>
      <w:r>
        <w:rPr>
          <w:rFonts w:ascii="Times New Roman;Times;serif" w:hAnsi="Times New Roman;Times;serif"/>
          <w:spacing w:val="38"/>
          <w:sz w:val="20"/>
        </w:rPr>
        <w:t xml:space="preserve"> </w:t>
      </w:r>
      <w:r>
        <w:rPr>
          <w:rFonts w:ascii="Times New Roman;Times;serif" w:hAnsi="Times New Roman;Times;serif"/>
          <w:sz w:val="20"/>
        </w:rPr>
        <w:t>of</w:t>
      </w:r>
      <w:r>
        <w:rPr>
          <w:rFonts w:ascii="Times New Roman;Times;serif" w:hAnsi="Times New Roman;Times;serif"/>
          <w:spacing w:val="39"/>
          <w:sz w:val="20"/>
        </w:rPr>
        <w:t xml:space="preserve"> </w:t>
      </w:r>
      <w:r>
        <w:rPr>
          <w:rFonts w:ascii="Times New Roman;Times;serif" w:hAnsi="Times New Roman;Times;serif"/>
          <w:sz w:val="20"/>
        </w:rPr>
        <w:t>cannabis</w:t>
      </w:r>
      <w:r>
        <w:rPr>
          <w:rFonts w:ascii="Times New Roman;Times;serif" w:hAnsi="Times New Roman;Times;serif"/>
          <w:spacing w:val="40"/>
          <w:sz w:val="20"/>
        </w:rPr>
        <w:t xml:space="preserve"> </w:t>
      </w:r>
      <w:r>
        <w:rPr>
          <w:rFonts w:ascii="Times New Roman;Times;serif" w:hAnsi="Times New Roman;Times;serif"/>
          <w:sz w:val="20"/>
        </w:rPr>
        <w:t>business</w:t>
      </w:r>
      <w:r>
        <w:rPr>
          <w:rFonts w:ascii="Times New Roman;Times;serif" w:hAnsi="Times New Roman;Times;serif"/>
          <w:spacing w:val="40"/>
          <w:sz w:val="20"/>
        </w:rPr>
        <w:t xml:space="preserve"> </w:t>
      </w:r>
      <w:r>
        <w:rPr>
          <w:rFonts w:ascii="Times New Roman;Times;serif" w:hAnsi="Times New Roman;Times;serif"/>
          <w:sz w:val="20"/>
        </w:rPr>
        <w:t>premises</w:t>
      </w:r>
      <w:r>
        <w:rPr>
          <w:rFonts w:ascii="Times New Roman;Times;serif" w:hAnsi="Times New Roman;Times;serif"/>
          <w:spacing w:val="40"/>
          <w:sz w:val="20"/>
        </w:rPr>
        <w:t xml:space="preserve"> </w:t>
      </w:r>
      <w:r>
        <w:rPr>
          <w:rFonts w:ascii="Times New Roman;Times;serif" w:hAnsi="Times New Roman;Times;serif"/>
          <w:sz w:val="20"/>
        </w:rPr>
        <w:t>and</w:t>
      </w:r>
      <w:r>
        <w:rPr>
          <w:rFonts w:ascii="Times New Roman;Times;serif" w:hAnsi="Times New Roman;Times;serif"/>
          <w:spacing w:val="40"/>
          <w:sz w:val="20"/>
        </w:rPr>
        <w:t xml:space="preserve"> </w:t>
      </w:r>
      <w:r>
        <w:rPr>
          <w:rFonts w:ascii="Times New Roman;Times;serif" w:hAnsi="Times New Roman;Times;serif"/>
          <w:sz w:val="20"/>
        </w:rPr>
        <w:t>to</w:t>
      </w:r>
      <w:r>
        <w:rPr>
          <w:rFonts w:ascii="Times New Roman;Times;serif" w:hAnsi="Times New Roman;Times;serif"/>
          <w:spacing w:val="40"/>
          <w:sz w:val="20"/>
        </w:rPr>
        <w:t xml:space="preserve"> </w:t>
      </w:r>
      <w:r>
        <w:rPr>
          <w:rFonts w:ascii="Times New Roman;Times;serif" w:hAnsi="Times New Roman;Times;serif"/>
          <w:sz w:val="20"/>
        </w:rPr>
        <w:t>maintain</w:t>
      </w:r>
      <w:r>
        <w:rPr>
          <w:rFonts w:ascii="Times New Roman;Times;serif" w:hAnsi="Times New Roman;Times;serif"/>
          <w:spacing w:val="40"/>
          <w:sz w:val="20"/>
        </w:rPr>
        <w:t xml:space="preserve"> </w:t>
      </w:r>
      <w:r>
        <w:rPr>
          <w:rFonts w:ascii="Times New Roman;Times;serif" w:hAnsi="Times New Roman;Times;serif"/>
          <w:sz w:val="20"/>
        </w:rPr>
        <w:t>adequate</w:t>
      </w:r>
      <w:r>
        <w:rPr>
          <w:rFonts w:ascii="Times New Roman;Times;serif" w:hAnsi="Times New Roman;Times;serif"/>
          <w:spacing w:val="40"/>
          <w:sz w:val="20"/>
        </w:rPr>
        <w:t xml:space="preserve"> </w:t>
      </w:r>
      <w:r>
        <w:rPr>
          <w:rFonts w:ascii="Times New Roman;Times;serif" w:hAnsi="Times New Roman;Times;serif"/>
          <w:sz w:val="20"/>
        </w:rPr>
        <w:t>controls</w:t>
      </w:r>
      <w:r>
        <w:rPr>
          <w:rFonts w:ascii="Times New Roman;Times;serif" w:hAnsi="Times New Roman;Times;serif"/>
          <w:spacing w:val="40"/>
          <w:sz w:val="20"/>
        </w:rPr>
        <w:t xml:space="preserve"> </w:t>
      </w:r>
      <w:r>
        <w:rPr>
          <w:rFonts w:ascii="Times New Roman;Times;serif" w:hAnsi="Times New Roman;Times;serif"/>
          <w:sz w:val="20"/>
        </w:rPr>
        <w:t>against</w:t>
      </w:r>
      <w:r>
        <w:rPr>
          <w:rFonts w:ascii="Times New Roman;Times;serif" w:hAnsi="Times New Roman;Times;serif"/>
          <w:spacing w:val="40"/>
          <w:sz w:val="20"/>
        </w:rPr>
        <w:t xml:space="preserve"> </w:t>
      </w:r>
      <w:r>
        <w:rPr>
          <w:rFonts w:ascii="Times New Roman;Times;serif" w:hAnsi="Times New Roman;Times;serif"/>
          <w:sz w:val="20"/>
        </w:rPr>
        <w:t>the diversion, theft and loss of cannabis or cannabis products, the CCD requires licensed businesses to do the following:</w:t>
      </w:r>
    </w:p>
    <w:tbl>
      <w:tblPr>
        <w:tblW w:w="6936" w:type="dxa"/>
        <w:jc w:val="left"/>
        <w:tblInd w:w="0" w:type="dxa"/>
        <w:tblCellMar>
          <w:top w:w="28" w:type="dxa"/>
          <w:left w:w="28" w:type="dxa"/>
          <w:bottom w:w="28" w:type="dxa"/>
          <w:right w:w="28" w:type="dxa"/>
        </w:tblCellMar>
      </w:tblPr>
      <w:tblGrid>
        <w:gridCol w:w="124"/>
        <w:gridCol w:w="256"/>
        <w:gridCol w:w="65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5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a video surveillance system that records continuously 24 hours a day;</w:t>
            </w:r>
          </w:p>
        </w:tc>
      </w:tr>
    </w:tbl>
    <w:tbl>
      <w:tblPr>
        <w:tblW w:w="4641" w:type="dxa"/>
        <w:jc w:val="left"/>
        <w:tblInd w:w="0" w:type="dxa"/>
        <w:tblCellMar>
          <w:top w:w="28" w:type="dxa"/>
          <w:left w:w="28" w:type="dxa"/>
          <w:bottom w:w="28" w:type="dxa"/>
          <w:right w:w="28" w:type="dxa"/>
        </w:tblCellMar>
      </w:tblPr>
      <w:tblGrid>
        <w:gridCol w:w="124"/>
        <w:gridCol w:w="256"/>
        <w:gridCol w:w="42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2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a fully operational security alarm system;</w:t>
            </w:r>
          </w:p>
        </w:tc>
      </w:tr>
    </w:tbl>
    <w:tbl>
      <w:tblPr>
        <w:tblW w:w="5931" w:type="dxa"/>
        <w:jc w:val="left"/>
        <w:tblInd w:w="0" w:type="dxa"/>
        <w:tblCellMar>
          <w:top w:w="28" w:type="dxa"/>
          <w:left w:w="28" w:type="dxa"/>
          <w:bottom w:w="28" w:type="dxa"/>
          <w:right w:w="28" w:type="dxa"/>
        </w:tblCellMar>
      </w:tblPr>
      <w:tblGrid>
        <w:gridCol w:w="124"/>
        <w:gridCol w:w="256"/>
        <w:gridCol w:w="55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5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ensure that the facility’s outdoor premises have sufficient lighting;</w:t>
            </w:r>
          </w:p>
        </w:tc>
      </w:tr>
    </w:tbl>
    <w:tbl>
      <w:tblPr>
        <w:tblW w:w="6381" w:type="dxa"/>
        <w:jc w:val="left"/>
        <w:tblInd w:w="0" w:type="dxa"/>
        <w:tblCellMar>
          <w:top w:w="28" w:type="dxa"/>
          <w:left w:w="28" w:type="dxa"/>
          <w:bottom w:w="28" w:type="dxa"/>
          <w:right w:w="28" w:type="dxa"/>
        </w:tblCellMar>
      </w:tblPr>
      <w:tblGrid>
        <w:gridCol w:w="124"/>
        <w:gridCol w:w="256"/>
        <w:gridCol w:w="60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0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dispense from its premises outside of permissible hours of operation;</w:t>
            </w:r>
          </w:p>
        </w:tc>
      </w:tr>
    </w:tbl>
    <w:tbl>
      <w:tblPr>
        <w:tblW w:w="6786" w:type="dxa"/>
        <w:jc w:val="left"/>
        <w:tblInd w:w="0" w:type="dxa"/>
        <w:tblCellMar>
          <w:top w:w="28" w:type="dxa"/>
          <w:left w:w="28" w:type="dxa"/>
          <w:bottom w:w="28" w:type="dxa"/>
          <w:right w:w="28" w:type="dxa"/>
        </w:tblCellMar>
      </w:tblPr>
      <w:tblGrid>
        <w:gridCol w:w="124"/>
        <w:gridCol w:w="256"/>
        <w:gridCol w:w="64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4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store all cannabis and cannabis products in a secured, locked room or a vault;</w:t>
            </w:r>
          </w:p>
        </w:tc>
      </w:tr>
    </w:tbl>
    <w:tbl>
      <w:tblPr>
        <w:tblW w:w="10205" w:type="dxa"/>
        <w:jc w:val="left"/>
        <w:tblInd w:w="0" w:type="dxa"/>
        <w:tblCellMar>
          <w:top w:w="28" w:type="dxa"/>
          <w:left w:w="28" w:type="dxa"/>
          <w:bottom w:w="28" w:type="dxa"/>
          <w:right w:w="28" w:type="dxa"/>
        </w:tblCellMar>
      </w:tblPr>
      <w:tblGrid>
        <w:gridCol w:w="124"/>
        <w:gridCol w:w="256"/>
        <w:gridCol w:w="9671"/>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671"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report</w:t>
            </w:r>
            <w:r>
              <w:rPr>
                <w:caps w:val="false"/>
                <w:smallCaps w:val="false"/>
                <w:spacing w:val="18"/>
              </w:rPr>
              <w:t xml:space="preserve"> </w:t>
            </w:r>
            <w:r>
              <w:rPr>
                <w:rFonts w:ascii="Times New Roman;Times;serif" w:hAnsi="Times New Roman;Times;serif"/>
                <w:b w:val="false"/>
                <w:i w:val="false"/>
                <w:caps w:val="false"/>
                <w:smallCaps w:val="false"/>
                <w:sz w:val="20"/>
              </w:rPr>
              <w:t>to</w:t>
            </w:r>
            <w:r>
              <w:rPr>
                <w:caps w:val="false"/>
                <w:smallCaps w:val="false"/>
                <w:spacing w:val="22"/>
              </w:rPr>
              <w:t xml:space="preserve"> </w:t>
            </w:r>
            <w:r>
              <w:rPr>
                <w:rFonts w:ascii="Times New Roman;Times;serif" w:hAnsi="Times New Roman;Times;serif"/>
                <w:b w:val="false"/>
                <w:i w:val="false"/>
                <w:caps w:val="false"/>
                <w:smallCaps w:val="false"/>
                <w:sz w:val="20"/>
              </w:rPr>
              <w:t>local</w:t>
            </w:r>
            <w:r>
              <w:rPr>
                <w:caps w:val="false"/>
                <w:smallCaps w:val="false"/>
                <w:spacing w:val="22"/>
              </w:rPr>
              <w:t xml:space="preserve"> </w:t>
            </w:r>
            <w:r>
              <w:rPr>
                <w:rFonts w:ascii="Times New Roman;Times;serif" w:hAnsi="Times New Roman;Times;serif"/>
                <w:b w:val="false"/>
                <w:i w:val="false"/>
                <w:caps w:val="false"/>
                <w:smallCaps w:val="false"/>
                <w:sz w:val="20"/>
              </w:rPr>
              <w:t>law</w:t>
            </w:r>
            <w:r>
              <w:rPr>
                <w:caps w:val="false"/>
                <w:smallCaps w:val="false"/>
                <w:spacing w:val="17"/>
              </w:rPr>
              <w:t xml:space="preserve"> </w:t>
            </w:r>
            <w:r>
              <w:rPr>
                <w:rFonts w:ascii="Times New Roman;Times;serif" w:hAnsi="Times New Roman;Times;serif"/>
                <w:b w:val="false"/>
                <w:i w:val="false"/>
                <w:caps w:val="false"/>
                <w:smallCaps w:val="false"/>
                <w:sz w:val="20"/>
              </w:rPr>
              <w:t>enforcement</w:t>
            </w:r>
            <w:r>
              <w:rPr>
                <w:caps w:val="false"/>
                <w:smallCaps w:val="false"/>
                <w:spacing w:val="24"/>
              </w:rPr>
              <w:t xml:space="preserve"> </w:t>
            </w:r>
            <w:r>
              <w:rPr>
                <w:rFonts w:ascii="Times New Roman;Times;serif" w:hAnsi="Times New Roman;Times;serif"/>
                <w:b w:val="false"/>
                <w:i w:val="false"/>
                <w:caps w:val="false"/>
                <w:smallCaps w:val="false"/>
                <w:sz w:val="20"/>
              </w:rPr>
              <w:t>within</w:t>
            </w:r>
            <w:r>
              <w:rPr>
                <w:caps w:val="false"/>
                <w:smallCaps w:val="false"/>
                <w:spacing w:val="20"/>
              </w:rPr>
              <w:t xml:space="preserve"> </w:t>
            </w:r>
            <w:r>
              <w:rPr>
                <w:rFonts w:ascii="Times New Roman;Times;serif" w:hAnsi="Times New Roman;Times;serif"/>
                <w:b w:val="false"/>
                <w:i w:val="false"/>
                <w:caps w:val="false"/>
                <w:smallCaps w:val="false"/>
                <w:sz w:val="20"/>
              </w:rPr>
              <w:t>24</w:t>
            </w:r>
            <w:r>
              <w:rPr>
                <w:caps w:val="false"/>
                <w:smallCaps w:val="false"/>
                <w:spacing w:val="22"/>
              </w:rPr>
              <w:t xml:space="preserve"> </w:t>
            </w:r>
            <w:r>
              <w:rPr>
                <w:rFonts w:ascii="Times New Roman;Times;serif" w:hAnsi="Times New Roman;Times;serif"/>
                <w:b w:val="false"/>
                <w:i w:val="false"/>
                <w:caps w:val="false"/>
                <w:smallCaps w:val="false"/>
                <w:sz w:val="20"/>
              </w:rPr>
              <w:t>hours</w:t>
            </w:r>
            <w:r>
              <w:rPr>
                <w:caps w:val="false"/>
                <w:smallCaps w:val="false"/>
                <w:spacing w:val="20"/>
              </w:rPr>
              <w:t xml:space="preserve"> </w:t>
            </w:r>
            <w:r>
              <w:rPr>
                <w:rFonts w:ascii="Times New Roman;Times;serif" w:hAnsi="Times New Roman;Times;serif"/>
                <w:b w:val="false"/>
                <w:i w:val="false"/>
                <w:caps w:val="false"/>
                <w:smallCaps w:val="false"/>
                <w:sz w:val="20"/>
              </w:rPr>
              <w:t>after</w:t>
            </w:r>
            <w:r>
              <w:rPr>
                <w:caps w:val="false"/>
                <w:smallCaps w:val="false"/>
                <w:spacing w:val="22"/>
              </w:rPr>
              <w:t xml:space="preserve"> </w:t>
            </w:r>
            <w:r>
              <w:rPr>
                <w:rFonts w:ascii="Times New Roman;Times;serif" w:hAnsi="Times New Roman;Times;serif"/>
                <w:b w:val="false"/>
                <w:i w:val="false"/>
                <w:caps w:val="false"/>
                <w:smallCaps w:val="false"/>
                <w:sz w:val="20"/>
              </w:rPr>
              <w:t>being</w:t>
            </w:r>
            <w:r>
              <w:rPr>
                <w:caps w:val="false"/>
                <w:smallCaps w:val="false"/>
                <w:spacing w:val="22"/>
              </w:rPr>
              <w:t xml:space="preserve"> </w:t>
            </w:r>
            <w:r>
              <w:rPr>
                <w:rFonts w:ascii="Times New Roman;Times;serif" w:hAnsi="Times New Roman;Times;serif"/>
                <w:b w:val="false"/>
                <w:i w:val="false"/>
                <w:caps w:val="false"/>
                <w:smallCaps w:val="false"/>
                <w:sz w:val="20"/>
              </w:rPr>
              <w:t>notified</w:t>
            </w:r>
            <w:r>
              <w:rPr>
                <w:caps w:val="false"/>
                <w:smallCaps w:val="false"/>
                <w:spacing w:val="22"/>
              </w:rPr>
              <w:t xml:space="preserve"> </w:t>
            </w:r>
            <w:r>
              <w:rPr>
                <w:rFonts w:ascii="Times New Roman;Times;serif" w:hAnsi="Times New Roman;Times;serif"/>
                <w:b w:val="false"/>
                <w:i w:val="false"/>
                <w:caps w:val="false"/>
                <w:smallCaps w:val="false"/>
                <w:sz w:val="20"/>
              </w:rPr>
              <w:t>or</w:t>
            </w:r>
            <w:r>
              <w:rPr>
                <w:caps w:val="false"/>
                <w:smallCaps w:val="false"/>
                <w:spacing w:val="20"/>
              </w:rPr>
              <w:t xml:space="preserve"> </w:t>
            </w:r>
            <w:r>
              <w:rPr>
                <w:rFonts w:ascii="Times New Roman;Times;serif" w:hAnsi="Times New Roman;Times;serif"/>
                <w:b w:val="false"/>
                <w:i w:val="false"/>
                <w:caps w:val="false"/>
                <w:smallCaps w:val="false"/>
                <w:sz w:val="20"/>
              </w:rPr>
              <w:t>becoming</w:t>
            </w:r>
            <w:r>
              <w:rPr>
                <w:caps w:val="false"/>
                <w:smallCaps w:val="false"/>
                <w:spacing w:val="20"/>
              </w:rPr>
              <w:t xml:space="preserve"> </w:t>
            </w:r>
            <w:r>
              <w:rPr>
                <w:rFonts w:ascii="Times New Roman;Times;serif" w:hAnsi="Times New Roman;Times;serif"/>
                <w:b w:val="false"/>
                <w:i w:val="false"/>
                <w:caps w:val="false"/>
                <w:smallCaps w:val="false"/>
                <w:sz w:val="20"/>
              </w:rPr>
              <w:t>aware</w:t>
            </w:r>
            <w:r>
              <w:rPr>
                <w:caps w:val="false"/>
                <w:smallCaps w:val="false"/>
                <w:spacing w:val="21"/>
              </w:rPr>
              <w:t xml:space="preserve"> </w:t>
            </w:r>
            <w:r>
              <w:rPr>
                <w:rFonts w:ascii="Times New Roman;Times;serif" w:hAnsi="Times New Roman;Times;serif"/>
                <w:b w:val="false"/>
                <w:i w:val="false"/>
                <w:caps w:val="false"/>
                <w:smallCaps w:val="false"/>
                <w:sz w:val="20"/>
              </w:rPr>
              <w:t>of</w:t>
            </w:r>
            <w:r>
              <w:rPr>
                <w:caps w:val="false"/>
                <w:smallCaps w:val="false"/>
                <w:spacing w:val="20"/>
              </w:rPr>
              <w:t xml:space="preserve"> </w:t>
            </w:r>
            <w:r>
              <w:rPr>
                <w:rFonts w:ascii="Times New Roman;Times;serif" w:hAnsi="Times New Roman;Times;serif"/>
                <w:b w:val="false"/>
                <w:i w:val="false"/>
                <w:caps w:val="false"/>
                <w:smallCaps w:val="false"/>
                <w:sz w:val="20"/>
              </w:rPr>
              <w:t>the</w:t>
            </w:r>
            <w:r>
              <w:rPr>
                <w:caps w:val="false"/>
                <w:smallCaps w:val="false"/>
                <w:spacing w:val="22"/>
              </w:rPr>
              <w:t xml:space="preserve"> </w:t>
            </w:r>
            <w:r>
              <w:rPr>
                <w:rFonts w:ascii="Times New Roman;Times;serif" w:hAnsi="Times New Roman;Times;serif"/>
                <w:b w:val="false"/>
                <w:i w:val="false"/>
                <w:caps w:val="false"/>
                <w:smallCaps w:val="false"/>
                <w:sz w:val="20"/>
              </w:rPr>
              <w:t>theft, diversion or loss of cannabis; and</w:t>
            </w:r>
          </w:p>
        </w:tc>
        <w:tc>
          <w:tcPr>
            <w:tcW w:w="154" w:type="dxa"/>
            <w:tcBorders/>
            <w:shd w:fill="auto" w:val="cle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24"/>
        <w:gridCol w:w="256"/>
        <w:gridCol w:w="9671"/>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6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ensure the safe transport of cannabis and cannabis products between licensed facilities and maintain a delivery manifest in any vehicle transporting cannabis and cannabis products.</w:t>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9" w:after="240"/>
        <w:ind w:left="0" w:right="0" w:hanging="0"/>
        <w:jc w:val="both"/>
        <w:rPr/>
      </w:pPr>
      <w:r>
        <w:rPr/>
        <w:t>​</w:t>
      </w:r>
    </w:p>
    <w:p>
      <w:pPr>
        <w:pStyle w:val="TextBody"/>
        <w:spacing w:before="0" w:after="240"/>
        <w:ind w:left="100" w:right="105" w:hanging="0"/>
        <w:jc w:val="both"/>
        <w:rPr>
          <w:rFonts w:ascii="Times New Roman;Times;serif" w:hAnsi="Times New Roman;Times;serif"/>
          <w:sz w:val="20"/>
        </w:rPr>
      </w:pPr>
      <w:r>
        <w:rPr>
          <w:rFonts w:ascii="Times New Roman;Times;serif" w:hAnsi="Times New Roman;Times;serif"/>
          <w:sz w:val="20"/>
        </w:rPr>
        <w:t>In</w:t>
      </w:r>
      <w:r>
        <w:rPr>
          <w:rFonts w:ascii="Times New Roman;Times;serif" w:hAnsi="Times New Roman;Times;serif"/>
          <w:spacing w:val="16"/>
          <w:sz w:val="20"/>
        </w:rPr>
        <w:t xml:space="preserve"> </w:t>
      </w:r>
      <w:r>
        <w:rPr>
          <w:rFonts w:ascii="Times New Roman;Times;serif" w:hAnsi="Times New Roman;Times;serif"/>
          <w:sz w:val="20"/>
        </w:rPr>
        <w:t>addition</w:t>
      </w:r>
      <w:r>
        <w:rPr>
          <w:rFonts w:ascii="Times New Roman;Times;serif" w:hAnsi="Times New Roman;Times;serif"/>
          <w:spacing w:val="16"/>
          <w:sz w:val="20"/>
        </w:rPr>
        <w:t xml:space="preserve"> </w:t>
      </w:r>
      <w:r>
        <w:rPr>
          <w:rFonts w:ascii="Times New Roman;Times;serif" w:hAnsi="Times New Roman;Times;serif"/>
          <w:sz w:val="20"/>
        </w:rPr>
        <w:t>to</w:t>
      </w:r>
      <w:r>
        <w:rPr>
          <w:rFonts w:ascii="Times New Roman;Times;serif" w:hAnsi="Times New Roman;Times;serif"/>
          <w:spacing w:val="23"/>
          <w:sz w:val="20"/>
        </w:rPr>
        <w:t xml:space="preserve"> </w:t>
      </w:r>
      <w:r>
        <w:rPr>
          <w:rFonts w:ascii="Times New Roman;Times;serif" w:hAnsi="Times New Roman;Times;serif"/>
          <w:sz w:val="20"/>
        </w:rPr>
        <w:t>CCD</w:t>
      </w:r>
      <w:r>
        <w:rPr>
          <w:rFonts w:ascii="Times New Roman;Times;serif" w:hAnsi="Times New Roman;Times;serif"/>
          <w:spacing w:val="23"/>
          <w:sz w:val="20"/>
        </w:rPr>
        <w:t xml:space="preserve"> </w:t>
      </w:r>
      <w:r>
        <w:rPr>
          <w:rFonts w:ascii="Times New Roman;Times;serif" w:hAnsi="Times New Roman;Times;serif"/>
          <w:sz w:val="20"/>
        </w:rPr>
        <w:t>storage</w:t>
      </w:r>
      <w:r>
        <w:rPr>
          <w:rFonts w:ascii="Times New Roman;Times;serif" w:hAnsi="Times New Roman;Times;serif"/>
          <w:spacing w:val="19"/>
          <w:sz w:val="20"/>
        </w:rPr>
        <w:t xml:space="preserve"> </w:t>
      </w:r>
      <w:r>
        <w:rPr>
          <w:rFonts w:ascii="Times New Roman;Times;serif" w:hAnsi="Times New Roman;Times;serif"/>
          <w:sz w:val="20"/>
        </w:rPr>
        <w:t>and</w:t>
      </w:r>
      <w:r>
        <w:rPr>
          <w:rFonts w:ascii="Times New Roman;Times;serif" w:hAnsi="Times New Roman;Times;serif"/>
          <w:spacing w:val="18"/>
          <w:sz w:val="20"/>
        </w:rPr>
        <w:t xml:space="preserve"> </w:t>
      </w:r>
      <w:r>
        <w:rPr>
          <w:rFonts w:ascii="Times New Roman;Times;serif" w:hAnsi="Times New Roman;Times;serif"/>
          <w:sz w:val="20"/>
        </w:rPr>
        <w:t>security</w:t>
      </w:r>
      <w:r>
        <w:rPr>
          <w:rFonts w:ascii="Times New Roman;Times;serif" w:hAnsi="Times New Roman;Times;serif"/>
          <w:spacing w:val="16"/>
          <w:sz w:val="20"/>
        </w:rPr>
        <w:t xml:space="preserve"> </w:t>
      </w:r>
      <w:r>
        <w:rPr>
          <w:rFonts w:ascii="Times New Roman;Times;serif" w:hAnsi="Times New Roman;Times;serif"/>
          <w:sz w:val="20"/>
        </w:rPr>
        <w:t>requirements,</w:t>
      </w:r>
      <w:r>
        <w:rPr>
          <w:rFonts w:ascii="Times New Roman;Times;serif" w:hAnsi="Times New Roman;Times;serif"/>
          <w:spacing w:val="18"/>
          <w:sz w:val="20"/>
        </w:rPr>
        <w:t xml:space="preserve"> </w:t>
      </w:r>
      <w:r>
        <w:rPr>
          <w:rFonts w:ascii="Times New Roman;Times;serif" w:hAnsi="Times New Roman;Times;serif"/>
          <w:sz w:val="20"/>
        </w:rPr>
        <w:t>local</w:t>
      </w:r>
      <w:r>
        <w:rPr>
          <w:rFonts w:ascii="Times New Roman;Times;serif" w:hAnsi="Times New Roman;Times;serif"/>
          <w:spacing w:val="18"/>
          <w:sz w:val="20"/>
        </w:rPr>
        <w:t xml:space="preserve"> </w:t>
      </w:r>
      <w:r>
        <w:rPr>
          <w:rFonts w:ascii="Times New Roman;Times;serif" w:hAnsi="Times New Roman;Times;serif"/>
          <w:sz w:val="20"/>
        </w:rPr>
        <w:t>jurisdictions</w:t>
      </w:r>
      <w:r>
        <w:rPr>
          <w:rFonts w:ascii="Times New Roman;Times;serif" w:hAnsi="Times New Roman;Times;serif"/>
          <w:spacing w:val="20"/>
          <w:sz w:val="20"/>
        </w:rPr>
        <w:t xml:space="preserve"> </w:t>
      </w:r>
      <w:r>
        <w:rPr>
          <w:rFonts w:ascii="Times New Roman;Times;serif" w:hAnsi="Times New Roman;Times;serif"/>
          <w:sz w:val="20"/>
        </w:rPr>
        <w:t>may</w:t>
      </w:r>
      <w:r>
        <w:rPr>
          <w:rFonts w:ascii="Times New Roman;Times;serif" w:hAnsi="Times New Roman;Times;serif"/>
          <w:spacing w:val="18"/>
          <w:sz w:val="20"/>
        </w:rPr>
        <w:t xml:space="preserve"> </w:t>
      </w:r>
      <w:r>
        <w:rPr>
          <w:rFonts w:ascii="Times New Roman;Times;serif" w:hAnsi="Times New Roman;Times;serif"/>
          <w:sz w:val="20"/>
        </w:rPr>
        <w:t>have</w:t>
      </w:r>
      <w:r>
        <w:rPr>
          <w:rFonts w:ascii="Times New Roman;Times;serif" w:hAnsi="Times New Roman;Times;serif"/>
          <w:spacing w:val="17"/>
          <w:sz w:val="20"/>
        </w:rPr>
        <w:t xml:space="preserve"> </w:t>
      </w:r>
      <w:r>
        <w:rPr>
          <w:rFonts w:ascii="Times New Roman;Times;serif" w:hAnsi="Times New Roman;Times;serif"/>
          <w:sz w:val="20"/>
        </w:rPr>
        <w:t>additional</w:t>
      </w:r>
      <w:r>
        <w:rPr>
          <w:rFonts w:ascii="Times New Roman;Times;serif" w:hAnsi="Times New Roman;Times;serif"/>
          <w:spacing w:val="16"/>
          <w:sz w:val="20"/>
        </w:rPr>
        <w:t xml:space="preserve"> </w:t>
      </w:r>
      <w:r>
        <w:rPr>
          <w:rFonts w:ascii="Times New Roman;Times;serif" w:hAnsi="Times New Roman;Times;serif"/>
          <w:sz w:val="20"/>
        </w:rPr>
        <w:t>storage</w:t>
      </w:r>
      <w:r>
        <w:rPr>
          <w:rFonts w:ascii="Times New Roman;Times;serif" w:hAnsi="Times New Roman;Times;serif"/>
          <w:spacing w:val="19"/>
          <w:sz w:val="20"/>
        </w:rPr>
        <w:t xml:space="preserve"> </w:t>
      </w:r>
      <w:r>
        <w:rPr>
          <w:rFonts w:ascii="Times New Roman;Times;serif" w:hAnsi="Times New Roman;Times;serif"/>
          <w:sz w:val="20"/>
        </w:rPr>
        <w:t>and</w:t>
      </w:r>
      <w:r>
        <w:rPr>
          <w:rFonts w:ascii="Times New Roman;Times;serif" w:hAnsi="Times New Roman;Times;serif"/>
          <w:spacing w:val="23"/>
          <w:sz w:val="20"/>
        </w:rPr>
        <w:t xml:space="preserve"> </w:t>
      </w:r>
      <w:r>
        <w:rPr>
          <w:rFonts w:ascii="Times New Roman;Times;serif" w:hAnsi="Times New Roman;Times;serif"/>
          <w:sz w:val="20"/>
        </w:rPr>
        <w:t>security requirements. Such</w:t>
      </w:r>
      <w:r>
        <w:rPr>
          <w:rFonts w:ascii="Times New Roman;Times;serif" w:hAnsi="Times New Roman;Times;serif"/>
          <w:spacing w:val="-1"/>
          <w:sz w:val="20"/>
        </w:rPr>
        <w:t xml:space="preserve"> </w:t>
      </w:r>
      <w:r>
        <w:rPr>
          <w:rFonts w:ascii="Times New Roman;Times;serif" w:hAnsi="Times New Roman;Times;serif"/>
          <w:sz w:val="20"/>
        </w:rPr>
        <w:t>requirements, to the extent they</w:t>
      </w:r>
      <w:r>
        <w:rPr>
          <w:rFonts w:ascii="Times New Roman;Times;serif" w:hAnsi="Times New Roman;Times;serif"/>
          <w:spacing w:val="-1"/>
          <w:sz w:val="20"/>
        </w:rPr>
        <w:t xml:space="preserve"> </w:t>
      </w:r>
      <w:r>
        <w:rPr>
          <w:rFonts w:ascii="Times New Roman;Times;serif" w:hAnsi="Times New Roman;Times;serif"/>
          <w:sz w:val="20"/>
        </w:rPr>
        <w:t>exist, may</w:t>
      </w:r>
      <w:r>
        <w:rPr>
          <w:rFonts w:ascii="Times New Roman;Times;serif" w:hAnsi="Times New Roman;Times;serif"/>
          <w:spacing w:val="-3"/>
          <w:sz w:val="20"/>
        </w:rPr>
        <w:t xml:space="preserve"> </w:t>
      </w:r>
      <w:r>
        <w:rPr>
          <w:rFonts w:ascii="Times New Roman;Times;serif" w:hAnsi="Times New Roman;Times;serif"/>
          <w:sz w:val="20"/>
        </w:rPr>
        <w:t>vary from</w:t>
      </w:r>
      <w:r>
        <w:rPr>
          <w:rFonts w:ascii="Times New Roman;Times;serif" w:hAnsi="Times New Roman;Times;serif"/>
          <w:spacing w:val="-2"/>
          <w:sz w:val="20"/>
        </w:rPr>
        <w:t xml:space="preserve"> </w:t>
      </w:r>
      <w:r>
        <w:rPr>
          <w:rFonts w:ascii="Times New Roman;Times;serif" w:hAnsi="Times New Roman;Times;serif"/>
          <w:sz w:val="20"/>
        </w:rPr>
        <w:t>one locality</w:t>
      </w:r>
      <w:r>
        <w:rPr>
          <w:rFonts w:ascii="Times New Roman;Times;serif" w:hAnsi="Times New Roman;Times;serif"/>
          <w:spacing w:val="-1"/>
          <w:sz w:val="20"/>
        </w:rPr>
        <w:t xml:space="preserve"> </w:t>
      </w:r>
      <w:r>
        <w:rPr>
          <w:rFonts w:ascii="Times New Roman;Times;serif" w:hAnsi="Times New Roman;Times;serif"/>
          <w:sz w:val="20"/>
        </w:rPr>
        <w:t>to another.</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100" w:right="0" w:hanging="0"/>
        <w:jc w:val="both"/>
        <w:rPr>
          <w:rFonts w:ascii="Times New Roman;Times;serif" w:hAnsi="Times New Roman;Times;serif"/>
          <w:i/>
          <w:sz w:val="20"/>
        </w:rPr>
      </w:pPr>
      <w:r>
        <w:rPr>
          <w:rFonts w:ascii="Times New Roman;Times;serif" w:hAnsi="Times New Roman;Times;serif"/>
          <w:i/>
          <w:sz w:val="20"/>
        </w:rPr>
        <w:t>Site Visits and Inspections</w:t>
      </w:r>
    </w:p>
    <w:p>
      <w:pPr>
        <w:pStyle w:val="TextBody"/>
        <w:spacing w:before="0" w:after="240"/>
        <w:ind w:left="100" w:right="99" w:hanging="0"/>
        <w:jc w:val="both"/>
        <w:rPr>
          <w:rFonts w:ascii="Times New Roman;Times;serif" w:hAnsi="Times New Roman;Times;serif"/>
          <w:sz w:val="20"/>
        </w:rPr>
      </w:pPr>
      <w:r>
        <w:rPr>
          <w:rFonts w:ascii="Times New Roman;Times;serif" w:hAnsi="Times New Roman;Times;serif"/>
          <w:sz w:val="20"/>
        </w:rPr>
        <w:t>The</w:t>
      </w:r>
      <w:r>
        <w:rPr>
          <w:rFonts w:ascii="Times New Roman;Times;serif" w:hAnsi="Times New Roman;Times;serif"/>
          <w:spacing w:val="-3"/>
          <w:sz w:val="20"/>
        </w:rPr>
        <w:t xml:space="preserve"> </w:t>
      </w:r>
      <w:r>
        <w:rPr>
          <w:rFonts w:ascii="Times New Roman;Times;serif" w:hAnsi="Times New Roman;Times;serif"/>
          <w:sz w:val="20"/>
        </w:rPr>
        <w:t>CCD</w:t>
      </w:r>
      <w:r>
        <w:rPr>
          <w:rFonts w:ascii="Times New Roman;Times;serif" w:hAnsi="Times New Roman;Times;serif"/>
          <w:spacing w:val="-4"/>
          <w:sz w:val="20"/>
        </w:rPr>
        <w:t xml:space="preserve"> </w:t>
      </w:r>
      <w:r>
        <w:rPr>
          <w:rFonts w:ascii="Times New Roman;Times;serif" w:hAnsi="Times New Roman;Times;serif"/>
          <w:sz w:val="20"/>
        </w:rPr>
        <w:t>and</w:t>
      </w:r>
      <w:r>
        <w:rPr>
          <w:rFonts w:ascii="Times New Roman;Times;serif" w:hAnsi="Times New Roman;Times;serif"/>
          <w:spacing w:val="-2"/>
          <w:sz w:val="20"/>
        </w:rPr>
        <w:t xml:space="preserve"> </w:t>
      </w:r>
      <w:r>
        <w:rPr>
          <w:rFonts w:ascii="Times New Roman;Times;serif" w:hAnsi="Times New Roman;Times;serif"/>
          <w:sz w:val="20"/>
        </w:rPr>
        <w:t>its</w:t>
      </w:r>
      <w:r>
        <w:rPr>
          <w:rFonts w:ascii="Times New Roman;Times;serif" w:hAnsi="Times New Roman;Times;serif"/>
          <w:spacing w:val="-4"/>
          <w:sz w:val="20"/>
        </w:rPr>
        <w:t xml:space="preserve"> </w:t>
      </w:r>
      <w:r>
        <w:rPr>
          <w:rFonts w:ascii="Times New Roman;Times;serif" w:hAnsi="Times New Roman;Times;serif"/>
          <w:sz w:val="20"/>
        </w:rPr>
        <w:t>authorized</w:t>
      </w:r>
      <w:r>
        <w:rPr>
          <w:rFonts w:ascii="Times New Roman;Times;serif" w:hAnsi="Times New Roman;Times;serif"/>
          <w:spacing w:val="-4"/>
          <w:sz w:val="20"/>
        </w:rPr>
        <w:t xml:space="preserve"> </w:t>
      </w:r>
      <w:r>
        <w:rPr>
          <w:rFonts w:ascii="Times New Roman;Times;serif" w:hAnsi="Times New Roman;Times;serif"/>
          <w:sz w:val="20"/>
        </w:rPr>
        <w:t>representatives</w:t>
      </w:r>
      <w:r>
        <w:rPr>
          <w:rFonts w:ascii="Times New Roman;Times;serif" w:hAnsi="Times New Roman;Times;serif"/>
          <w:spacing w:val="-2"/>
          <w:sz w:val="20"/>
        </w:rPr>
        <w:t xml:space="preserve"> </w:t>
      </w:r>
      <w:r>
        <w:rPr>
          <w:rFonts w:ascii="Times New Roman;Times;serif" w:hAnsi="Times New Roman;Times;serif"/>
          <w:sz w:val="20"/>
        </w:rPr>
        <w:t>have</w:t>
      </w:r>
      <w:r>
        <w:rPr>
          <w:rFonts w:ascii="Times New Roman;Times;serif" w:hAnsi="Times New Roman;Times;serif"/>
          <w:spacing w:val="-4"/>
          <w:sz w:val="20"/>
        </w:rPr>
        <w:t xml:space="preserve"> </w:t>
      </w:r>
      <w:r>
        <w:rPr>
          <w:rFonts w:ascii="Times New Roman;Times;serif" w:hAnsi="Times New Roman;Times;serif"/>
          <w:sz w:val="20"/>
        </w:rPr>
        <w:t>broad</w:t>
      </w:r>
      <w:r>
        <w:rPr>
          <w:rFonts w:ascii="Times New Roman;Times;serif" w:hAnsi="Times New Roman;Times;serif"/>
          <w:spacing w:val="-2"/>
          <w:sz w:val="20"/>
        </w:rPr>
        <w:t xml:space="preserve"> </w:t>
      </w:r>
      <w:r>
        <w:rPr>
          <w:rFonts w:ascii="Times New Roman;Times;serif" w:hAnsi="Times New Roman;Times;serif"/>
          <w:sz w:val="20"/>
        </w:rPr>
        <w:t>authority,</w:t>
      </w:r>
      <w:r>
        <w:rPr>
          <w:rFonts w:ascii="Times New Roman;Times;serif" w:hAnsi="Times New Roman;Times;serif"/>
          <w:spacing w:val="-2"/>
          <w:sz w:val="20"/>
        </w:rPr>
        <w:t xml:space="preserve"> </w:t>
      </w:r>
      <w:r>
        <w:rPr>
          <w:rFonts w:ascii="Times New Roman;Times;serif" w:hAnsi="Times New Roman;Times;serif"/>
          <w:sz w:val="20"/>
        </w:rPr>
        <w:t>with</w:t>
      </w:r>
      <w:r>
        <w:rPr>
          <w:rFonts w:ascii="Times New Roman;Times;serif" w:hAnsi="Times New Roman;Times;serif"/>
          <w:spacing w:val="-4"/>
          <w:sz w:val="20"/>
        </w:rPr>
        <w:t xml:space="preserve"> </w:t>
      </w:r>
      <w:r>
        <w:rPr>
          <w:rFonts w:ascii="Times New Roman;Times;serif" w:hAnsi="Times New Roman;Times;serif"/>
          <w:sz w:val="20"/>
        </w:rPr>
        <w:t>or without notice,</w:t>
      </w:r>
      <w:r>
        <w:rPr>
          <w:rFonts w:ascii="Times New Roman;Times;serif" w:hAnsi="Times New Roman;Times;serif"/>
          <w:spacing w:val="-4"/>
          <w:sz w:val="20"/>
        </w:rPr>
        <w:t xml:space="preserve"> </w:t>
      </w:r>
      <w:r>
        <w:rPr>
          <w:rFonts w:ascii="Times New Roman;Times;serif" w:hAnsi="Times New Roman;Times;serif"/>
          <w:sz w:val="20"/>
        </w:rPr>
        <w:t>to</w:t>
      </w:r>
      <w:r>
        <w:rPr>
          <w:rFonts w:ascii="Times New Roman;Times;serif" w:hAnsi="Times New Roman;Times;serif"/>
          <w:spacing w:val="-2"/>
          <w:sz w:val="20"/>
        </w:rPr>
        <w:t xml:space="preserve"> </w:t>
      </w:r>
      <w:r>
        <w:rPr>
          <w:rFonts w:ascii="Times New Roman;Times;serif" w:hAnsi="Times New Roman;Times;serif"/>
          <w:sz w:val="20"/>
        </w:rPr>
        <w:t>inspect</w:t>
      </w:r>
      <w:r>
        <w:rPr>
          <w:rFonts w:ascii="Times New Roman;Times;serif" w:hAnsi="Times New Roman;Times;serif"/>
          <w:spacing w:val="-3"/>
          <w:sz w:val="20"/>
        </w:rPr>
        <w:t xml:space="preserve"> </w:t>
      </w:r>
      <w:r>
        <w:rPr>
          <w:rFonts w:ascii="Times New Roman;Times;serif" w:hAnsi="Times New Roman;Times;serif"/>
          <w:sz w:val="20"/>
        </w:rPr>
        <w:t>licensed</w:t>
      </w:r>
      <w:r>
        <w:rPr>
          <w:rFonts w:ascii="Times New Roman;Times;serif" w:hAnsi="Times New Roman;Times;serif"/>
          <w:spacing w:val="-2"/>
          <w:sz w:val="20"/>
        </w:rPr>
        <w:t xml:space="preserve"> </w:t>
      </w:r>
      <w:r>
        <w:rPr>
          <w:rFonts w:ascii="Times New Roman;Times;serif" w:hAnsi="Times New Roman;Times;serif"/>
          <w:sz w:val="20"/>
        </w:rPr>
        <w:t>cannabis</w:t>
      </w:r>
      <w:r>
        <w:rPr>
          <w:rFonts w:ascii="Times New Roman;Times;serif" w:hAnsi="Times New Roman;Times;serif"/>
          <w:spacing w:val="-2"/>
          <w:sz w:val="20"/>
        </w:rPr>
        <w:t xml:space="preserve"> </w:t>
      </w:r>
      <w:r>
        <w:rPr>
          <w:rFonts w:ascii="Times New Roman;Times;serif" w:hAnsi="Times New Roman;Times;serif"/>
          <w:sz w:val="20"/>
        </w:rPr>
        <w:t>operations,</w:t>
      </w:r>
      <w:r>
        <w:rPr>
          <w:rFonts w:ascii="Times New Roman;Times;serif" w:hAnsi="Times New Roman;Times;serif"/>
          <w:spacing w:val="29"/>
          <w:sz w:val="20"/>
        </w:rPr>
        <w:t xml:space="preserve"> </w:t>
      </w:r>
      <w:r>
        <w:rPr>
          <w:rFonts w:ascii="Times New Roman;Times;serif" w:hAnsi="Times New Roman;Times;serif"/>
          <w:sz w:val="20"/>
        </w:rPr>
        <w:t>including</w:t>
      </w:r>
      <w:r>
        <w:rPr>
          <w:rFonts w:ascii="Times New Roman;Times;serif" w:hAnsi="Times New Roman;Times;serif"/>
          <w:spacing w:val="27"/>
          <w:sz w:val="20"/>
        </w:rPr>
        <w:t xml:space="preserve"> </w:t>
      </w:r>
      <w:r>
        <w:rPr>
          <w:rFonts w:ascii="Times New Roman;Times;serif" w:hAnsi="Times New Roman;Times;serif"/>
          <w:sz w:val="20"/>
        </w:rPr>
        <w:t>premises,</w:t>
      </w:r>
      <w:r>
        <w:rPr>
          <w:rFonts w:ascii="Times New Roman;Times;serif" w:hAnsi="Times New Roman;Times;serif"/>
          <w:spacing w:val="29"/>
          <w:sz w:val="20"/>
        </w:rPr>
        <w:t xml:space="preserve"> </w:t>
      </w:r>
      <w:r>
        <w:rPr>
          <w:rFonts w:ascii="Times New Roman;Times;serif" w:hAnsi="Times New Roman;Times;serif"/>
          <w:sz w:val="20"/>
        </w:rPr>
        <w:t>facilities,</w:t>
      </w:r>
      <w:r>
        <w:rPr>
          <w:rFonts w:ascii="Times New Roman;Times;serif" w:hAnsi="Times New Roman;Times;serif"/>
          <w:spacing w:val="29"/>
          <w:sz w:val="20"/>
        </w:rPr>
        <w:t xml:space="preserve"> </w:t>
      </w:r>
      <w:r>
        <w:rPr>
          <w:rFonts w:ascii="Times New Roman;Times;serif" w:hAnsi="Times New Roman;Times;serif"/>
          <w:sz w:val="20"/>
        </w:rPr>
        <w:t>equipment,</w:t>
      </w:r>
      <w:r>
        <w:rPr>
          <w:rFonts w:ascii="Times New Roman;Times;serif" w:hAnsi="Times New Roman;Times;serif"/>
          <w:spacing w:val="31"/>
          <w:sz w:val="20"/>
        </w:rPr>
        <w:t xml:space="preserve"> </w:t>
      </w:r>
      <w:r>
        <w:rPr>
          <w:rFonts w:ascii="Times New Roman;Times;serif" w:hAnsi="Times New Roman;Times;serif"/>
          <w:sz w:val="20"/>
        </w:rPr>
        <w:t>books</w:t>
      </w:r>
      <w:r>
        <w:rPr>
          <w:rFonts w:ascii="Times New Roman;Times;serif" w:hAnsi="Times New Roman;Times;serif"/>
          <w:spacing w:val="29"/>
          <w:sz w:val="20"/>
        </w:rPr>
        <w:t xml:space="preserve"> </w:t>
      </w:r>
      <w:r>
        <w:rPr>
          <w:rFonts w:ascii="Times New Roman;Times;serif" w:hAnsi="Times New Roman;Times;serif"/>
          <w:sz w:val="20"/>
        </w:rPr>
        <w:t>and</w:t>
      </w:r>
      <w:r>
        <w:rPr>
          <w:rFonts w:ascii="Times New Roman;Times;serif" w:hAnsi="Times New Roman;Times;serif"/>
          <w:spacing w:val="31"/>
          <w:sz w:val="20"/>
        </w:rPr>
        <w:t xml:space="preserve"> </w:t>
      </w:r>
      <w:r>
        <w:rPr>
          <w:rFonts w:ascii="Times New Roman;Times;serif" w:hAnsi="Times New Roman;Times;serif"/>
          <w:sz w:val="20"/>
        </w:rPr>
        <w:t>records</w:t>
      </w:r>
      <w:r>
        <w:rPr>
          <w:rFonts w:ascii="Times New Roman;Times;serif" w:hAnsi="Times New Roman;Times;serif"/>
          <w:spacing w:val="29"/>
          <w:sz w:val="20"/>
        </w:rPr>
        <w:t xml:space="preserve"> </w:t>
      </w:r>
      <w:r>
        <w:rPr>
          <w:rFonts w:ascii="Times New Roman;Times;serif" w:hAnsi="Times New Roman;Times;serif"/>
          <w:sz w:val="20"/>
        </w:rPr>
        <w:t>(which</w:t>
      </w:r>
      <w:r>
        <w:rPr>
          <w:rFonts w:ascii="Times New Roman;Times;serif" w:hAnsi="Times New Roman;Times;serif"/>
          <w:spacing w:val="31"/>
          <w:sz w:val="20"/>
        </w:rPr>
        <w:t xml:space="preserve"> </w:t>
      </w:r>
      <w:r>
        <w:rPr>
          <w:rFonts w:ascii="Times New Roman;Times;serif" w:hAnsi="Times New Roman;Times;serif"/>
          <w:sz w:val="20"/>
        </w:rPr>
        <w:t>may</w:t>
      </w:r>
      <w:r>
        <w:rPr>
          <w:rFonts w:ascii="Times New Roman;Times;serif" w:hAnsi="Times New Roman;Times;serif"/>
          <w:spacing w:val="27"/>
          <w:sz w:val="20"/>
        </w:rPr>
        <w:t xml:space="preserve"> </w:t>
      </w:r>
      <w:r>
        <w:rPr>
          <w:rFonts w:ascii="Times New Roman;Times;serif" w:hAnsi="Times New Roman;Times;serif"/>
          <w:sz w:val="20"/>
        </w:rPr>
        <w:t>be</w:t>
      </w:r>
      <w:r>
        <w:rPr>
          <w:rFonts w:ascii="Times New Roman;Times;serif" w:hAnsi="Times New Roman;Times;serif"/>
          <w:spacing w:val="30"/>
          <w:sz w:val="20"/>
        </w:rPr>
        <w:t xml:space="preserve"> </w:t>
      </w:r>
      <w:r>
        <w:rPr>
          <w:rFonts w:ascii="Times New Roman;Times;serif" w:hAnsi="Times New Roman;Times;serif"/>
          <w:sz w:val="20"/>
        </w:rPr>
        <w:t>copied,</w:t>
      </w:r>
      <w:r>
        <w:rPr>
          <w:rFonts w:ascii="Times New Roman;Times;serif" w:hAnsi="Times New Roman;Times;serif"/>
          <w:spacing w:val="31"/>
          <w:sz w:val="20"/>
        </w:rPr>
        <w:t xml:space="preserve"> </w:t>
      </w:r>
      <w:r>
        <w:rPr>
          <w:rFonts w:ascii="Times New Roman;Times;serif" w:hAnsi="Times New Roman;Times;serif"/>
          <w:sz w:val="20"/>
        </w:rPr>
        <w:t>and</w:t>
      </w:r>
      <w:r>
        <w:rPr>
          <w:rFonts w:ascii="Times New Roman;Times;serif" w:hAnsi="Times New Roman;Times;serif"/>
          <w:spacing w:val="31"/>
          <w:sz w:val="20"/>
        </w:rPr>
        <w:t xml:space="preserve"> </w:t>
      </w:r>
      <w:r>
        <w:rPr>
          <w:rFonts w:ascii="Times New Roman;Times;serif" w:hAnsi="Times New Roman;Times;serif"/>
          <w:sz w:val="20"/>
        </w:rPr>
        <w:t>such</w:t>
      </w:r>
      <w:r>
        <w:rPr>
          <w:rFonts w:ascii="Times New Roman;Times;serif" w:hAnsi="Times New Roman;Times;serif"/>
          <w:spacing w:val="27"/>
          <w:sz w:val="20"/>
        </w:rPr>
        <w:t xml:space="preserve"> </w:t>
      </w:r>
      <w:r>
        <w:rPr>
          <w:rFonts w:ascii="Times New Roman;Times;serif" w:hAnsi="Times New Roman;Times;serif"/>
          <w:sz w:val="20"/>
        </w:rPr>
        <w:t>copies</w:t>
      </w:r>
      <w:r>
        <w:rPr>
          <w:rFonts w:ascii="Times New Roman;Times;serif" w:hAnsi="Times New Roman;Times;serif"/>
          <w:spacing w:val="-2"/>
          <w:sz w:val="20"/>
        </w:rPr>
        <w:t xml:space="preserve"> </w:t>
      </w:r>
      <w:r>
        <w:rPr>
          <w:rFonts w:ascii="Times New Roman;Times;serif" w:hAnsi="Times New Roman;Times;serif"/>
          <w:sz w:val="20"/>
        </w:rPr>
        <w:t>retained)</w:t>
      </w:r>
      <w:r>
        <w:rPr>
          <w:rFonts w:ascii="Times New Roman;Times;serif" w:hAnsi="Times New Roman;Times;serif"/>
          <w:spacing w:val="-8"/>
          <w:sz w:val="20"/>
        </w:rPr>
        <w:t xml:space="preserve"> </w:t>
      </w:r>
      <w:r>
        <w:rPr>
          <w:rFonts w:ascii="Times New Roman;Times;serif" w:hAnsi="Times New Roman;Times;serif"/>
          <w:sz w:val="20"/>
        </w:rPr>
        <w:t>and</w:t>
      </w:r>
      <w:r>
        <w:rPr>
          <w:rFonts w:ascii="Times New Roman;Times;serif" w:hAnsi="Times New Roman;Times;serif"/>
          <w:spacing w:val="-6"/>
          <w:sz w:val="20"/>
        </w:rPr>
        <w:t xml:space="preserve"> </w:t>
      </w:r>
      <w:r>
        <w:rPr>
          <w:rFonts w:ascii="Times New Roman;Times;serif" w:hAnsi="Times New Roman;Times;serif"/>
          <w:sz w:val="20"/>
        </w:rPr>
        <w:t>cannabis</w:t>
      </w:r>
      <w:r>
        <w:rPr>
          <w:rFonts w:ascii="Times New Roman;Times;serif" w:hAnsi="Times New Roman;Times;serif"/>
          <w:spacing w:val="-10"/>
          <w:sz w:val="20"/>
        </w:rPr>
        <w:t xml:space="preserve"> </w:t>
      </w:r>
      <w:r>
        <w:rPr>
          <w:rFonts w:ascii="Times New Roman;Times;serif" w:hAnsi="Times New Roman;Times;serif"/>
          <w:sz w:val="20"/>
        </w:rPr>
        <w:t>products.</w:t>
      </w:r>
      <w:r>
        <w:rPr>
          <w:rFonts w:ascii="Times New Roman;Times;serif" w:hAnsi="Times New Roman;Times;serif"/>
          <w:spacing w:val="-8"/>
          <w:sz w:val="20"/>
        </w:rPr>
        <w:t xml:space="preserve"> </w:t>
      </w:r>
      <w:r>
        <w:rPr>
          <w:rFonts w:ascii="Times New Roman;Times;serif" w:hAnsi="Times New Roman;Times;serif"/>
          <w:sz w:val="20"/>
        </w:rPr>
        <w:t>In</w:t>
      </w:r>
      <w:r>
        <w:rPr>
          <w:rFonts w:ascii="Times New Roman;Times;serif" w:hAnsi="Times New Roman;Times;serif"/>
          <w:spacing w:val="-10"/>
          <w:sz w:val="20"/>
        </w:rPr>
        <w:t xml:space="preserve"> </w:t>
      </w:r>
      <w:r>
        <w:rPr>
          <w:rFonts w:ascii="Times New Roman;Times;serif" w:hAnsi="Times New Roman;Times;serif"/>
          <w:sz w:val="20"/>
        </w:rPr>
        <w:t>addition,</w:t>
      </w:r>
      <w:r>
        <w:rPr>
          <w:rFonts w:ascii="Times New Roman;Times;serif" w:hAnsi="Times New Roman;Times;serif"/>
          <w:spacing w:val="-8"/>
          <w:sz w:val="20"/>
        </w:rPr>
        <w:t xml:space="preserve"> </w:t>
      </w:r>
      <w:r>
        <w:rPr>
          <w:rFonts w:ascii="Times New Roman;Times;serif" w:hAnsi="Times New Roman;Times;serif"/>
          <w:sz w:val="20"/>
        </w:rPr>
        <w:t>a</w:t>
      </w:r>
      <w:r>
        <w:rPr>
          <w:rFonts w:ascii="Times New Roman;Times;serif" w:hAnsi="Times New Roman;Times;serif"/>
          <w:spacing w:val="-5"/>
          <w:sz w:val="20"/>
        </w:rPr>
        <w:t xml:space="preserve"> </w:t>
      </w:r>
      <w:r>
        <w:rPr>
          <w:rFonts w:ascii="Times New Roman;Times;serif" w:hAnsi="Times New Roman;Times;serif"/>
          <w:sz w:val="20"/>
        </w:rPr>
        <w:t>licensed</w:t>
      </w:r>
      <w:r>
        <w:rPr>
          <w:rFonts w:ascii="Times New Roman;Times;serif" w:hAnsi="Times New Roman;Times;serif"/>
          <w:spacing w:val="-8"/>
          <w:sz w:val="20"/>
        </w:rPr>
        <w:t xml:space="preserve"> </w:t>
      </w:r>
      <w:r>
        <w:rPr>
          <w:rFonts w:ascii="Times New Roman;Times;serif" w:hAnsi="Times New Roman;Times;serif"/>
          <w:sz w:val="20"/>
        </w:rPr>
        <w:t>producer</w:t>
      </w:r>
      <w:r>
        <w:rPr>
          <w:rFonts w:ascii="Times New Roman;Times;serif" w:hAnsi="Times New Roman;Times;serif"/>
          <w:spacing w:val="-4"/>
          <w:sz w:val="20"/>
        </w:rPr>
        <w:t xml:space="preserve"> </w:t>
      </w:r>
      <w:r>
        <w:rPr>
          <w:rFonts w:ascii="Times New Roman;Times;serif" w:hAnsi="Times New Roman;Times;serif"/>
          <w:sz w:val="20"/>
        </w:rPr>
        <w:t>must</w:t>
      </w:r>
      <w:r>
        <w:rPr>
          <w:rFonts w:ascii="Times New Roman;Times;serif" w:hAnsi="Times New Roman;Times;serif"/>
          <w:spacing w:val="-6"/>
          <w:sz w:val="20"/>
        </w:rPr>
        <w:t xml:space="preserve"> </w:t>
      </w:r>
      <w:r>
        <w:rPr>
          <w:rFonts w:ascii="Times New Roman;Times;serif" w:hAnsi="Times New Roman;Times;serif"/>
          <w:sz w:val="20"/>
        </w:rPr>
        <w:t>submit</w:t>
      </w:r>
      <w:r>
        <w:rPr>
          <w:rFonts w:ascii="Times New Roman;Times;serif" w:hAnsi="Times New Roman;Times;serif"/>
          <w:spacing w:val="-5"/>
          <w:sz w:val="20"/>
        </w:rPr>
        <w:t xml:space="preserve"> </w:t>
      </w:r>
      <w:r>
        <w:rPr>
          <w:rFonts w:ascii="Times New Roman;Times;serif" w:hAnsi="Times New Roman;Times;serif"/>
          <w:sz w:val="20"/>
        </w:rPr>
        <w:t>annual</w:t>
      </w:r>
      <w:r>
        <w:rPr>
          <w:rFonts w:ascii="Times New Roman;Times;serif" w:hAnsi="Times New Roman;Times;serif"/>
          <w:spacing w:val="-10"/>
          <w:sz w:val="20"/>
        </w:rPr>
        <w:t xml:space="preserve"> </w:t>
      </w:r>
      <w:r>
        <w:rPr>
          <w:rFonts w:ascii="Times New Roman;Times;serif" w:hAnsi="Times New Roman;Times;serif"/>
          <w:sz w:val="20"/>
        </w:rPr>
        <w:t>reports</w:t>
      </w:r>
      <w:r>
        <w:rPr>
          <w:rFonts w:ascii="Times New Roman;Times;serif" w:hAnsi="Times New Roman;Times;serif"/>
          <w:spacing w:val="-10"/>
          <w:sz w:val="20"/>
        </w:rPr>
        <w:t xml:space="preserve"> </w:t>
      </w:r>
      <w:r>
        <w:rPr>
          <w:rFonts w:ascii="Times New Roman;Times;serif" w:hAnsi="Times New Roman;Times;serif"/>
          <w:sz w:val="20"/>
        </w:rPr>
        <w:t>to</w:t>
      </w:r>
      <w:r>
        <w:rPr>
          <w:rFonts w:ascii="Times New Roman;Times;serif" w:hAnsi="Times New Roman;Times;serif"/>
          <w:spacing w:val="-6"/>
          <w:sz w:val="20"/>
        </w:rPr>
        <w:t xml:space="preserve"> </w:t>
      </w:r>
      <w:r>
        <w:rPr>
          <w:rFonts w:ascii="Times New Roman;Times;serif" w:hAnsi="Times New Roman;Times;serif"/>
          <w:sz w:val="20"/>
        </w:rPr>
        <w:t>the</w:t>
      </w:r>
      <w:r>
        <w:rPr>
          <w:rFonts w:ascii="Times New Roman;Times;serif" w:hAnsi="Times New Roman;Times;serif"/>
          <w:spacing w:val="-6"/>
          <w:sz w:val="20"/>
        </w:rPr>
        <w:t xml:space="preserve"> </w:t>
      </w:r>
      <w:r>
        <w:rPr>
          <w:rFonts w:ascii="Times New Roman;Times;serif" w:hAnsi="Times New Roman;Times;serif"/>
          <w:sz w:val="20"/>
        </w:rPr>
        <w:t>CCD</w:t>
      </w:r>
      <w:r>
        <w:rPr>
          <w:rFonts w:ascii="Times New Roman;Times;serif" w:hAnsi="Times New Roman;Times;serif"/>
          <w:spacing w:val="-8"/>
          <w:sz w:val="20"/>
        </w:rPr>
        <w:t xml:space="preserve"> </w:t>
      </w:r>
      <w:r>
        <w:rPr>
          <w:rFonts w:ascii="Times New Roman;Times;serif" w:hAnsi="Times New Roman;Times;serif"/>
          <w:sz w:val="20"/>
        </w:rPr>
        <w:t>on</w:t>
      </w:r>
      <w:r>
        <w:rPr>
          <w:rFonts w:ascii="Times New Roman;Times;serif" w:hAnsi="Times New Roman;Times;serif"/>
          <w:spacing w:val="-6"/>
          <w:sz w:val="20"/>
        </w:rPr>
        <w:t xml:space="preserve"> </w:t>
      </w:r>
      <w:r>
        <w:rPr>
          <w:rFonts w:ascii="Times New Roman;Times;serif" w:hAnsi="Times New Roman;Times;serif"/>
          <w:sz w:val="20"/>
        </w:rPr>
        <w:t>inventory,</w:t>
      </w:r>
      <w:r>
        <w:rPr>
          <w:rFonts w:ascii="Times New Roman;Times;serif" w:hAnsi="Times New Roman;Times;serif"/>
          <w:spacing w:val="-2"/>
          <w:sz w:val="20"/>
        </w:rPr>
        <w:t xml:space="preserve"> </w:t>
      </w:r>
      <w:r>
        <w:rPr>
          <w:rFonts w:ascii="Times New Roman;Times;serif" w:hAnsi="Times New Roman;Times;serif"/>
          <w:sz w:val="20"/>
        </w:rPr>
        <w:t>sales,</w:t>
      </w:r>
      <w:r>
        <w:rPr>
          <w:rFonts w:ascii="Times New Roman;Times;serif" w:hAnsi="Times New Roman;Times;serif"/>
          <w:spacing w:val="7"/>
          <w:sz w:val="20"/>
        </w:rPr>
        <w:t xml:space="preserve"> </w:t>
      </w:r>
      <w:r>
        <w:rPr>
          <w:rFonts w:ascii="Times New Roman;Times;serif" w:hAnsi="Times New Roman;Times;serif"/>
          <w:sz w:val="20"/>
        </w:rPr>
        <w:t>revenue,</w:t>
      </w:r>
      <w:r>
        <w:rPr>
          <w:rFonts w:ascii="Times New Roman;Times;serif" w:hAnsi="Times New Roman;Times;serif"/>
          <w:spacing w:val="7"/>
          <w:sz w:val="20"/>
        </w:rPr>
        <w:t xml:space="preserve"> </w:t>
      </w:r>
      <w:r>
        <w:rPr>
          <w:rFonts w:ascii="Times New Roman;Times;serif" w:hAnsi="Times New Roman;Times;serif"/>
          <w:sz w:val="20"/>
        </w:rPr>
        <w:t>and</w:t>
      </w:r>
      <w:r>
        <w:rPr>
          <w:rFonts w:ascii="Times New Roman;Times;serif" w:hAnsi="Times New Roman;Times;serif"/>
          <w:spacing w:val="9"/>
          <w:sz w:val="20"/>
        </w:rPr>
        <w:t xml:space="preserve"> </w:t>
      </w:r>
      <w:r>
        <w:rPr>
          <w:rFonts w:ascii="Times New Roman;Times;serif" w:hAnsi="Times New Roman;Times;serif"/>
          <w:sz w:val="20"/>
        </w:rPr>
        <w:t>other</w:t>
      </w:r>
      <w:r>
        <w:rPr>
          <w:rFonts w:ascii="Times New Roman;Times;serif" w:hAnsi="Times New Roman;Times;serif"/>
          <w:spacing w:val="9"/>
          <w:sz w:val="20"/>
        </w:rPr>
        <w:t xml:space="preserve"> </w:t>
      </w:r>
      <w:r>
        <w:rPr>
          <w:rFonts w:ascii="Times New Roman;Times;serif" w:hAnsi="Times New Roman;Times;serif"/>
          <w:sz w:val="20"/>
        </w:rPr>
        <w:t>matters.</w:t>
      </w:r>
      <w:r>
        <w:rPr>
          <w:rFonts w:ascii="Times New Roman;Times;serif" w:hAnsi="Times New Roman;Times;serif"/>
          <w:spacing w:val="9"/>
          <w:sz w:val="20"/>
        </w:rPr>
        <w:t xml:space="preserve"> </w:t>
      </w:r>
      <w:r>
        <w:rPr>
          <w:rFonts w:ascii="Times New Roman;Times;serif" w:hAnsi="Times New Roman;Times;serif"/>
          <w:sz w:val="20"/>
        </w:rPr>
        <w:t>Failure</w:t>
      </w:r>
      <w:r>
        <w:rPr>
          <w:rFonts w:ascii="Times New Roman;Times;serif" w:hAnsi="Times New Roman;Times;serif"/>
          <w:spacing w:val="8"/>
          <w:sz w:val="20"/>
        </w:rPr>
        <w:t xml:space="preserve"> </w:t>
      </w:r>
      <w:r>
        <w:rPr>
          <w:rFonts w:ascii="Times New Roman;Times;serif" w:hAnsi="Times New Roman;Times;serif"/>
          <w:sz w:val="20"/>
        </w:rPr>
        <w:t>to</w:t>
      </w:r>
      <w:r>
        <w:rPr>
          <w:rFonts w:ascii="Times New Roman;Times;serif" w:hAnsi="Times New Roman;Times;serif"/>
          <w:spacing w:val="9"/>
          <w:sz w:val="20"/>
        </w:rPr>
        <w:t xml:space="preserve"> </w:t>
      </w:r>
      <w:r>
        <w:rPr>
          <w:rFonts w:ascii="Times New Roman;Times;serif" w:hAnsi="Times New Roman;Times;serif"/>
          <w:sz w:val="20"/>
        </w:rPr>
        <w:t>grant</w:t>
      </w:r>
      <w:r>
        <w:rPr>
          <w:rFonts w:ascii="Times New Roman;Times;serif" w:hAnsi="Times New Roman;Times;serif"/>
          <w:spacing w:val="8"/>
          <w:sz w:val="20"/>
        </w:rPr>
        <w:t xml:space="preserve"> </w:t>
      </w:r>
      <w:r>
        <w:rPr>
          <w:rFonts w:ascii="Times New Roman;Times;serif" w:hAnsi="Times New Roman;Times;serif"/>
          <w:sz w:val="20"/>
        </w:rPr>
        <w:t>representatives</w:t>
      </w:r>
      <w:r>
        <w:rPr>
          <w:rFonts w:ascii="Times New Roman;Times;serif" w:hAnsi="Times New Roman;Times;serif"/>
          <w:spacing w:val="9"/>
          <w:sz w:val="20"/>
        </w:rPr>
        <w:t xml:space="preserve"> </w:t>
      </w:r>
      <w:r>
        <w:rPr>
          <w:rFonts w:ascii="Times New Roman;Times;serif" w:hAnsi="Times New Roman;Times;serif"/>
          <w:sz w:val="20"/>
        </w:rPr>
        <w:t>from</w:t>
      </w:r>
      <w:r>
        <w:rPr>
          <w:rFonts w:ascii="Times New Roman;Times;serif" w:hAnsi="Times New Roman;Times;serif"/>
          <w:spacing w:val="7"/>
          <w:sz w:val="20"/>
        </w:rPr>
        <w:t xml:space="preserve"> </w:t>
      </w:r>
      <w:r>
        <w:rPr>
          <w:rFonts w:ascii="Times New Roman;Times;serif" w:hAnsi="Times New Roman;Times;serif"/>
          <w:sz w:val="20"/>
        </w:rPr>
        <w:t>CCD</w:t>
      </w:r>
      <w:r>
        <w:rPr>
          <w:rFonts w:ascii="Times New Roman;Times;serif" w:hAnsi="Times New Roman;Times;serif"/>
          <w:spacing w:val="11"/>
          <w:sz w:val="20"/>
        </w:rPr>
        <w:t xml:space="preserve"> </w:t>
      </w:r>
      <w:r>
        <w:rPr>
          <w:rFonts w:ascii="Times New Roman;Times;serif" w:hAnsi="Times New Roman;Times;serif"/>
          <w:sz w:val="20"/>
        </w:rPr>
        <w:t>full</w:t>
      </w:r>
      <w:r>
        <w:rPr>
          <w:rFonts w:ascii="Times New Roman;Times;serif" w:hAnsi="Times New Roman;Times;serif"/>
          <w:spacing w:val="7"/>
          <w:sz w:val="20"/>
        </w:rPr>
        <w:t xml:space="preserve"> </w:t>
      </w:r>
      <w:r>
        <w:rPr>
          <w:rFonts w:ascii="Times New Roman;Times;serif" w:hAnsi="Times New Roman;Times;serif"/>
          <w:sz w:val="20"/>
        </w:rPr>
        <w:t>and</w:t>
      </w:r>
      <w:r>
        <w:rPr>
          <w:rFonts w:ascii="Times New Roman;Times;serif" w:hAnsi="Times New Roman;Times;serif"/>
          <w:spacing w:val="9"/>
          <w:sz w:val="20"/>
        </w:rPr>
        <w:t xml:space="preserve"> </w:t>
      </w:r>
      <w:r>
        <w:rPr>
          <w:rFonts w:ascii="Times New Roman;Times;serif" w:hAnsi="Times New Roman;Times;serif"/>
          <w:sz w:val="20"/>
        </w:rPr>
        <w:t>immediate</w:t>
      </w:r>
      <w:r>
        <w:rPr>
          <w:rFonts w:ascii="Times New Roman;Times;serif" w:hAnsi="Times New Roman;Times;serif"/>
          <w:spacing w:val="7"/>
          <w:sz w:val="20"/>
        </w:rPr>
        <w:t xml:space="preserve"> </w:t>
      </w:r>
      <w:r>
        <w:rPr>
          <w:rFonts w:ascii="Times New Roman;Times;serif" w:hAnsi="Times New Roman;Times;serif"/>
          <w:sz w:val="20"/>
        </w:rPr>
        <w:t>access</w:t>
      </w:r>
      <w:r>
        <w:rPr>
          <w:rFonts w:ascii="Times New Roman;Times;serif" w:hAnsi="Times New Roman;Times;serif"/>
          <w:spacing w:val="6"/>
          <w:sz w:val="20"/>
        </w:rPr>
        <w:t xml:space="preserve"> </w:t>
      </w:r>
      <w:r>
        <w:rPr>
          <w:rFonts w:ascii="Times New Roman;Times;serif" w:hAnsi="Times New Roman;Times;serif"/>
          <w:sz w:val="20"/>
        </w:rPr>
        <w:t>to</w:t>
      </w:r>
      <w:r>
        <w:rPr>
          <w:rFonts w:ascii="Times New Roman;Times;serif" w:hAnsi="Times New Roman;Times;serif"/>
          <w:spacing w:val="11"/>
          <w:sz w:val="20"/>
        </w:rPr>
        <w:t xml:space="preserve"> </w:t>
      </w:r>
      <w:r>
        <w:rPr>
          <w:rFonts w:ascii="Times New Roman;Times;serif" w:hAnsi="Times New Roman;Times;serif"/>
          <w:sz w:val="20"/>
        </w:rPr>
        <w:t>facilities,</w:t>
      </w:r>
      <w:r>
        <w:rPr>
          <w:rFonts w:ascii="Times New Roman;Times;serif" w:hAnsi="Times New Roman;Times;serif"/>
          <w:spacing w:val="-2"/>
          <w:sz w:val="20"/>
        </w:rPr>
        <w:t xml:space="preserve"> </w:t>
      </w:r>
      <w:r>
        <w:rPr>
          <w:rFonts w:ascii="Times New Roman;Times;serif" w:hAnsi="Times New Roman;Times;serif"/>
          <w:sz w:val="20"/>
        </w:rPr>
        <w:t>property</w:t>
      </w:r>
      <w:r>
        <w:rPr>
          <w:rFonts w:ascii="Times New Roman;Times;serif" w:hAnsi="Times New Roman;Times;serif"/>
          <w:spacing w:val="21"/>
          <w:sz w:val="20"/>
        </w:rPr>
        <w:t xml:space="preserve"> </w:t>
      </w:r>
      <w:r>
        <w:rPr>
          <w:rFonts w:ascii="Times New Roman;Times;serif" w:hAnsi="Times New Roman;Times;serif"/>
          <w:sz w:val="20"/>
        </w:rPr>
        <w:t>and</w:t>
      </w:r>
      <w:r>
        <w:rPr>
          <w:rFonts w:ascii="Times New Roman;Times;serif" w:hAnsi="Times New Roman;Times;serif"/>
          <w:spacing w:val="27"/>
          <w:sz w:val="20"/>
        </w:rPr>
        <w:t xml:space="preserve"> </w:t>
      </w:r>
      <w:r>
        <w:rPr>
          <w:rFonts w:ascii="Times New Roman;Times;serif" w:hAnsi="Times New Roman;Times;serif"/>
          <w:sz w:val="20"/>
        </w:rPr>
        <w:t>premises,</w:t>
      </w:r>
      <w:r>
        <w:rPr>
          <w:rFonts w:ascii="Times New Roman;Times;serif" w:hAnsi="Times New Roman;Times;serif"/>
          <w:spacing w:val="27"/>
          <w:sz w:val="20"/>
        </w:rPr>
        <w:t xml:space="preserve"> </w:t>
      </w:r>
      <w:r>
        <w:rPr>
          <w:rFonts w:ascii="Times New Roman;Times;serif" w:hAnsi="Times New Roman;Times;serif"/>
          <w:sz w:val="20"/>
        </w:rPr>
        <w:t>or</w:t>
      </w:r>
      <w:r>
        <w:rPr>
          <w:rFonts w:ascii="Times New Roman;Times;serif" w:hAnsi="Times New Roman;Times;serif"/>
          <w:spacing w:val="26"/>
          <w:sz w:val="20"/>
        </w:rPr>
        <w:t xml:space="preserve"> </w:t>
      </w:r>
      <w:r>
        <w:rPr>
          <w:rFonts w:ascii="Times New Roman;Times;serif" w:hAnsi="Times New Roman;Times;serif"/>
          <w:sz w:val="20"/>
        </w:rPr>
        <w:t>to</w:t>
      </w:r>
      <w:r>
        <w:rPr>
          <w:rFonts w:ascii="Times New Roman;Times;serif" w:hAnsi="Times New Roman;Times;serif"/>
          <w:spacing w:val="25"/>
          <w:sz w:val="20"/>
        </w:rPr>
        <w:t xml:space="preserve"> </w:t>
      </w:r>
      <w:r>
        <w:rPr>
          <w:rFonts w:ascii="Times New Roman;Times;serif" w:hAnsi="Times New Roman;Times;serif"/>
          <w:sz w:val="20"/>
        </w:rPr>
        <w:t>cooperate</w:t>
      </w:r>
      <w:r>
        <w:rPr>
          <w:rFonts w:ascii="Times New Roman;Times;serif" w:hAnsi="Times New Roman;Times;serif"/>
          <w:spacing w:val="25"/>
          <w:sz w:val="20"/>
        </w:rPr>
        <w:t xml:space="preserve"> </w:t>
      </w:r>
      <w:r>
        <w:rPr>
          <w:rFonts w:ascii="Times New Roman;Times;serif" w:hAnsi="Times New Roman;Times;serif"/>
          <w:sz w:val="20"/>
        </w:rPr>
        <w:t>with</w:t>
      </w:r>
      <w:r>
        <w:rPr>
          <w:rFonts w:ascii="Times New Roman;Times;serif" w:hAnsi="Times New Roman;Times;serif"/>
          <w:spacing w:val="27"/>
          <w:sz w:val="20"/>
        </w:rPr>
        <w:t xml:space="preserve"> </w:t>
      </w:r>
      <w:r>
        <w:rPr>
          <w:rFonts w:ascii="Times New Roman;Times;serif" w:hAnsi="Times New Roman;Times;serif"/>
          <w:sz w:val="20"/>
        </w:rPr>
        <w:t>inspections</w:t>
      </w:r>
      <w:r>
        <w:rPr>
          <w:rFonts w:ascii="Times New Roman;Times;serif" w:hAnsi="Times New Roman;Times;serif"/>
          <w:spacing w:val="23"/>
          <w:sz w:val="20"/>
        </w:rPr>
        <w:t xml:space="preserve"> </w:t>
      </w:r>
      <w:r>
        <w:rPr>
          <w:rFonts w:ascii="Times New Roman;Times;serif" w:hAnsi="Times New Roman;Times;serif"/>
          <w:sz w:val="20"/>
        </w:rPr>
        <w:t>and</w:t>
      </w:r>
      <w:r>
        <w:rPr>
          <w:rFonts w:ascii="Times New Roman;Times;serif" w:hAnsi="Times New Roman;Times;serif"/>
          <w:spacing w:val="27"/>
          <w:sz w:val="20"/>
        </w:rPr>
        <w:t xml:space="preserve"> </w:t>
      </w:r>
      <w:r>
        <w:rPr>
          <w:rFonts w:ascii="Times New Roman;Times;serif" w:hAnsi="Times New Roman;Times;serif"/>
          <w:sz w:val="20"/>
        </w:rPr>
        <w:t>investigations,</w:t>
      </w:r>
      <w:r>
        <w:rPr>
          <w:rFonts w:ascii="Times New Roman;Times;serif" w:hAnsi="Times New Roman;Times;serif"/>
          <w:spacing w:val="27"/>
          <w:sz w:val="20"/>
        </w:rPr>
        <w:t xml:space="preserve"> </w:t>
      </w:r>
      <w:r>
        <w:rPr>
          <w:rFonts w:ascii="Times New Roman;Times;serif" w:hAnsi="Times New Roman;Times;serif"/>
          <w:sz w:val="20"/>
        </w:rPr>
        <w:t>may</w:t>
      </w:r>
      <w:r>
        <w:rPr>
          <w:rFonts w:ascii="Times New Roman;Times;serif" w:hAnsi="Times New Roman;Times;serif"/>
          <w:spacing w:val="23"/>
          <w:sz w:val="20"/>
        </w:rPr>
        <w:t xml:space="preserve"> </w:t>
      </w:r>
      <w:r>
        <w:rPr>
          <w:rFonts w:ascii="Times New Roman;Times;serif" w:hAnsi="Times New Roman;Times;serif"/>
          <w:sz w:val="20"/>
        </w:rPr>
        <w:t>result</w:t>
      </w:r>
      <w:r>
        <w:rPr>
          <w:rFonts w:ascii="Times New Roman;Times;serif" w:hAnsi="Times New Roman;Times;serif"/>
          <w:spacing w:val="23"/>
          <w:sz w:val="20"/>
        </w:rPr>
        <w:t xml:space="preserve"> </w:t>
      </w:r>
      <w:r>
        <w:rPr>
          <w:rFonts w:ascii="Times New Roman;Times;serif" w:hAnsi="Times New Roman;Times;serif"/>
          <w:sz w:val="20"/>
        </w:rPr>
        <w:t>in</w:t>
      </w:r>
      <w:r>
        <w:rPr>
          <w:rFonts w:ascii="Times New Roman;Times;serif" w:hAnsi="Times New Roman;Times;serif"/>
          <w:spacing w:val="23"/>
          <w:sz w:val="20"/>
        </w:rPr>
        <w:t xml:space="preserve"> </w:t>
      </w:r>
      <w:r>
        <w:rPr>
          <w:rFonts w:ascii="Times New Roman;Times;serif" w:hAnsi="Times New Roman;Times;serif"/>
          <w:sz w:val="20"/>
        </w:rPr>
        <w:t>disciplinary</w:t>
      </w:r>
      <w:r>
        <w:rPr>
          <w:rFonts w:ascii="Times New Roman;Times;serif" w:hAnsi="Times New Roman;Times;serif"/>
          <w:spacing w:val="23"/>
          <w:sz w:val="20"/>
        </w:rPr>
        <w:t xml:space="preserve"> </w:t>
      </w:r>
      <w:r>
        <w:rPr>
          <w:rFonts w:ascii="Times New Roman;Times;serif" w:hAnsi="Times New Roman;Times;serif"/>
          <w:sz w:val="20"/>
        </w:rPr>
        <w:t>action</w:t>
      </w:r>
      <w:r>
        <w:rPr>
          <w:rFonts w:ascii="Times New Roman;Times;serif" w:hAnsi="Times New Roman;Times;serif"/>
          <w:spacing w:val="27"/>
          <w:sz w:val="20"/>
        </w:rPr>
        <w:t xml:space="preserve"> </w:t>
      </w:r>
      <w:r>
        <w:rPr>
          <w:rFonts w:ascii="Times New Roman;Times;serif" w:hAnsi="Times New Roman;Times;serif"/>
          <w:sz w:val="20"/>
        </w:rPr>
        <w:t>and</w:t>
      </w:r>
      <w:r>
        <w:rPr>
          <w:rFonts w:ascii="Times New Roman;Times;serif" w:hAnsi="Times New Roman;Times;serif"/>
          <w:spacing w:val="-2"/>
          <w:sz w:val="20"/>
        </w:rPr>
        <w:t xml:space="preserve"> </w:t>
      </w:r>
      <w:r>
        <w:rPr>
          <w:rFonts w:ascii="Times New Roman;Times;serif" w:hAnsi="Times New Roman;Times;serif"/>
          <w:sz w:val="20"/>
        </w:rPr>
        <w:t>referral</w:t>
      </w:r>
      <w:r>
        <w:rPr>
          <w:rFonts w:ascii="Times New Roman;Times;serif" w:hAnsi="Times New Roman;Times;serif"/>
          <w:spacing w:val="-2"/>
          <w:sz w:val="20"/>
        </w:rPr>
        <w:t xml:space="preserve"> </w:t>
      </w:r>
      <w:r>
        <w:rPr>
          <w:rFonts w:ascii="Times New Roman;Times;serif" w:hAnsi="Times New Roman;Times;serif"/>
          <w:sz w:val="20"/>
        </w:rPr>
        <w:t>to law</w:t>
      </w:r>
      <w:r>
        <w:rPr>
          <w:rFonts w:ascii="Times New Roman;Times;serif" w:hAnsi="Times New Roman;Times;serif"/>
          <w:spacing w:val="-6"/>
          <w:sz w:val="20"/>
        </w:rPr>
        <w:t xml:space="preserve"> </w:t>
      </w:r>
      <w:r>
        <w:rPr>
          <w:rFonts w:ascii="Times New Roman;Times;serif" w:hAnsi="Times New Roman;Times;serif"/>
          <w:sz w:val="20"/>
        </w:rPr>
        <w:t>enforcement. Any</w:t>
      </w:r>
      <w:r>
        <w:rPr>
          <w:rFonts w:ascii="Times New Roman;Times;serif" w:hAnsi="Times New Roman;Times;serif"/>
          <w:spacing w:val="-4"/>
          <w:sz w:val="20"/>
        </w:rPr>
        <w:t xml:space="preserve"> </w:t>
      </w:r>
      <w:r>
        <w:rPr>
          <w:rFonts w:ascii="Times New Roman;Times;serif" w:hAnsi="Times New Roman;Times;serif"/>
          <w:sz w:val="20"/>
        </w:rPr>
        <w:t>non-compliance</w:t>
      </w:r>
      <w:r>
        <w:rPr>
          <w:rFonts w:ascii="Times New Roman;Times;serif" w:hAnsi="Times New Roman;Times;serif"/>
          <w:spacing w:val="-1"/>
          <w:sz w:val="20"/>
        </w:rPr>
        <w:t xml:space="preserve"> </w:t>
      </w:r>
      <w:r>
        <w:rPr>
          <w:rFonts w:ascii="Times New Roman;Times;serif" w:hAnsi="Times New Roman;Times;serif"/>
          <w:sz w:val="20"/>
        </w:rPr>
        <w:t>citations</w:t>
      </w:r>
      <w:r>
        <w:rPr>
          <w:rFonts w:ascii="Times New Roman;Times;serif" w:hAnsi="Times New Roman;Times;serif"/>
          <w:spacing w:val="-2"/>
          <w:sz w:val="20"/>
        </w:rPr>
        <w:t xml:space="preserve"> </w:t>
      </w:r>
      <w:r>
        <w:rPr>
          <w:rFonts w:ascii="Times New Roman;Times;serif" w:hAnsi="Times New Roman;Times;serif"/>
          <w:sz w:val="20"/>
        </w:rPr>
        <w:t>or</w:t>
      </w:r>
      <w:r>
        <w:rPr>
          <w:rFonts w:ascii="Times New Roman;Times;serif" w:hAnsi="Times New Roman;Times;serif"/>
          <w:spacing w:val="-2"/>
          <w:sz w:val="20"/>
        </w:rPr>
        <w:t xml:space="preserve"> </w:t>
      </w:r>
      <w:r>
        <w:rPr>
          <w:rFonts w:ascii="Times New Roman;Times;serif" w:hAnsi="Times New Roman;Times;serif"/>
          <w:sz w:val="20"/>
        </w:rPr>
        <w:t>notices</w:t>
      </w:r>
      <w:r>
        <w:rPr>
          <w:rFonts w:ascii="Times New Roman;Times;serif" w:hAnsi="Times New Roman;Times;serif"/>
          <w:spacing w:val="-2"/>
          <w:sz w:val="20"/>
        </w:rPr>
        <w:t xml:space="preserve"> </w:t>
      </w:r>
      <w:r>
        <w:rPr>
          <w:rFonts w:ascii="Times New Roman;Times;serif" w:hAnsi="Times New Roman;Times;serif"/>
          <w:sz w:val="20"/>
        </w:rPr>
        <w:t>of</w:t>
      </w:r>
      <w:r>
        <w:rPr>
          <w:rFonts w:ascii="Times New Roman;Times;serif" w:hAnsi="Times New Roman;Times;serif"/>
          <w:spacing w:val="-2"/>
          <w:sz w:val="20"/>
        </w:rPr>
        <w:t xml:space="preserve"> </w:t>
      </w:r>
      <w:r>
        <w:rPr>
          <w:rFonts w:ascii="Times New Roman;Times;serif" w:hAnsi="Times New Roman;Times;serif"/>
          <w:sz w:val="20"/>
        </w:rPr>
        <w:t>violation which may</w:t>
      </w:r>
      <w:r>
        <w:rPr>
          <w:rFonts w:ascii="Times New Roman;Times;serif" w:hAnsi="Times New Roman;Times;serif"/>
          <w:spacing w:val="-4"/>
          <w:sz w:val="20"/>
        </w:rPr>
        <w:t xml:space="preserve"> </w:t>
      </w:r>
      <w:r>
        <w:rPr>
          <w:rFonts w:ascii="Times New Roman;Times;serif" w:hAnsi="Times New Roman;Times;serif"/>
          <w:sz w:val="20"/>
        </w:rPr>
        <w:t>have</w:t>
      </w:r>
      <w:r>
        <w:rPr>
          <w:rFonts w:ascii="Times New Roman;Times;serif" w:hAnsi="Times New Roman;Times;serif"/>
          <w:spacing w:val="-1"/>
          <w:sz w:val="20"/>
        </w:rPr>
        <w:t xml:space="preserve"> </w:t>
      </w:r>
      <w:r>
        <w:rPr>
          <w:rFonts w:ascii="Times New Roman;Times;serif" w:hAnsi="Times New Roman;Times;serif"/>
          <w:sz w:val="20"/>
        </w:rPr>
        <w:t>an</w:t>
      </w:r>
      <w:r>
        <w:rPr>
          <w:rFonts w:ascii="Times New Roman;Times;serif" w:hAnsi="Times New Roman;Times;serif"/>
          <w:spacing w:val="-2"/>
          <w:sz w:val="20"/>
        </w:rPr>
        <w:t xml:space="preserve"> </w:t>
      </w:r>
      <w:r>
        <w:rPr>
          <w:rFonts w:ascii="Times New Roman;Times;serif" w:hAnsi="Times New Roman;Times;serif"/>
          <w:sz w:val="20"/>
        </w:rPr>
        <w:t>impact</w:t>
      </w:r>
      <w:r>
        <w:rPr>
          <w:rFonts w:ascii="Times New Roman;Times;serif" w:hAnsi="Times New Roman;Times;serif"/>
          <w:spacing w:val="-2"/>
          <w:sz w:val="20"/>
        </w:rPr>
        <w:t xml:space="preserve"> </w:t>
      </w:r>
      <w:r>
        <w:rPr>
          <w:rFonts w:ascii="Times New Roman;Times;serif" w:hAnsi="Times New Roman;Times;serif"/>
          <w:sz w:val="20"/>
        </w:rPr>
        <w:t>on</w:t>
      </w:r>
      <w:r>
        <w:rPr>
          <w:rFonts w:ascii="Times New Roman;Times;serif" w:hAnsi="Times New Roman;Times;serif"/>
          <w:spacing w:val="-2"/>
          <w:sz w:val="20"/>
        </w:rPr>
        <w:t xml:space="preserve"> </w:t>
      </w:r>
      <w:r>
        <w:rPr>
          <w:rFonts w:ascii="Times New Roman;Times;serif" w:hAnsi="Times New Roman;Times;serif"/>
          <w:sz w:val="20"/>
        </w:rPr>
        <w:t>the Company’s</w:t>
      </w:r>
      <w:r>
        <w:rPr>
          <w:rFonts w:ascii="Times New Roman;Times;serif" w:hAnsi="Times New Roman;Times;serif"/>
          <w:spacing w:val="11"/>
          <w:sz w:val="20"/>
        </w:rPr>
        <w:t xml:space="preserve"> </w:t>
      </w:r>
      <w:r>
        <w:rPr>
          <w:rFonts w:ascii="Times New Roman;Times;serif" w:hAnsi="Times New Roman;Times;serif"/>
          <w:sz w:val="20"/>
        </w:rPr>
        <w:t>licensing,</w:t>
      </w:r>
      <w:r>
        <w:rPr>
          <w:rFonts w:ascii="Times New Roman;Times;serif" w:hAnsi="Times New Roman;Times;serif"/>
          <w:spacing w:val="13"/>
          <w:sz w:val="20"/>
        </w:rPr>
        <w:t xml:space="preserve"> </w:t>
      </w:r>
      <w:r>
        <w:rPr>
          <w:rFonts w:ascii="Times New Roman;Times;serif" w:hAnsi="Times New Roman;Times;serif"/>
          <w:sz w:val="20"/>
        </w:rPr>
        <w:t>business</w:t>
      </w:r>
      <w:r>
        <w:rPr>
          <w:rFonts w:ascii="Times New Roman;Times;serif" w:hAnsi="Times New Roman;Times;serif"/>
          <w:spacing w:val="11"/>
          <w:sz w:val="20"/>
        </w:rPr>
        <w:t xml:space="preserve"> </w:t>
      </w:r>
      <w:r>
        <w:rPr>
          <w:rFonts w:ascii="Times New Roman;Times;serif" w:hAnsi="Times New Roman;Times;serif"/>
          <w:sz w:val="20"/>
        </w:rPr>
        <w:t>activities</w:t>
      </w:r>
      <w:r>
        <w:rPr>
          <w:rFonts w:ascii="Times New Roman;Times;serif" w:hAnsi="Times New Roman;Times;serif"/>
          <w:spacing w:val="11"/>
          <w:sz w:val="20"/>
        </w:rPr>
        <w:t xml:space="preserve"> </w:t>
      </w:r>
      <w:r>
        <w:rPr>
          <w:rFonts w:ascii="Times New Roman;Times;serif" w:hAnsi="Times New Roman;Times;serif"/>
          <w:sz w:val="20"/>
        </w:rPr>
        <w:t>or</w:t>
      </w:r>
      <w:r>
        <w:rPr>
          <w:rFonts w:ascii="Times New Roman;Times;serif" w:hAnsi="Times New Roman;Times;serif"/>
          <w:spacing w:val="13"/>
          <w:sz w:val="20"/>
        </w:rPr>
        <w:t xml:space="preserve"> </w:t>
      </w:r>
      <w:r>
        <w:rPr>
          <w:rFonts w:ascii="Times New Roman;Times;serif" w:hAnsi="Times New Roman;Times;serif"/>
          <w:sz w:val="20"/>
        </w:rPr>
        <w:t>operations</w:t>
      </w:r>
      <w:r>
        <w:rPr>
          <w:rFonts w:ascii="Times New Roman;Times;serif" w:hAnsi="Times New Roman;Times;serif"/>
          <w:spacing w:val="11"/>
          <w:sz w:val="20"/>
        </w:rPr>
        <w:t xml:space="preserve"> </w:t>
      </w:r>
      <w:r>
        <w:rPr>
          <w:rFonts w:ascii="Times New Roman;Times;serif" w:hAnsi="Times New Roman;Times;serif"/>
          <w:sz w:val="20"/>
        </w:rPr>
        <w:t>are</w:t>
      </w:r>
      <w:r>
        <w:rPr>
          <w:rFonts w:ascii="Times New Roman;Times;serif" w:hAnsi="Times New Roman;Times;serif"/>
          <w:spacing w:val="10"/>
          <w:sz w:val="20"/>
        </w:rPr>
        <w:t xml:space="preserve"> </w:t>
      </w:r>
      <w:r>
        <w:rPr>
          <w:rFonts w:ascii="Times New Roman;Times;serif" w:hAnsi="Times New Roman;Times;serif"/>
          <w:sz w:val="20"/>
        </w:rPr>
        <w:t>required</w:t>
      </w:r>
      <w:r>
        <w:rPr>
          <w:rFonts w:ascii="Times New Roman;Times;serif" w:hAnsi="Times New Roman;Times;serif"/>
          <w:spacing w:val="11"/>
          <w:sz w:val="20"/>
        </w:rPr>
        <w:t xml:space="preserve"> </w:t>
      </w:r>
      <w:r>
        <w:rPr>
          <w:rFonts w:ascii="Times New Roman;Times;serif" w:hAnsi="Times New Roman;Times;serif"/>
          <w:sz w:val="20"/>
        </w:rPr>
        <w:t>by</w:t>
      </w:r>
      <w:r>
        <w:rPr>
          <w:rFonts w:ascii="Times New Roman;Times;serif" w:hAnsi="Times New Roman;Times;serif"/>
          <w:spacing w:val="9"/>
          <w:sz w:val="20"/>
        </w:rPr>
        <w:t xml:space="preserve"> </w:t>
      </w:r>
      <w:r>
        <w:rPr>
          <w:rFonts w:ascii="Times New Roman;Times;serif" w:hAnsi="Times New Roman;Times;serif"/>
          <w:sz w:val="20"/>
        </w:rPr>
        <w:t>Staff</w:t>
      </w:r>
      <w:r>
        <w:rPr>
          <w:rFonts w:ascii="Times New Roman;Times;serif" w:hAnsi="Times New Roman;Times;serif"/>
          <w:spacing w:val="9"/>
          <w:sz w:val="20"/>
        </w:rPr>
        <w:t xml:space="preserve"> </w:t>
      </w:r>
      <w:r>
        <w:rPr>
          <w:rFonts w:ascii="Times New Roman;Times;serif" w:hAnsi="Times New Roman;Times;serif"/>
          <w:sz w:val="20"/>
        </w:rPr>
        <w:t>Notice</w:t>
      </w:r>
      <w:r>
        <w:rPr>
          <w:rFonts w:ascii="Times New Roman;Times;serif" w:hAnsi="Times New Roman;Times;serif"/>
          <w:spacing w:val="12"/>
          <w:sz w:val="20"/>
        </w:rPr>
        <w:t xml:space="preserve"> </w:t>
      </w:r>
      <w:r>
        <w:rPr>
          <w:rFonts w:ascii="Times New Roman;Times;serif" w:hAnsi="Times New Roman;Times;serif"/>
          <w:sz w:val="20"/>
        </w:rPr>
        <w:t>51-352</w:t>
      </w:r>
      <w:r>
        <w:rPr>
          <w:rFonts w:ascii="Times New Roman;Times;serif" w:hAnsi="Times New Roman;Times;serif"/>
          <w:spacing w:val="13"/>
          <w:sz w:val="20"/>
        </w:rPr>
        <w:t xml:space="preserve"> </w:t>
      </w:r>
      <w:r>
        <w:rPr>
          <w:rFonts w:ascii="Times New Roman;Times;serif" w:hAnsi="Times New Roman;Times;serif"/>
          <w:sz w:val="20"/>
        </w:rPr>
        <w:t>to</w:t>
      </w:r>
      <w:r>
        <w:rPr>
          <w:rFonts w:ascii="Times New Roman;Times;serif" w:hAnsi="Times New Roman;Times;serif"/>
          <w:spacing w:val="11"/>
          <w:sz w:val="20"/>
        </w:rPr>
        <w:t xml:space="preserve"> </w:t>
      </w:r>
      <w:r>
        <w:rPr>
          <w:rFonts w:ascii="Times New Roman;Times;serif" w:hAnsi="Times New Roman;Times;serif"/>
          <w:sz w:val="20"/>
        </w:rPr>
        <w:t>be</w:t>
      </w:r>
      <w:r>
        <w:rPr>
          <w:rFonts w:ascii="Times New Roman;Times;serif" w:hAnsi="Times New Roman;Times;serif"/>
          <w:spacing w:val="11"/>
          <w:sz w:val="20"/>
        </w:rPr>
        <w:t xml:space="preserve"> </w:t>
      </w:r>
      <w:r>
        <w:rPr>
          <w:rFonts w:ascii="Times New Roman;Times;serif" w:hAnsi="Times New Roman;Times;serif"/>
          <w:sz w:val="20"/>
        </w:rPr>
        <w:t>promptly</w:t>
      </w:r>
      <w:r>
        <w:rPr>
          <w:rFonts w:ascii="Times New Roman;Times;serif" w:hAnsi="Times New Roman;Times;serif"/>
          <w:spacing w:val="9"/>
          <w:sz w:val="20"/>
        </w:rPr>
        <w:t xml:space="preserve"> </w:t>
      </w:r>
      <w:r>
        <w:rPr>
          <w:rFonts w:ascii="Times New Roman;Times;serif" w:hAnsi="Times New Roman;Times;serif"/>
          <w:sz w:val="20"/>
        </w:rPr>
        <w:t>disclosed</w:t>
      </w:r>
      <w:r>
        <w:rPr>
          <w:rFonts w:ascii="Times New Roman;Times;serif" w:hAnsi="Times New Roman;Times;serif"/>
          <w:spacing w:val="13"/>
          <w:sz w:val="20"/>
        </w:rPr>
        <w:t xml:space="preserve"> </w:t>
      </w:r>
      <w:r>
        <w:rPr>
          <w:rFonts w:ascii="Times New Roman;Times;serif" w:hAnsi="Times New Roman;Times;serif"/>
          <w:sz w:val="20"/>
        </w:rPr>
        <w:t>by</w:t>
      </w:r>
      <w:r>
        <w:rPr>
          <w:rFonts w:ascii="Times New Roman;Times;serif" w:hAnsi="Times New Roman;Times;serif"/>
          <w:spacing w:val="-2"/>
          <w:sz w:val="20"/>
        </w:rPr>
        <w:t xml:space="preserve"> </w:t>
      </w:r>
      <w:r>
        <w:rPr>
          <w:rFonts w:ascii="Times New Roman;Times;serif" w:hAnsi="Times New Roman;Times;serif"/>
          <w:sz w:val="20"/>
        </w:rPr>
        <w:t>the Company</w:t>
      </w:r>
    </w:p>
    <w:p>
      <w:pPr>
        <w:pStyle w:val="TextBody"/>
        <w:spacing w:before="0" w:after="240"/>
        <w:ind w:left="100" w:right="99" w:hanging="0"/>
        <w:jc w:val="both"/>
        <w:rPr>
          <w:rFonts w:ascii="Times New Roman;Times;serif" w:hAnsi="Times New Roman;Times;serif"/>
          <w:sz w:val="20"/>
        </w:rPr>
      </w:pPr>
      <w:r>
        <w:rPr>
          <w:rFonts w:ascii="Times New Roman;Times;serif" w:hAnsi="Times New Roman;Times;serif"/>
          <w:sz w:val="20"/>
        </w:rPr>
        <w:t>Compliance Activities</w:t>
      </w:r>
    </w:p>
    <w:p>
      <w:pPr>
        <w:pStyle w:val="TextBody"/>
        <w:spacing w:before="90" w:after="240"/>
        <w:ind w:left="100" w:right="101" w:hanging="0"/>
        <w:jc w:val="both"/>
        <w:rPr>
          <w:rFonts w:ascii="Times New Roman;Times;serif" w:hAnsi="Times New Roman;Times;serif"/>
          <w:sz w:val="20"/>
        </w:rPr>
      </w:pPr>
      <w:r>
        <w:rPr>
          <w:rFonts w:ascii="Times New Roman;Times;serif" w:hAnsi="Times New Roman;Times;serif"/>
          <w:sz w:val="20"/>
        </w:rPr>
        <w:t>Despite</w:t>
      </w:r>
      <w:r>
        <w:rPr>
          <w:rFonts w:ascii="Times New Roman;Times;serif" w:hAnsi="Times New Roman;Times;serif"/>
          <w:spacing w:val="40"/>
          <w:sz w:val="20"/>
        </w:rPr>
        <w:t xml:space="preserve"> </w:t>
      </w:r>
      <w:r>
        <w:rPr>
          <w:rFonts w:ascii="Times New Roman;Times;serif" w:hAnsi="Times New Roman;Times;serif"/>
          <w:sz w:val="20"/>
        </w:rPr>
        <w:t>the</w:t>
      </w:r>
      <w:r>
        <w:rPr>
          <w:rFonts w:ascii="Times New Roman;Times;serif" w:hAnsi="Times New Roman;Times;serif"/>
          <w:spacing w:val="40"/>
          <w:sz w:val="20"/>
        </w:rPr>
        <w:t xml:space="preserve"> </w:t>
      </w:r>
      <w:r>
        <w:rPr>
          <w:rFonts w:ascii="Times New Roman;Times;serif" w:hAnsi="Times New Roman;Times;serif"/>
          <w:sz w:val="20"/>
        </w:rPr>
        <w:t>recent</w:t>
      </w:r>
      <w:r>
        <w:rPr>
          <w:rFonts w:ascii="Times New Roman;Times;serif" w:hAnsi="Times New Roman;Times;serif"/>
          <w:spacing w:val="40"/>
          <w:sz w:val="20"/>
        </w:rPr>
        <w:t xml:space="preserve"> </w:t>
      </w:r>
      <w:r>
        <w:rPr>
          <w:rFonts w:ascii="Times New Roman;Times;serif" w:hAnsi="Times New Roman;Times;serif"/>
          <w:sz w:val="20"/>
        </w:rPr>
        <w:t>rescission</w:t>
      </w:r>
      <w:r>
        <w:rPr>
          <w:rFonts w:ascii="Times New Roman;Times;serif" w:hAnsi="Times New Roman;Times;serif"/>
          <w:spacing w:val="40"/>
          <w:sz w:val="20"/>
        </w:rPr>
        <w:t xml:space="preserve"> </w:t>
      </w:r>
      <w:r>
        <w:rPr>
          <w:rFonts w:ascii="Times New Roman;Times;serif" w:hAnsi="Times New Roman;Times;serif"/>
          <w:sz w:val="20"/>
        </w:rPr>
        <w:t>of</w:t>
      </w:r>
      <w:r>
        <w:rPr>
          <w:rFonts w:ascii="Times New Roman;Times;serif" w:hAnsi="Times New Roman;Times;serif"/>
          <w:spacing w:val="40"/>
          <w:sz w:val="20"/>
        </w:rPr>
        <w:t xml:space="preserve"> </w:t>
      </w:r>
      <w:r>
        <w:rPr>
          <w:rFonts w:ascii="Times New Roman;Times;serif" w:hAnsi="Times New Roman;Times;serif"/>
          <w:sz w:val="20"/>
        </w:rPr>
        <w:t>the</w:t>
      </w:r>
      <w:r>
        <w:rPr>
          <w:rFonts w:ascii="Times New Roman;Times;serif" w:hAnsi="Times New Roman;Times;serif"/>
          <w:spacing w:val="40"/>
          <w:sz w:val="20"/>
        </w:rPr>
        <w:t xml:space="preserve"> </w:t>
      </w:r>
      <w:r>
        <w:rPr>
          <w:rFonts w:ascii="Times New Roman;Times;serif" w:hAnsi="Times New Roman;Times;serif"/>
          <w:sz w:val="20"/>
        </w:rPr>
        <w:t>Cole</w:t>
      </w:r>
      <w:r>
        <w:rPr>
          <w:rFonts w:ascii="Times New Roman;Times;serif" w:hAnsi="Times New Roman;Times;serif"/>
          <w:spacing w:val="40"/>
          <w:sz w:val="20"/>
        </w:rPr>
        <w:t xml:space="preserve"> </w:t>
      </w:r>
      <w:r>
        <w:rPr>
          <w:rFonts w:ascii="Times New Roman;Times;serif" w:hAnsi="Times New Roman;Times;serif"/>
          <w:sz w:val="20"/>
        </w:rPr>
        <w:t>Memorandum,</w:t>
      </w:r>
      <w:r>
        <w:rPr>
          <w:rFonts w:ascii="Times New Roman;Times;serif" w:hAnsi="Times New Roman;Times;serif"/>
          <w:spacing w:val="40"/>
          <w:sz w:val="20"/>
        </w:rPr>
        <w:t xml:space="preserve"> </w:t>
      </w:r>
      <w:r>
        <w:rPr>
          <w:rFonts w:ascii="Times New Roman;Times;serif" w:hAnsi="Times New Roman;Times;serif"/>
          <w:sz w:val="20"/>
        </w:rPr>
        <w:t>the Company</w:t>
      </w:r>
      <w:r>
        <w:rPr>
          <w:rFonts w:ascii="Times New Roman;Times;serif" w:hAnsi="Times New Roman;Times;serif"/>
          <w:spacing w:val="40"/>
          <w:sz w:val="20"/>
        </w:rPr>
        <w:t xml:space="preserve"> </w:t>
      </w:r>
      <w:r>
        <w:rPr>
          <w:rFonts w:ascii="Times New Roman;Times;serif" w:hAnsi="Times New Roman;Times;serif"/>
          <w:sz w:val="20"/>
        </w:rPr>
        <w:t>continues</w:t>
      </w:r>
      <w:r>
        <w:rPr>
          <w:rFonts w:ascii="Times New Roman;Times;serif" w:hAnsi="Times New Roman;Times;serif"/>
          <w:spacing w:val="40"/>
          <w:sz w:val="20"/>
        </w:rPr>
        <w:t xml:space="preserve"> </w:t>
      </w:r>
      <w:r>
        <w:rPr>
          <w:rFonts w:ascii="Times New Roman;Times;serif" w:hAnsi="Times New Roman;Times;serif"/>
          <w:sz w:val="20"/>
        </w:rPr>
        <w:t>to</w:t>
      </w:r>
      <w:r>
        <w:rPr>
          <w:rFonts w:ascii="Times New Roman;Times;serif" w:hAnsi="Times New Roman;Times;serif"/>
          <w:spacing w:val="40"/>
          <w:sz w:val="20"/>
        </w:rPr>
        <w:t xml:space="preserve"> </w:t>
      </w:r>
      <w:r>
        <w:rPr>
          <w:rFonts w:ascii="Times New Roman;Times;serif" w:hAnsi="Times New Roman;Times;serif"/>
          <w:sz w:val="20"/>
        </w:rPr>
        <w:t>do</w:t>
      </w:r>
      <w:r>
        <w:rPr>
          <w:rFonts w:ascii="Times New Roman;Times;serif" w:hAnsi="Times New Roman;Times;serif"/>
          <w:spacing w:val="40"/>
          <w:sz w:val="20"/>
        </w:rPr>
        <w:t xml:space="preserve"> </w:t>
      </w:r>
      <w:r>
        <w:rPr>
          <w:rFonts w:ascii="Times New Roman;Times;serif" w:hAnsi="Times New Roman;Times;serif"/>
          <w:sz w:val="20"/>
        </w:rPr>
        <w:t>the</w:t>
      </w:r>
      <w:r>
        <w:rPr>
          <w:rFonts w:ascii="Times New Roman;Times;serif" w:hAnsi="Times New Roman;Times;serif"/>
          <w:spacing w:val="40"/>
          <w:sz w:val="20"/>
        </w:rPr>
        <w:t xml:space="preserve"> </w:t>
      </w:r>
      <w:r>
        <w:rPr>
          <w:rFonts w:ascii="Times New Roman;Times;serif" w:hAnsi="Times New Roman;Times;serif"/>
          <w:sz w:val="20"/>
        </w:rPr>
        <w:t>following</w:t>
      </w:r>
      <w:r>
        <w:rPr>
          <w:rFonts w:ascii="Times New Roman;Times;serif" w:hAnsi="Times New Roman;Times;serif"/>
          <w:spacing w:val="40"/>
          <w:sz w:val="20"/>
        </w:rPr>
        <w:t xml:space="preserve"> </w:t>
      </w:r>
      <w:r>
        <w:rPr>
          <w:rFonts w:ascii="Times New Roman;Times;serif" w:hAnsi="Times New Roman;Times;serif"/>
          <w:sz w:val="20"/>
        </w:rPr>
        <w:t>towards</w:t>
      </w:r>
      <w:r>
        <w:rPr>
          <w:rFonts w:ascii="Times New Roman;Times;serif" w:hAnsi="Times New Roman;Times;serif"/>
          <w:spacing w:val="40"/>
          <w:sz w:val="20"/>
        </w:rPr>
        <w:t xml:space="preserve"> </w:t>
      </w:r>
      <w:r>
        <w:rPr>
          <w:rFonts w:ascii="Times New Roman;Times;serif" w:hAnsi="Times New Roman;Times;serif"/>
          <w:sz w:val="20"/>
        </w:rPr>
        <w:t>ensuring compliance</w:t>
      </w:r>
      <w:r>
        <w:rPr>
          <w:rFonts w:ascii="Times New Roman;Times;serif" w:hAnsi="Times New Roman;Times;serif"/>
          <w:spacing w:val="22"/>
          <w:sz w:val="20"/>
        </w:rPr>
        <w:t xml:space="preserve"> </w:t>
      </w:r>
      <w:r>
        <w:rPr>
          <w:rFonts w:ascii="Times New Roman;Times;serif" w:hAnsi="Times New Roman;Times;serif"/>
          <w:sz w:val="20"/>
        </w:rPr>
        <w:t>with</w:t>
      </w:r>
      <w:r>
        <w:rPr>
          <w:rFonts w:ascii="Times New Roman;Times;serif" w:hAnsi="Times New Roman;Times;serif"/>
          <w:spacing w:val="17"/>
          <w:sz w:val="20"/>
        </w:rPr>
        <w:t xml:space="preserve"> </w:t>
      </w:r>
      <w:r>
        <w:rPr>
          <w:rFonts w:ascii="Times New Roman;Times;serif" w:hAnsi="Times New Roman;Times;serif"/>
          <w:sz w:val="20"/>
        </w:rPr>
        <w:t>the</w:t>
      </w:r>
      <w:r>
        <w:rPr>
          <w:rFonts w:ascii="Times New Roman;Times;serif" w:hAnsi="Times New Roman;Times;serif"/>
          <w:spacing w:val="22"/>
          <w:sz w:val="20"/>
        </w:rPr>
        <w:t xml:space="preserve"> </w:t>
      </w:r>
      <w:r>
        <w:rPr>
          <w:rFonts w:ascii="Times New Roman;Times;serif" w:hAnsi="Times New Roman;Times;serif"/>
          <w:sz w:val="20"/>
        </w:rPr>
        <w:t>guidance</w:t>
      </w:r>
      <w:r>
        <w:rPr>
          <w:rFonts w:ascii="Times New Roman;Times;serif" w:hAnsi="Times New Roman;Times;serif"/>
          <w:spacing w:val="22"/>
          <w:sz w:val="20"/>
        </w:rPr>
        <w:t xml:space="preserve"> </w:t>
      </w:r>
      <w:r>
        <w:rPr>
          <w:rFonts w:ascii="Times New Roman;Times;serif" w:hAnsi="Times New Roman;Times;serif"/>
          <w:sz w:val="20"/>
        </w:rPr>
        <w:t>provided</w:t>
      </w:r>
      <w:r>
        <w:rPr>
          <w:rFonts w:ascii="Times New Roman;Times;serif" w:hAnsi="Times New Roman;Times;serif"/>
          <w:spacing w:val="17"/>
          <w:sz w:val="20"/>
        </w:rPr>
        <w:t xml:space="preserve"> </w:t>
      </w:r>
      <w:r>
        <w:rPr>
          <w:rFonts w:ascii="Times New Roman;Times;serif" w:hAnsi="Times New Roman;Times;serif"/>
          <w:sz w:val="20"/>
        </w:rPr>
        <w:t>by</w:t>
      </w:r>
      <w:r>
        <w:rPr>
          <w:rFonts w:ascii="Times New Roman;Times;serif" w:hAnsi="Times New Roman;Times;serif"/>
          <w:spacing w:val="15"/>
          <w:sz w:val="20"/>
        </w:rPr>
        <w:t xml:space="preserve"> </w:t>
      </w:r>
      <w:r>
        <w:rPr>
          <w:rFonts w:ascii="Times New Roman;Times;serif" w:hAnsi="Times New Roman;Times;serif"/>
          <w:sz w:val="20"/>
        </w:rPr>
        <w:t>the</w:t>
      </w:r>
      <w:r>
        <w:rPr>
          <w:rFonts w:ascii="Times New Roman;Times;serif" w:hAnsi="Times New Roman;Times;serif"/>
          <w:spacing w:val="21"/>
          <w:sz w:val="20"/>
        </w:rPr>
        <w:t xml:space="preserve"> </w:t>
      </w:r>
      <w:r>
        <w:rPr>
          <w:rFonts w:ascii="Times New Roman;Times;serif" w:hAnsi="Times New Roman;Times;serif"/>
          <w:sz w:val="20"/>
        </w:rPr>
        <w:t>Cole</w:t>
      </w:r>
      <w:r>
        <w:rPr>
          <w:rFonts w:ascii="Times New Roman;Times;serif" w:hAnsi="Times New Roman;Times;serif"/>
          <w:spacing w:val="18"/>
          <w:sz w:val="20"/>
        </w:rPr>
        <w:t xml:space="preserve"> </w:t>
      </w:r>
      <w:r>
        <w:rPr>
          <w:rFonts w:ascii="Times New Roman;Times;serif" w:hAnsi="Times New Roman;Times;serif"/>
          <w:sz w:val="20"/>
        </w:rPr>
        <w:t>Memorandum,</w:t>
      </w:r>
      <w:r>
        <w:rPr>
          <w:rFonts w:ascii="Times New Roman;Times;serif" w:hAnsi="Times New Roman;Times;serif"/>
          <w:spacing w:val="19"/>
          <w:sz w:val="20"/>
        </w:rPr>
        <w:t xml:space="preserve"> </w:t>
      </w:r>
      <w:r>
        <w:rPr>
          <w:rFonts w:ascii="Times New Roman;Times;serif" w:hAnsi="Times New Roman;Times;serif"/>
          <w:sz w:val="20"/>
        </w:rPr>
        <w:t>the</w:t>
      </w:r>
      <w:r>
        <w:rPr>
          <w:rFonts w:ascii="Times New Roman;Times;serif" w:hAnsi="Times New Roman;Times;serif"/>
          <w:spacing w:val="20"/>
          <w:sz w:val="20"/>
        </w:rPr>
        <w:t xml:space="preserve"> </w:t>
      </w:r>
      <w:r>
        <w:rPr>
          <w:rFonts w:ascii="Times New Roman;Times;serif" w:hAnsi="Times New Roman;Times;serif"/>
          <w:sz w:val="20"/>
        </w:rPr>
        <w:t>FinCEN</w:t>
      </w:r>
      <w:r>
        <w:rPr>
          <w:rFonts w:ascii="Times New Roman;Times;serif" w:hAnsi="Times New Roman;Times;serif"/>
          <w:spacing w:val="19"/>
          <w:sz w:val="20"/>
        </w:rPr>
        <w:t xml:space="preserve"> </w:t>
      </w:r>
      <w:r>
        <w:rPr>
          <w:rFonts w:ascii="Times New Roman;Times;serif" w:hAnsi="Times New Roman;Times;serif"/>
          <w:sz w:val="20"/>
        </w:rPr>
        <w:t>Guidance,</w:t>
      </w:r>
      <w:r>
        <w:rPr>
          <w:rFonts w:ascii="Times New Roman;Times;serif" w:hAnsi="Times New Roman;Times;serif"/>
          <w:spacing w:val="19"/>
          <w:sz w:val="20"/>
        </w:rPr>
        <w:t xml:space="preserve"> </w:t>
      </w:r>
      <w:r>
        <w:rPr>
          <w:rFonts w:ascii="Times New Roman;Times;serif" w:hAnsi="Times New Roman;Times;serif"/>
          <w:sz w:val="20"/>
        </w:rPr>
        <w:t>and</w:t>
      </w:r>
      <w:r>
        <w:rPr>
          <w:rFonts w:ascii="Times New Roman;Times;serif" w:hAnsi="Times New Roman;Times;serif"/>
          <w:spacing w:val="21"/>
          <w:sz w:val="20"/>
        </w:rPr>
        <w:t xml:space="preserve"> </w:t>
      </w:r>
      <w:r>
        <w:rPr>
          <w:rFonts w:ascii="Times New Roman;Times;serif" w:hAnsi="Times New Roman;Times;serif"/>
          <w:sz w:val="20"/>
        </w:rPr>
        <w:t>other</w:t>
      </w:r>
      <w:r>
        <w:rPr>
          <w:rFonts w:ascii="Times New Roman;Times;serif" w:hAnsi="Times New Roman;Times;serif"/>
          <w:spacing w:val="19"/>
          <w:sz w:val="20"/>
        </w:rPr>
        <w:t xml:space="preserve"> </w:t>
      </w:r>
      <w:r>
        <w:rPr>
          <w:rFonts w:ascii="Times New Roman;Times;serif" w:hAnsi="Times New Roman;Times;serif"/>
          <w:sz w:val="20"/>
        </w:rPr>
        <w:t>best</w:t>
      </w:r>
      <w:r>
        <w:rPr>
          <w:rFonts w:ascii="Times New Roman;Times;serif" w:hAnsi="Times New Roman;Times;serif"/>
          <w:spacing w:val="19"/>
          <w:sz w:val="20"/>
        </w:rPr>
        <w:t xml:space="preserve"> </w:t>
      </w:r>
      <w:r>
        <w:rPr>
          <w:rFonts w:ascii="Times New Roman;Times;serif" w:hAnsi="Times New Roman;Times;serif"/>
          <w:sz w:val="20"/>
        </w:rPr>
        <w:t>industry practices:</w:t>
      </w:r>
    </w:p>
    <w:tbl>
      <w:tblPr>
        <w:tblW w:w="10205" w:type="dxa"/>
        <w:jc w:val="left"/>
        <w:tblInd w:w="0" w:type="dxa"/>
        <w:tblCellMar>
          <w:top w:w="28" w:type="dxa"/>
          <w:left w:w="28" w:type="dxa"/>
          <w:bottom w:w="28" w:type="dxa"/>
          <w:right w:w="28" w:type="dxa"/>
        </w:tblCellMar>
      </w:tblPr>
      <w:tblGrid>
        <w:gridCol w:w="124"/>
        <w:gridCol w:w="256"/>
        <w:gridCol w:w="9671"/>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671"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The Company</w:t>
            </w:r>
            <w:r>
              <w:rPr>
                <w:caps w:val="false"/>
                <w:smallCaps w:val="false"/>
                <w:spacing w:val="30"/>
              </w:rPr>
              <w:t xml:space="preserve"> </w:t>
            </w:r>
            <w:r>
              <w:rPr>
                <w:rFonts w:ascii="Times New Roman;Times;serif" w:hAnsi="Times New Roman;Times;serif"/>
                <w:b w:val="false"/>
                <w:i w:val="false"/>
                <w:caps w:val="false"/>
                <w:smallCaps w:val="false"/>
                <w:sz w:val="20"/>
              </w:rPr>
              <w:t>and</w:t>
            </w:r>
            <w:r>
              <w:rPr>
                <w:caps w:val="false"/>
                <w:smallCaps w:val="false"/>
                <w:spacing w:val="32"/>
              </w:rPr>
              <w:t xml:space="preserve"> </w:t>
            </w:r>
            <w:r>
              <w:rPr>
                <w:rFonts w:ascii="Times New Roman;Times;serif" w:hAnsi="Times New Roman;Times;serif"/>
                <w:b w:val="false"/>
                <w:i w:val="false"/>
                <w:caps w:val="false"/>
                <w:smallCaps w:val="false"/>
                <w:sz w:val="20"/>
              </w:rPr>
              <w:t>its</w:t>
            </w:r>
            <w:r>
              <w:rPr>
                <w:caps w:val="false"/>
                <w:smallCaps w:val="false"/>
                <w:spacing w:val="32"/>
              </w:rPr>
              <w:t xml:space="preserve"> </w:t>
            </w:r>
            <w:r>
              <w:rPr>
                <w:rFonts w:ascii="Times New Roman;Times;serif" w:hAnsi="Times New Roman;Times;serif"/>
                <w:b w:val="false"/>
                <w:i w:val="false"/>
                <w:caps w:val="false"/>
                <w:smallCaps w:val="false"/>
                <w:sz w:val="20"/>
              </w:rPr>
              <w:t>subsidiaries</w:t>
            </w:r>
            <w:r>
              <w:rPr>
                <w:caps w:val="false"/>
                <w:smallCaps w:val="false"/>
                <w:spacing w:val="28"/>
              </w:rPr>
              <w:t xml:space="preserve"> </w:t>
            </w:r>
            <w:r>
              <w:rPr>
                <w:rFonts w:ascii="Times New Roman;Times;serif" w:hAnsi="Times New Roman;Times;serif"/>
                <w:b w:val="false"/>
                <w:i w:val="false"/>
                <w:caps w:val="false"/>
                <w:smallCaps w:val="false"/>
                <w:sz w:val="20"/>
              </w:rPr>
              <w:t>operate</w:t>
            </w:r>
            <w:r>
              <w:rPr>
                <w:caps w:val="false"/>
                <w:smallCaps w:val="false"/>
                <w:spacing w:val="30"/>
              </w:rPr>
              <w:t xml:space="preserve"> </w:t>
            </w:r>
            <w:r>
              <w:rPr>
                <w:rFonts w:ascii="Times New Roman;Times;serif" w:hAnsi="Times New Roman;Times;serif"/>
                <w:b w:val="false"/>
                <w:i w:val="false"/>
                <w:caps w:val="false"/>
                <w:smallCaps w:val="false"/>
                <w:sz w:val="20"/>
              </w:rPr>
              <w:t>in</w:t>
            </w:r>
            <w:r>
              <w:rPr>
                <w:caps w:val="false"/>
                <w:smallCaps w:val="false"/>
                <w:spacing w:val="28"/>
              </w:rPr>
              <w:t xml:space="preserve"> </w:t>
            </w:r>
            <w:r>
              <w:rPr>
                <w:rFonts w:ascii="Times New Roman;Times;serif" w:hAnsi="Times New Roman;Times;serif"/>
                <w:b w:val="false"/>
                <w:i w:val="false"/>
                <w:caps w:val="false"/>
                <w:smallCaps w:val="false"/>
                <w:sz w:val="20"/>
              </w:rPr>
              <w:t>compliance</w:t>
            </w:r>
            <w:r>
              <w:rPr>
                <w:caps w:val="false"/>
                <w:smallCaps w:val="false"/>
                <w:spacing w:val="32"/>
              </w:rPr>
              <w:t xml:space="preserve"> </w:t>
            </w:r>
            <w:r>
              <w:rPr>
                <w:rFonts w:ascii="Times New Roman;Times;serif" w:hAnsi="Times New Roman;Times;serif"/>
                <w:b w:val="false"/>
                <w:i w:val="false"/>
                <w:caps w:val="false"/>
                <w:smallCaps w:val="false"/>
                <w:sz w:val="20"/>
              </w:rPr>
              <w:t>with</w:t>
            </w:r>
            <w:r>
              <w:rPr>
                <w:caps w:val="false"/>
                <w:smallCaps w:val="false"/>
                <w:spacing w:val="28"/>
              </w:rPr>
              <w:t xml:space="preserve"> </w:t>
            </w:r>
            <w:r>
              <w:rPr>
                <w:rFonts w:ascii="Times New Roman;Times;serif" w:hAnsi="Times New Roman;Times;serif"/>
                <w:b w:val="false"/>
                <w:i w:val="false"/>
                <w:caps w:val="false"/>
                <w:smallCaps w:val="false"/>
                <w:sz w:val="20"/>
              </w:rPr>
              <w:t>licensing</w:t>
            </w:r>
            <w:r>
              <w:rPr>
                <w:caps w:val="false"/>
                <w:smallCaps w:val="false"/>
                <w:spacing w:val="28"/>
              </w:rPr>
              <w:t xml:space="preserve"> </w:t>
            </w:r>
            <w:r>
              <w:rPr>
                <w:rFonts w:ascii="Times New Roman;Times;serif" w:hAnsi="Times New Roman;Times;serif"/>
                <w:b w:val="false"/>
                <w:i w:val="false"/>
                <w:caps w:val="false"/>
                <w:smallCaps w:val="false"/>
                <w:sz w:val="20"/>
              </w:rPr>
              <w:t>requirements</w:t>
            </w:r>
            <w:r>
              <w:rPr>
                <w:caps w:val="false"/>
                <w:smallCaps w:val="false"/>
                <w:spacing w:val="28"/>
              </w:rPr>
              <w:t xml:space="preserve"> </w:t>
            </w:r>
            <w:r>
              <w:rPr>
                <w:rFonts w:ascii="Times New Roman;Times;serif" w:hAnsi="Times New Roman;Times;serif"/>
                <w:b w:val="false"/>
                <w:i w:val="false"/>
                <w:caps w:val="false"/>
                <w:smallCaps w:val="false"/>
                <w:sz w:val="20"/>
              </w:rPr>
              <w:t>that</w:t>
            </w:r>
            <w:r>
              <w:rPr>
                <w:caps w:val="false"/>
                <w:smallCaps w:val="false"/>
                <w:spacing w:val="30"/>
              </w:rPr>
              <w:t xml:space="preserve"> </w:t>
            </w:r>
            <w:r>
              <w:rPr>
                <w:rFonts w:ascii="Times New Roman;Times;serif" w:hAnsi="Times New Roman;Times;serif"/>
                <w:b w:val="false"/>
                <w:i w:val="false"/>
                <w:caps w:val="false"/>
                <w:smallCaps w:val="false"/>
                <w:sz w:val="20"/>
              </w:rPr>
              <w:t>are</w:t>
            </w:r>
            <w:r>
              <w:rPr>
                <w:caps w:val="false"/>
                <w:smallCaps w:val="false"/>
                <w:spacing w:val="29"/>
              </w:rPr>
              <w:t xml:space="preserve"> </w:t>
            </w:r>
            <w:r>
              <w:rPr>
                <w:rFonts w:ascii="Times New Roman;Times;serif" w:hAnsi="Times New Roman;Times;serif"/>
                <w:b w:val="false"/>
                <w:i w:val="false"/>
                <w:caps w:val="false"/>
                <w:smallCaps w:val="false"/>
                <w:sz w:val="20"/>
              </w:rPr>
              <w:t>set</w:t>
            </w:r>
            <w:r>
              <w:rPr>
                <w:caps w:val="false"/>
                <w:smallCaps w:val="false"/>
                <w:spacing w:val="30"/>
              </w:rPr>
              <w:t xml:space="preserve"> </w:t>
            </w:r>
            <w:r>
              <w:rPr>
                <w:rFonts w:ascii="Times New Roman;Times;serif" w:hAnsi="Times New Roman;Times;serif"/>
                <w:b w:val="false"/>
                <w:i w:val="false"/>
                <w:caps w:val="false"/>
                <w:smallCaps w:val="false"/>
                <w:sz w:val="20"/>
              </w:rPr>
              <w:t>forth</w:t>
            </w:r>
            <w:r>
              <w:rPr>
                <w:caps w:val="false"/>
                <w:smallCaps w:val="false"/>
                <w:spacing w:val="30"/>
              </w:rPr>
              <w:t xml:space="preserve"> </w:t>
            </w:r>
            <w:r>
              <w:rPr>
                <w:rFonts w:ascii="Times New Roman;Times;serif" w:hAnsi="Times New Roman;Times;serif"/>
                <w:b w:val="false"/>
                <w:i w:val="false"/>
                <w:caps w:val="false"/>
                <w:smallCaps w:val="false"/>
                <w:sz w:val="20"/>
              </w:rPr>
              <w:t>with regards to</w:t>
            </w:r>
            <w:r>
              <w:rPr>
                <w:caps w:val="false"/>
                <w:smallCaps w:val="false"/>
                <w:spacing w:val="13"/>
              </w:rPr>
              <w:t xml:space="preserve"> </w:t>
            </w:r>
            <w:r>
              <w:rPr>
                <w:rFonts w:ascii="Times New Roman;Times;serif" w:hAnsi="Times New Roman;Times;serif"/>
                <w:b w:val="false"/>
                <w:i w:val="false"/>
                <w:caps w:val="false"/>
                <w:smallCaps w:val="false"/>
                <w:sz w:val="20"/>
              </w:rPr>
              <w:t>cannabis</w:t>
            </w:r>
            <w:r>
              <w:rPr>
                <w:caps w:val="false"/>
                <w:smallCaps w:val="false"/>
                <w:spacing w:val="11"/>
              </w:rPr>
              <w:t xml:space="preserve"> </w:t>
            </w:r>
            <w:r>
              <w:rPr>
                <w:rFonts w:ascii="Times New Roman;Times;serif" w:hAnsi="Times New Roman;Times;serif"/>
                <w:b w:val="false"/>
                <w:i w:val="false"/>
                <w:caps w:val="false"/>
                <w:smallCaps w:val="false"/>
                <w:sz w:val="20"/>
              </w:rPr>
              <w:t>operation</w:t>
            </w:r>
            <w:r>
              <w:rPr>
                <w:caps w:val="false"/>
                <w:smallCaps w:val="false"/>
                <w:spacing w:val="11"/>
              </w:rPr>
              <w:t xml:space="preserve"> </w:t>
            </w:r>
            <w:r>
              <w:rPr>
                <w:rFonts w:ascii="Times New Roman;Times;serif" w:hAnsi="Times New Roman;Times;serif"/>
                <w:b w:val="false"/>
                <w:i w:val="false"/>
                <w:caps w:val="false"/>
                <w:smallCaps w:val="false"/>
                <w:sz w:val="20"/>
              </w:rPr>
              <w:t>by</w:t>
            </w:r>
            <w:r>
              <w:rPr>
                <w:caps w:val="false"/>
                <w:smallCaps w:val="false"/>
                <w:spacing w:val="11"/>
              </w:rPr>
              <w:t xml:space="preserve"> </w:t>
            </w:r>
            <w:r>
              <w:rPr>
                <w:rFonts w:ascii="Times New Roman;Times;serif" w:hAnsi="Times New Roman;Times;serif"/>
                <w:b w:val="false"/>
                <w:i w:val="false"/>
                <w:caps w:val="false"/>
                <w:smallCaps w:val="false"/>
                <w:sz w:val="20"/>
              </w:rPr>
              <w:t>the</w:t>
            </w:r>
            <w:r>
              <w:rPr>
                <w:caps w:val="false"/>
                <w:smallCaps w:val="false"/>
                <w:spacing w:val="12"/>
              </w:rPr>
              <w:t xml:space="preserve"> </w:t>
            </w:r>
            <w:r>
              <w:rPr>
                <w:rFonts w:ascii="Times New Roman;Times;serif" w:hAnsi="Times New Roman;Times;serif"/>
                <w:b w:val="false"/>
                <w:i w:val="false"/>
                <w:caps w:val="false"/>
                <w:smallCaps w:val="false"/>
                <w:sz w:val="20"/>
              </w:rPr>
              <w:t>applicable</w:t>
            </w:r>
            <w:r>
              <w:rPr>
                <w:caps w:val="false"/>
                <w:smallCaps w:val="false"/>
                <w:spacing w:val="12"/>
              </w:rPr>
              <w:t xml:space="preserve"> </w:t>
            </w:r>
            <w:r>
              <w:rPr>
                <w:rFonts w:ascii="Times New Roman;Times;serif" w:hAnsi="Times New Roman;Times;serif"/>
                <w:b w:val="false"/>
                <w:i w:val="false"/>
                <w:caps w:val="false"/>
                <w:smallCaps w:val="false"/>
                <w:sz w:val="20"/>
              </w:rPr>
              <w:t>state,</w:t>
            </w:r>
            <w:r>
              <w:rPr>
                <w:caps w:val="false"/>
                <w:smallCaps w:val="false"/>
                <w:spacing w:val="11"/>
              </w:rPr>
              <w:t xml:space="preserve"> </w:t>
            </w:r>
            <w:r>
              <w:rPr>
                <w:rFonts w:ascii="Times New Roman;Times;serif" w:hAnsi="Times New Roman;Times;serif"/>
                <w:b w:val="false"/>
                <w:i w:val="false"/>
                <w:caps w:val="false"/>
                <w:smallCaps w:val="false"/>
                <w:sz w:val="20"/>
              </w:rPr>
              <w:t>county,</w:t>
            </w:r>
            <w:r>
              <w:rPr>
                <w:caps w:val="false"/>
                <w:smallCaps w:val="false"/>
                <w:spacing w:val="15"/>
              </w:rPr>
              <w:t xml:space="preserve"> </w:t>
            </w:r>
            <w:r>
              <w:rPr>
                <w:rFonts w:ascii="Times New Roman;Times;serif" w:hAnsi="Times New Roman;Times;serif"/>
                <w:b w:val="false"/>
                <w:i w:val="false"/>
                <w:caps w:val="false"/>
                <w:smallCaps w:val="false"/>
                <w:sz w:val="20"/>
              </w:rPr>
              <w:t>municipality,</w:t>
            </w:r>
            <w:r>
              <w:rPr>
                <w:caps w:val="false"/>
                <w:smallCaps w:val="false"/>
                <w:spacing w:val="11"/>
              </w:rPr>
              <w:t xml:space="preserve"> </w:t>
            </w:r>
            <w:r>
              <w:rPr>
                <w:rFonts w:ascii="Times New Roman;Times;serif" w:hAnsi="Times New Roman;Times;serif"/>
                <w:b w:val="false"/>
                <w:i w:val="false"/>
                <w:caps w:val="false"/>
                <w:smallCaps w:val="false"/>
                <w:sz w:val="20"/>
              </w:rPr>
              <w:t>town,</w:t>
            </w:r>
            <w:r>
              <w:rPr>
                <w:caps w:val="false"/>
                <w:smallCaps w:val="false"/>
                <w:spacing w:val="11"/>
              </w:rPr>
              <w:t xml:space="preserve"> </w:t>
            </w:r>
            <w:r>
              <w:rPr>
                <w:rFonts w:ascii="Times New Roman;Times;serif" w:hAnsi="Times New Roman;Times;serif"/>
                <w:b w:val="false"/>
                <w:i w:val="false"/>
                <w:caps w:val="false"/>
                <w:smallCaps w:val="false"/>
                <w:sz w:val="20"/>
              </w:rPr>
              <w:t>township,</w:t>
            </w:r>
            <w:r>
              <w:rPr>
                <w:caps w:val="false"/>
                <w:smallCaps w:val="false"/>
                <w:spacing w:val="11"/>
              </w:rPr>
              <w:t xml:space="preserve"> </w:t>
            </w:r>
            <w:r>
              <w:rPr>
                <w:rFonts w:ascii="Times New Roman;Times;serif" w:hAnsi="Times New Roman;Times;serif"/>
                <w:b w:val="false"/>
                <w:i w:val="false"/>
                <w:caps w:val="false"/>
                <w:smallCaps w:val="false"/>
                <w:sz w:val="20"/>
              </w:rPr>
              <w:t>borough, and other political/administrative divisions.</w:t>
            </w:r>
          </w:p>
        </w:tc>
        <w:tc>
          <w:tcPr>
            <w:tcW w:w="154" w:type="dxa"/>
            <w:tcBorders/>
            <w:shd w:fill="auto" w:val="cle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24"/>
        <w:gridCol w:w="256"/>
        <w:gridCol w:w="9671"/>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671"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The Company’s</w:t>
            </w:r>
            <w:r>
              <w:rPr>
                <w:caps w:val="false"/>
                <w:smallCaps w:val="false"/>
                <w:spacing w:val="14"/>
              </w:rPr>
              <w:t xml:space="preserve"> </w:t>
            </w:r>
            <w:r>
              <w:rPr>
                <w:rFonts w:ascii="Times New Roman;Times;serif" w:hAnsi="Times New Roman;Times;serif"/>
                <w:b w:val="false"/>
                <w:i w:val="false"/>
                <w:caps w:val="false"/>
                <w:smallCaps w:val="false"/>
                <w:sz w:val="20"/>
              </w:rPr>
              <w:t>cannabis-related</w:t>
            </w:r>
            <w:r>
              <w:rPr>
                <w:caps w:val="false"/>
                <w:smallCaps w:val="false"/>
                <w:spacing w:val="16"/>
              </w:rPr>
              <w:t xml:space="preserve"> </w:t>
            </w:r>
            <w:r>
              <w:rPr>
                <w:rFonts w:ascii="Times New Roman;Times;serif" w:hAnsi="Times New Roman;Times;serif"/>
                <w:b w:val="false"/>
                <w:i w:val="false"/>
                <w:caps w:val="false"/>
                <w:smallCaps w:val="false"/>
                <w:sz w:val="20"/>
              </w:rPr>
              <w:t>activities</w:t>
            </w:r>
            <w:r>
              <w:rPr>
                <w:caps w:val="false"/>
                <w:smallCaps w:val="false"/>
                <w:spacing w:val="14"/>
              </w:rPr>
              <w:t xml:space="preserve"> </w:t>
            </w:r>
            <w:r>
              <w:rPr>
                <w:rFonts w:ascii="Times New Roman;Times;serif" w:hAnsi="Times New Roman;Times;serif"/>
                <w:b w:val="false"/>
                <w:i w:val="false"/>
                <w:caps w:val="false"/>
                <w:smallCaps w:val="false"/>
                <w:sz w:val="20"/>
              </w:rPr>
              <w:t>adhere</w:t>
            </w:r>
            <w:r>
              <w:rPr>
                <w:caps w:val="false"/>
                <w:smallCaps w:val="false"/>
                <w:spacing w:val="14"/>
              </w:rPr>
              <w:t xml:space="preserve"> </w:t>
            </w:r>
            <w:r>
              <w:rPr>
                <w:rFonts w:ascii="Times New Roman;Times;serif" w:hAnsi="Times New Roman;Times;serif"/>
                <w:b w:val="false"/>
                <w:i w:val="false"/>
                <w:caps w:val="false"/>
                <w:smallCaps w:val="false"/>
                <w:sz w:val="20"/>
              </w:rPr>
              <w:t>to</w:t>
            </w:r>
            <w:r>
              <w:rPr>
                <w:caps w:val="false"/>
                <w:smallCaps w:val="false"/>
                <w:spacing w:val="18"/>
              </w:rPr>
              <w:t xml:space="preserve"> </w:t>
            </w:r>
            <w:r>
              <w:rPr>
                <w:rFonts w:ascii="Times New Roman;Times;serif" w:hAnsi="Times New Roman;Times;serif"/>
                <w:b w:val="false"/>
                <w:i w:val="false"/>
                <w:caps w:val="false"/>
                <w:smallCaps w:val="false"/>
                <w:sz w:val="20"/>
              </w:rPr>
              <w:t>the</w:t>
            </w:r>
            <w:r>
              <w:rPr>
                <w:caps w:val="false"/>
                <w:smallCaps w:val="false"/>
                <w:spacing w:val="16"/>
              </w:rPr>
              <w:t xml:space="preserve"> </w:t>
            </w:r>
            <w:r>
              <w:rPr>
                <w:rFonts w:ascii="Times New Roman;Times;serif" w:hAnsi="Times New Roman;Times;serif"/>
                <w:b w:val="false"/>
                <w:i w:val="false"/>
                <w:caps w:val="false"/>
                <w:smallCaps w:val="false"/>
                <w:sz w:val="20"/>
              </w:rPr>
              <w:t>scope</w:t>
            </w:r>
            <w:r>
              <w:rPr>
                <w:caps w:val="false"/>
                <w:smallCaps w:val="false"/>
                <w:spacing w:val="14"/>
              </w:rPr>
              <w:t xml:space="preserve"> </w:t>
            </w:r>
            <w:r>
              <w:rPr>
                <w:rFonts w:ascii="Times New Roman;Times;serif" w:hAnsi="Times New Roman;Times;serif"/>
                <w:b w:val="false"/>
                <w:i w:val="false"/>
                <w:caps w:val="false"/>
                <w:smallCaps w:val="false"/>
                <w:sz w:val="20"/>
              </w:rPr>
              <w:t>of</w:t>
            </w:r>
            <w:r>
              <w:rPr>
                <w:caps w:val="false"/>
                <w:smallCaps w:val="false"/>
                <w:spacing w:val="14"/>
              </w:rPr>
              <w:t xml:space="preserve"> </w:t>
            </w:r>
            <w:r>
              <w:rPr>
                <w:rFonts w:ascii="Times New Roman;Times;serif" w:hAnsi="Times New Roman;Times;serif"/>
                <w:b w:val="false"/>
                <w:i w:val="false"/>
                <w:caps w:val="false"/>
                <w:smallCaps w:val="false"/>
                <w:sz w:val="20"/>
              </w:rPr>
              <w:t>the</w:t>
            </w:r>
            <w:r>
              <w:rPr>
                <w:caps w:val="false"/>
                <w:smallCaps w:val="false"/>
                <w:spacing w:val="14"/>
              </w:rPr>
              <w:t xml:space="preserve"> </w:t>
            </w:r>
            <w:r>
              <w:rPr>
                <w:rFonts w:ascii="Times New Roman;Times;serif" w:hAnsi="Times New Roman;Times;serif"/>
                <w:b w:val="false"/>
                <w:i w:val="false"/>
                <w:caps w:val="false"/>
                <w:smallCaps w:val="false"/>
                <w:sz w:val="20"/>
              </w:rPr>
              <w:t>licensing</w:t>
            </w:r>
            <w:r>
              <w:rPr>
                <w:caps w:val="false"/>
                <w:smallCaps w:val="false"/>
                <w:spacing w:val="14"/>
              </w:rPr>
              <w:t xml:space="preserve"> </w:t>
            </w:r>
            <w:r>
              <w:rPr>
                <w:rFonts w:ascii="Times New Roman;Times;serif" w:hAnsi="Times New Roman;Times;serif"/>
                <w:b w:val="false"/>
                <w:i w:val="false"/>
                <w:caps w:val="false"/>
                <w:smallCaps w:val="false"/>
                <w:sz w:val="20"/>
              </w:rPr>
              <w:t>obtained</w:t>
            </w:r>
            <w:r>
              <w:rPr>
                <w:caps w:val="false"/>
                <w:smallCaps w:val="false"/>
                <w:spacing w:val="16"/>
              </w:rPr>
              <w:t xml:space="preserve"> </w:t>
            </w:r>
            <w:r>
              <w:rPr>
                <w:caps w:val="false"/>
                <w:smallCaps w:val="false"/>
              </w:rPr>
              <w:t>–</w:t>
            </w:r>
            <w:r>
              <w:rPr>
                <w:caps w:val="false"/>
                <w:smallCaps w:val="false"/>
                <w:spacing w:val="18"/>
              </w:rPr>
              <w:t xml:space="preserve"> </w:t>
            </w:r>
            <w:r>
              <w:rPr>
                <w:rFonts w:ascii="Times New Roman;Times;serif" w:hAnsi="Times New Roman;Times;serif"/>
                <w:b w:val="false"/>
                <w:i w:val="false"/>
                <w:caps w:val="false"/>
                <w:smallCaps w:val="false"/>
                <w:sz w:val="20"/>
              </w:rPr>
              <w:t>for</w:t>
            </w:r>
            <w:r>
              <w:rPr>
                <w:caps w:val="false"/>
                <w:smallCaps w:val="false"/>
                <w:spacing w:val="16"/>
              </w:rPr>
              <w:t xml:space="preserve"> </w:t>
            </w:r>
            <w:r>
              <w:rPr>
                <w:rFonts w:ascii="Times New Roman;Times;serif" w:hAnsi="Times New Roman;Times;serif"/>
                <w:b w:val="false"/>
                <w:i w:val="false"/>
                <w:caps w:val="false"/>
                <w:smallCaps w:val="false"/>
                <w:sz w:val="20"/>
              </w:rPr>
              <w:t>example,</w:t>
            </w:r>
            <w:r>
              <w:rPr>
                <w:caps w:val="false"/>
                <w:smallCaps w:val="false"/>
                <w:spacing w:val="16"/>
              </w:rPr>
              <w:t xml:space="preserve"> </w:t>
            </w:r>
            <w:r>
              <w:rPr>
                <w:rFonts w:ascii="Times New Roman;Times;serif" w:hAnsi="Times New Roman;Times;serif"/>
                <w:b w:val="false"/>
                <w:i w:val="false"/>
                <w:caps w:val="false"/>
                <w:smallCaps w:val="false"/>
                <w:sz w:val="20"/>
              </w:rPr>
              <w:t>in</w:t>
            </w:r>
            <w:r>
              <w:rPr>
                <w:caps w:val="false"/>
                <w:smallCaps w:val="false"/>
                <w:spacing w:val="14"/>
              </w:rPr>
              <w:t xml:space="preserve"> </w:t>
            </w:r>
            <w:r>
              <w:rPr>
                <w:rFonts w:ascii="Times New Roman;Times;serif" w:hAnsi="Times New Roman;Times;serif"/>
                <w:b w:val="false"/>
                <w:i w:val="false"/>
                <w:caps w:val="false"/>
                <w:smallCaps w:val="false"/>
                <w:sz w:val="20"/>
              </w:rPr>
              <w:t>the states</w:t>
            </w:r>
            <w:r>
              <w:rPr>
                <w:caps w:val="false"/>
                <w:smallCaps w:val="false"/>
                <w:spacing w:val="38"/>
              </w:rPr>
              <w:t xml:space="preserve"> </w:t>
            </w:r>
            <w:r>
              <w:rPr>
                <w:rFonts w:ascii="Times New Roman;Times;serif" w:hAnsi="Times New Roman;Times;serif"/>
                <w:b w:val="false"/>
                <w:i w:val="false"/>
                <w:caps w:val="false"/>
                <w:smallCaps w:val="false"/>
                <w:sz w:val="20"/>
              </w:rPr>
              <w:t>where</w:t>
            </w:r>
            <w:r>
              <w:rPr>
                <w:caps w:val="false"/>
                <w:smallCaps w:val="false"/>
                <w:spacing w:val="37"/>
              </w:rPr>
              <w:t xml:space="preserve"> </w:t>
            </w:r>
            <w:r>
              <w:rPr>
                <w:rFonts w:ascii="Times New Roman;Times;serif" w:hAnsi="Times New Roman;Times;serif"/>
                <w:b w:val="false"/>
                <w:i w:val="false"/>
                <w:caps w:val="false"/>
                <w:smallCaps w:val="false"/>
                <w:sz w:val="20"/>
              </w:rPr>
              <w:t>only</w:t>
            </w:r>
            <w:r>
              <w:rPr>
                <w:caps w:val="false"/>
                <w:smallCaps w:val="false"/>
                <w:spacing w:val="38"/>
              </w:rPr>
              <w:t xml:space="preserve"> </w:t>
            </w:r>
            <w:r>
              <w:rPr>
                <w:rFonts w:ascii="Times New Roman;Times;serif" w:hAnsi="Times New Roman;Times;serif"/>
                <w:b w:val="false"/>
                <w:i w:val="false"/>
                <w:caps w:val="false"/>
                <w:smallCaps w:val="false"/>
                <w:sz w:val="20"/>
              </w:rPr>
              <w:t>medical</w:t>
            </w:r>
            <w:r>
              <w:rPr>
                <w:caps w:val="false"/>
                <w:smallCaps w:val="false"/>
                <w:spacing w:val="36"/>
              </w:rPr>
              <w:t xml:space="preserve"> </w:t>
            </w:r>
            <w:r>
              <w:rPr>
                <w:rFonts w:ascii="Times New Roman;Times;serif" w:hAnsi="Times New Roman;Times;serif"/>
                <w:b w:val="false"/>
                <w:i w:val="false"/>
                <w:caps w:val="false"/>
                <w:smallCaps w:val="false"/>
                <w:sz w:val="20"/>
              </w:rPr>
              <w:t>cannabis</w:t>
            </w:r>
            <w:r>
              <w:rPr>
                <w:caps w:val="false"/>
                <w:smallCaps w:val="false"/>
                <w:spacing w:val="36"/>
              </w:rPr>
              <w:t xml:space="preserve"> </w:t>
            </w:r>
            <w:r>
              <w:rPr>
                <w:rFonts w:ascii="Times New Roman;Times;serif" w:hAnsi="Times New Roman;Times;serif"/>
                <w:b w:val="false"/>
                <w:i w:val="false"/>
                <w:caps w:val="false"/>
                <w:smallCaps w:val="false"/>
                <w:sz w:val="20"/>
              </w:rPr>
              <w:t>is</w:t>
            </w:r>
            <w:r>
              <w:rPr>
                <w:caps w:val="false"/>
                <w:smallCaps w:val="false"/>
                <w:spacing w:val="36"/>
              </w:rPr>
              <w:t xml:space="preserve"> </w:t>
            </w:r>
            <w:r>
              <w:rPr>
                <w:rFonts w:ascii="Times New Roman;Times;serif" w:hAnsi="Times New Roman;Times;serif"/>
                <w:b w:val="false"/>
                <w:i w:val="false"/>
                <w:caps w:val="false"/>
                <w:smallCaps w:val="false"/>
                <w:sz w:val="20"/>
              </w:rPr>
              <w:t>permitted,</w:t>
            </w:r>
            <w:r>
              <w:rPr>
                <w:caps w:val="false"/>
                <w:smallCaps w:val="false"/>
                <w:spacing w:val="36"/>
              </w:rPr>
              <w:t xml:space="preserve"> </w:t>
            </w:r>
            <w:r>
              <w:rPr>
                <w:rFonts w:ascii="Times New Roman;Times;serif" w:hAnsi="Times New Roman;Times;serif"/>
                <w:b w:val="false"/>
                <w:i w:val="false"/>
                <w:caps w:val="false"/>
                <w:smallCaps w:val="false"/>
                <w:sz w:val="20"/>
              </w:rPr>
              <w:t>products</w:t>
            </w:r>
            <w:r>
              <w:rPr>
                <w:caps w:val="false"/>
                <w:smallCaps w:val="false"/>
                <w:spacing w:val="36"/>
              </w:rPr>
              <w:t xml:space="preserve"> </w:t>
            </w:r>
            <w:r>
              <w:rPr>
                <w:rFonts w:ascii="Times New Roman;Times;serif" w:hAnsi="Times New Roman;Times;serif"/>
                <w:b w:val="false"/>
                <w:i w:val="false"/>
                <w:caps w:val="false"/>
                <w:smallCaps w:val="false"/>
                <w:sz w:val="20"/>
              </w:rPr>
              <w:t>are</w:t>
            </w:r>
            <w:r>
              <w:rPr>
                <w:caps w:val="false"/>
                <w:smallCaps w:val="false"/>
                <w:spacing w:val="36"/>
              </w:rPr>
              <w:t xml:space="preserve"> </w:t>
            </w:r>
            <w:r>
              <w:rPr>
                <w:rFonts w:ascii="Times New Roman;Times;serif" w:hAnsi="Times New Roman;Times;serif"/>
                <w:b w:val="false"/>
                <w:i w:val="false"/>
                <w:caps w:val="false"/>
                <w:smallCaps w:val="false"/>
                <w:sz w:val="20"/>
              </w:rPr>
              <w:t>sold</w:t>
            </w:r>
            <w:r>
              <w:rPr>
                <w:caps w:val="false"/>
                <w:smallCaps w:val="false"/>
                <w:spacing w:val="38"/>
              </w:rPr>
              <w:t xml:space="preserve"> </w:t>
            </w:r>
            <w:r>
              <w:rPr>
                <w:rFonts w:ascii="Times New Roman;Times;serif" w:hAnsi="Times New Roman;Times;serif"/>
                <w:b w:val="false"/>
                <w:i w:val="false"/>
                <w:caps w:val="false"/>
                <w:smallCaps w:val="false"/>
                <w:sz w:val="20"/>
              </w:rPr>
              <w:t>only</w:t>
            </w:r>
            <w:r>
              <w:rPr>
                <w:caps w:val="false"/>
                <w:smallCaps w:val="false"/>
                <w:spacing w:val="32"/>
              </w:rPr>
              <w:t xml:space="preserve"> </w:t>
            </w:r>
            <w:r>
              <w:rPr>
                <w:rFonts w:ascii="Times New Roman;Times;serif" w:hAnsi="Times New Roman;Times;serif"/>
                <w:b w:val="false"/>
                <w:i w:val="false"/>
                <w:caps w:val="false"/>
                <w:smallCaps w:val="false"/>
                <w:sz w:val="20"/>
              </w:rPr>
              <w:t>to</w:t>
            </w:r>
            <w:r>
              <w:rPr>
                <w:caps w:val="false"/>
                <w:smallCaps w:val="false"/>
                <w:spacing w:val="40"/>
              </w:rPr>
              <w:t xml:space="preserve"> </w:t>
            </w:r>
            <w:r>
              <w:rPr>
                <w:rFonts w:ascii="Times New Roman;Times;serif" w:hAnsi="Times New Roman;Times;serif"/>
                <w:b w:val="false"/>
                <w:i w:val="false"/>
                <w:caps w:val="false"/>
                <w:smallCaps w:val="false"/>
                <w:sz w:val="20"/>
              </w:rPr>
              <w:t>patients</w:t>
            </w:r>
            <w:r>
              <w:rPr>
                <w:caps w:val="false"/>
                <w:smallCaps w:val="false"/>
                <w:spacing w:val="40"/>
              </w:rPr>
              <w:t xml:space="preserve"> </w:t>
            </w:r>
            <w:r>
              <w:rPr>
                <w:rFonts w:ascii="Times New Roman;Times;serif" w:hAnsi="Times New Roman;Times;serif"/>
                <w:b w:val="false"/>
                <w:i w:val="false"/>
                <w:caps w:val="false"/>
                <w:smallCaps w:val="false"/>
                <w:sz w:val="20"/>
              </w:rPr>
              <w:t>who</w:t>
            </w:r>
            <w:r>
              <w:rPr>
                <w:caps w:val="false"/>
                <w:smallCaps w:val="false"/>
                <w:spacing w:val="40"/>
              </w:rPr>
              <w:t xml:space="preserve"> </w:t>
            </w:r>
            <w:r>
              <w:rPr>
                <w:rFonts w:ascii="Times New Roman;Times;serif" w:hAnsi="Times New Roman;Times;serif"/>
                <w:b w:val="false"/>
                <w:i w:val="false"/>
                <w:caps w:val="false"/>
                <w:smallCaps w:val="false"/>
                <w:sz w:val="20"/>
              </w:rPr>
              <w:t>hold</w:t>
            </w:r>
            <w:r>
              <w:rPr>
                <w:caps w:val="false"/>
                <w:smallCaps w:val="false"/>
                <w:spacing w:val="40"/>
              </w:rPr>
              <w:t xml:space="preserve"> </w:t>
            </w:r>
            <w:r>
              <w:rPr>
                <w:rFonts w:ascii="Times New Roman;Times;serif" w:hAnsi="Times New Roman;Times;serif"/>
                <w:b w:val="false"/>
                <w:i w:val="false"/>
                <w:caps w:val="false"/>
                <w:smallCaps w:val="false"/>
                <w:sz w:val="20"/>
              </w:rPr>
              <w:t>the necessary</w:t>
            </w:r>
            <w:r>
              <w:rPr>
                <w:caps w:val="false"/>
                <w:smallCaps w:val="false"/>
                <w:spacing w:val="-2"/>
              </w:rPr>
              <w:t xml:space="preserve"> </w:t>
            </w:r>
            <w:r>
              <w:rPr>
                <w:rFonts w:ascii="Times New Roman;Times;serif" w:hAnsi="Times New Roman;Times;serif"/>
                <w:b w:val="false"/>
                <w:i w:val="false"/>
                <w:caps w:val="false"/>
                <w:smallCaps w:val="false"/>
                <w:sz w:val="20"/>
              </w:rPr>
              <w:t>documentation to permit the possession</w:t>
            </w:r>
            <w:r>
              <w:rPr>
                <w:caps w:val="false"/>
                <w:smallCaps w:val="false"/>
                <w:spacing w:val="-2"/>
              </w:rPr>
              <w:t xml:space="preserve"> </w:t>
            </w:r>
            <w:r>
              <w:rPr>
                <w:rFonts w:ascii="Times New Roman;Times;serif" w:hAnsi="Times New Roman;Times;serif"/>
                <w:b w:val="false"/>
                <w:i w:val="false"/>
                <w:caps w:val="false"/>
                <w:smallCaps w:val="false"/>
                <w:sz w:val="20"/>
              </w:rPr>
              <w:t>of the cannabis.</w:t>
            </w:r>
          </w:p>
        </w:tc>
        <w:tc>
          <w:tcPr>
            <w:tcW w:w="154" w:type="dxa"/>
            <w:tcBorders/>
            <w:shd w:fill="auto" w:val="cle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24"/>
        <w:gridCol w:w="256"/>
        <w:gridCol w:w="9671"/>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6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performs due diligence on contractors or anyone provided access to secure areas of its facilities to prevent products from being distributed to minors.</w:t>
            </w:r>
          </w:p>
        </w:tc>
        <w:tc>
          <w:tcPr>
            <w:tcW w:w="154" w:type="dxa"/>
            <w:tcBorders/>
            <w:shd w:fill="auto" w:val="cle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24"/>
        <w:gridCol w:w="256"/>
        <w:gridCol w:w="9671"/>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671"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The Company</w:t>
            </w:r>
            <w:r>
              <w:rPr>
                <w:caps w:val="false"/>
                <w:smallCaps w:val="false"/>
                <w:spacing w:val="36"/>
              </w:rPr>
              <w:t xml:space="preserve"> </w:t>
            </w:r>
            <w:r>
              <w:rPr>
                <w:rFonts w:ascii="Times New Roman;Times;serif" w:hAnsi="Times New Roman;Times;serif"/>
                <w:b w:val="false"/>
                <w:i w:val="false"/>
                <w:caps w:val="false"/>
                <w:smallCaps w:val="false"/>
                <w:sz w:val="20"/>
              </w:rPr>
              <w:t>works</w:t>
            </w:r>
            <w:r>
              <w:rPr>
                <w:caps w:val="false"/>
                <w:smallCaps w:val="false"/>
                <w:spacing w:val="32"/>
              </w:rPr>
              <w:t xml:space="preserve"> </w:t>
            </w:r>
            <w:r>
              <w:rPr>
                <w:rFonts w:ascii="Times New Roman;Times;serif" w:hAnsi="Times New Roman;Times;serif"/>
                <w:b w:val="false"/>
                <w:i w:val="false"/>
                <w:caps w:val="false"/>
                <w:smallCaps w:val="false"/>
                <w:sz w:val="20"/>
              </w:rPr>
              <w:t>to</w:t>
            </w:r>
            <w:r>
              <w:rPr>
                <w:caps w:val="false"/>
                <w:smallCaps w:val="false"/>
                <w:spacing w:val="34"/>
              </w:rPr>
              <w:t xml:space="preserve"> </w:t>
            </w:r>
            <w:r>
              <w:rPr>
                <w:rFonts w:ascii="Times New Roman;Times;serif" w:hAnsi="Times New Roman;Times;serif"/>
                <w:b w:val="false"/>
                <w:i w:val="false"/>
                <w:caps w:val="false"/>
                <w:smallCaps w:val="false"/>
                <w:sz w:val="20"/>
              </w:rPr>
              <w:t>ensure</w:t>
            </w:r>
            <w:r>
              <w:rPr>
                <w:caps w:val="false"/>
                <w:smallCaps w:val="false"/>
                <w:spacing w:val="32"/>
              </w:rPr>
              <w:t xml:space="preserve"> </w:t>
            </w:r>
            <w:r>
              <w:rPr>
                <w:rFonts w:ascii="Times New Roman;Times;serif" w:hAnsi="Times New Roman;Times;serif"/>
                <w:b w:val="false"/>
                <w:i w:val="false"/>
                <w:caps w:val="false"/>
                <w:smallCaps w:val="false"/>
                <w:sz w:val="20"/>
              </w:rPr>
              <w:t>that</w:t>
            </w:r>
            <w:r>
              <w:rPr>
                <w:caps w:val="false"/>
                <w:smallCaps w:val="false"/>
                <w:spacing w:val="34"/>
              </w:rPr>
              <w:t xml:space="preserve"> </w:t>
            </w:r>
            <w:r>
              <w:rPr>
                <w:rFonts w:ascii="Times New Roman;Times;serif" w:hAnsi="Times New Roman;Times;serif"/>
                <w:b w:val="false"/>
                <w:i w:val="false"/>
                <w:caps w:val="false"/>
                <w:smallCaps w:val="false"/>
                <w:sz w:val="20"/>
              </w:rPr>
              <w:t>the</w:t>
            </w:r>
            <w:r>
              <w:rPr>
                <w:caps w:val="false"/>
                <w:smallCaps w:val="false"/>
                <w:spacing w:val="32"/>
              </w:rPr>
              <w:t xml:space="preserve"> </w:t>
            </w:r>
            <w:r>
              <w:rPr>
                <w:rFonts w:ascii="Times New Roman;Times;serif" w:hAnsi="Times New Roman;Times;serif"/>
                <w:b w:val="false"/>
                <w:i w:val="false"/>
                <w:caps w:val="false"/>
                <w:smallCaps w:val="false"/>
                <w:sz w:val="20"/>
              </w:rPr>
              <w:t>licensed</w:t>
            </w:r>
            <w:r>
              <w:rPr>
                <w:caps w:val="false"/>
                <w:smallCaps w:val="false"/>
                <w:spacing w:val="34"/>
              </w:rPr>
              <w:t xml:space="preserve"> </w:t>
            </w:r>
            <w:r>
              <w:rPr>
                <w:rFonts w:ascii="Times New Roman;Times;serif" w:hAnsi="Times New Roman;Times;serif"/>
                <w:b w:val="false"/>
                <w:i w:val="false"/>
                <w:caps w:val="false"/>
                <w:smallCaps w:val="false"/>
                <w:sz w:val="20"/>
              </w:rPr>
              <w:t>operators</w:t>
            </w:r>
            <w:r>
              <w:rPr>
                <w:caps w:val="false"/>
                <w:smallCaps w:val="false"/>
                <w:spacing w:val="32"/>
              </w:rPr>
              <w:t xml:space="preserve"> </w:t>
            </w:r>
            <w:r>
              <w:rPr>
                <w:rFonts w:ascii="Times New Roman;Times;serif" w:hAnsi="Times New Roman;Times;serif"/>
                <w:b w:val="false"/>
                <w:i w:val="false"/>
                <w:caps w:val="false"/>
                <w:smallCaps w:val="false"/>
                <w:sz w:val="20"/>
              </w:rPr>
              <w:t>have</w:t>
            </w:r>
            <w:r>
              <w:rPr>
                <w:caps w:val="false"/>
                <w:smallCaps w:val="false"/>
                <w:spacing w:val="32"/>
              </w:rPr>
              <w:t xml:space="preserve"> </w:t>
            </w:r>
            <w:r>
              <w:rPr>
                <w:rFonts w:ascii="Times New Roman;Times;serif" w:hAnsi="Times New Roman;Times;serif"/>
                <w:b w:val="false"/>
                <w:i w:val="false"/>
                <w:caps w:val="false"/>
                <w:smallCaps w:val="false"/>
                <w:sz w:val="20"/>
              </w:rPr>
              <w:t>an</w:t>
            </w:r>
            <w:r>
              <w:rPr>
                <w:caps w:val="false"/>
                <w:smallCaps w:val="false"/>
                <w:spacing w:val="34"/>
              </w:rPr>
              <w:t xml:space="preserve"> </w:t>
            </w:r>
            <w:r>
              <w:rPr>
                <w:rFonts w:ascii="Times New Roman;Times;serif" w:hAnsi="Times New Roman;Times;serif"/>
                <w:b w:val="false"/>
                <w:i w:val="false"/>
                <w:caps w:val="false"/>
                <w:smallCaps w:val="false"/>
                <w:sz w:val="20"/>
              </w:rPr>
              <w:t>adequate</w:t>
            </w:r>
            <w:r>
              <w:rPr>
                <w:caps w:val="false"/>
                <w:smallCaps w:val="false"/>
                <w:spacing w:val="32"/>
              </w:rPr>
              <w:t xml:space="preserve"> </w:t>
            </w:r>
            <w:r>
              <w:rPr>
                <w:rFonts w:ascii="Times New Roman;Times;serif" w:hAnsi="Times New Roman;Times;serif"/>
                <w:b w:val="false"/>
                <w:i w:val="false"/>
                <w:caps w:val="false"/>
                <w:smallCaps w:val="false"/>
                <w:sz w:val="20"/>
              </w:rPr>
              <w:t>inventory</w:t>
            </w:r>
            <w:r>
              <w:rPr>
                <w:caps w:val="false"/>
                <w:smallCaps w:val="false"/>
                <w:spacing w:val="27"/>
              </w:rPr>
              <w:t xml:space="preserve"> </w:t>
            </w:r>
            <w:r>
              <w:rPr>
                <w:rFonts w:ascii="Times New Roman;Times;serif" w:hAnsi="Times New Roman;Times;serif"/>
                <w:b w:val="false"/>
                <w:i w:val="false"/>
                <w:caps w:val="false"/>
                <w:smallCaps w:val="false"/>
                <w:sz w:val="20"/>
              </w:rPr>
              <w:t>tracking</w:t>
            </w:r>
            <w:r>
              <w:rPr>
                <w:caps w:val="false"/>
                <w:smallCaps w:val="false"/>
                <w:spacing w:val="34"/>
              </w:rPr>
              <w:t xml:space="preserve"> </w:t>
            </w:r>
            <w:r>
              <w:rPr>
                <w:rFonts w:ascii="Times New Roman;Times;serif" w:hAnsi="Times New Roman;Times;serif"/>
                <w:b w:val="false"/>
                <w:i w:val="false"/>
                <w:caps w:val="false"/>
                <w:smallCaps w:val="false"/>
                <w:sz w:val="20"/>
              </w:rPr>
              <w:t>system</w:t>
            </w:r>
            <w:r>
              <w:rPr>
                <w:caps w:val="false"/>
                <w:smallCaps w:val="false"/>
                <w:spacing w:val="29"/>
              </w:rPr>
              <w:t xml:space="preserve"> </w:t>
            </w:r>
            <w:r>
              <w:rPr>
                <w:rFonts w:ascii="Times New Roman;Times;serif" w:hAnsi="Times New Roman;Times;serif"/>
                <w:b w:val="false"/>
                <w:i w:val="false"/>
                <w:caps w:val="false"/>
                <w:smallCaps w:val="false"/>
                <w:sz w:val="20"/>
              </w:rPr>
              <w:t>and adequate</w:t>
            </w:r>
            <w:r>
              <w:rPr>
                <w:caps w:val="false"/>
                <w:smallCaps w:val="false"/>
                <w:spacing w:val="-5"/>
              </w:rPr>
              <w:t xml:space="preserve"> </w:t>
            </w:r>
            <w:r>
              <w:rPr>
                <w:rFonts w:ascii="Times New Roman;Times;serif" w:hAnsi="Times New Roman;Times;serif"/>
                <w:b w:val="false"/>
                <w:i w:val="false"/>
                <w:caps w:val="false"/>
                <w:smallCaps w:val="false"/>
                <w:sz w:val="20"/>
              </w:rPr>
              <w:t>procedures</w:t>
            </w:r>
            <w:r>
              <w:rPr>
                <w:caps w:val="false"/>
                <w:smallCaps w:val="false"/>
                <w:spacing w:val="-7"/>
              </w:rPr>
              <w:t xml:space="preserve"> </w:t>
            </w:r>
            <w:r>
              <w:rPr>
                <w:rFonts w:ascii="Times New Roman;Times;serif" w:hAnsi="Times New Roman;Times;serif"/>
                <w:b w:val="false"/>
                <w:i w:val="false"/>
                <w:caps w:val="false"/>
                <w:smallCaps w:val="false"/>
                <w:sz w:val="20"/>
              </w:rPr>
              <w:t>in</w:t>
            </w:r>
            <w:r>
              <w:rPr>
                <w:caps w:val="false"/>
                <w:smallCaps w:val="false"/>
                <w:spacing w:val="-7"/>
              </w:rPr>
              <w:t xml:space="preserve"> </w:t>
            </w:r>
            <w:r>
              <w:rPr>
                <w:rFonts w:ascii="Times New Roman;Times;serif" w:hAnsi="Times New Roman;Times;serif"/>
                <w:b w:val="false"/>
                <w:i w:val="false"/>
                <w:caps w:val="false"/>
                <w:smallCaps w:val="false"/>
                <w:sz w:val="20"/>
              </w:rPr>
              <w:t>place</w:t>
            </w:r>
            <w:r>
              <w:rPr>
                <w:caps w:val="false"/>
                <w:smallCaps w:val="false"/>
                <w:spacing w:val="-4"/>
              </w:rPr>
              <w:t xml:space="preserve"> </w:t>
            </w:r>
            <w:r>
              <w:rPr>
                <w:rFonts w:ascii="Times New Roman;Times;serif" w:hAnsi="Times New Roman;Times;serif"/>
                <w:b w:val="false"/>
                <w:i w:val="false"/>
                <w:caps w:val="false"/>
                <w:smallCaps w:val="false"/>
                <w:sz w:val="20"/>
              </w:rPr>
              <w:t>so</w:t>
            </w:r>
            <w:r>
              <w:rPr>
                <w:caps w:val="false"/>
                <w:smallCaps w:val="false"/>
                <w:spacing w:val="-3"/>
              </w:rPr>
              <w:t xml:space="preserve"> </w:t>
            </w:r>
            <w:r>
              <w:rPr>
                <w:rFonts w:ascii="Times New Roman;Times;serif" w:hAnsi="Times New Roman;Times;serif"/>
                <w:b w:val="false"/>
                <w:i w:val="false"/>
                <w:caps w:val="false"/>
                <w:smallCaps w:val="false"/>
                <w:sz w:val="20"/>
              </w:rPr>
              <w:t>that</w:t>
            </w:r>
            <w:r>
              <w:rPr>
                <w:caps w:val="false"/>
                <w:smallCaps w:val="false"/>
                <w:spacing w:val="-5"/>
              </w:rPr>
              <w:t xml:space="preserve"> </w:t>
            </w:r>
            <w:r>
              <w:rPr>
                <w:rFonts w:ascii="Times New Roman;Times;serif" w:hAnsi="Times New Roman;Times;serif"/>
                <w:b w:val="false"/>
                <w:i w:val="false"/>
                <w:caps w:val="false"/>
                <w:smallCaps w:val="false"/>
                <w:sz w:val="20"/>
              </w:rPr>
              <w:t>its</w:t>
            </w:r>
            <w:r>
              <w:rPr>
                <w:caps w:val="false"/>
                <w:smallCaps w:val="false"/>
                <w:spacing w:val="-5"/>
              </w:rPr>
              <w:t xml:space="preserve"> </w:t>
            </w:r>
            <w:r>
              <w:rPr>
                <w:rFonts w:ascii="Times New Roman;Times;serif" w:hAnsi="Times New Roman;Times;serif"/>
                <w:b w:val="false"/>
                <w:i w:val="false"/>
                <w:caps w:val="false"/>
                <w:smallCaps w:val="false"/>
                <w:sz w:val="20"/>
              </w:rPr>
              <w:t>compliance</w:t>
            </w:r>
            <w:r>
              <w:rPr>
                <w:caps w:val="false"/>
                <w:smallCaps w:val="false"/>
                <w:spacing w:val="-4"/>
              </w:rPr>
              <w:t xml:space="preserve"> </w:t>
            </w:r>
            <w:r>
              <w:rPr>
                <w:rFonts w:ascii="Times New Roman;Times;serif" w:hAnsi="Times New Roman;Times;serif"/>
                <w:b w:val="false"/>
                <w:i w:val="false"/>
                <w:caps w:val="false"/>
                <w:smallCaps w:val="false"/>
                <w:sz w:val="20"/>
              </w:rPr>
              <w:t>system</w:t>
            </w:r>
            <w:r>
              <w:rPr>
                <w:caps w:val="false"/>
                <w:smallCaps w:val="false"/>
                <w:spacing w:val="-8"/>
              </w:rPr>
              <w:t xml:space="preserve"> </w:t>
            </w:r>
            <w:r>
              <w:rPr>
                <w:rFonts w:ascii="Times New Roman;Times;serif" w:hAnsi="Times New Roman;Times;serif"/>
                <w:b w:val="false"/>
                <w:i w:val="false"/>
                <w:caps w:val="false"/>
                <w:smallCaps w:val="false"/>
                <w:sz w:val="20"/>
              </w:rPr>
              <w:t>can</w:t>
            </w:r>
            <w:r>
              <w:rPr>
                <w:caps w:val="false"/>
                <w:smallCaps w:val="false"/>
                <w:spacing w:val="-7"/>
              </w:rPr>
              <w:t xml:space="preserve"> </w:t>
            </w:r>
            <w:r>
              <w:rPr>
                <w:rFonts w:ascii="Times New Roman;Times;serif" w:hAnsi="Times New Roman;Times;serif"/>
                <w:b w:val="false"/>
                <w:i w:val="false"/>
                <w:caps w:val="false"/>
                <w:smallCaps w:val="false"/>
                <w:sz w:val="20"/>
              </w:rPr>
              <w:t>track</w:t>
            </w:r>
            <w:r>
              <w:rPr>
                <w:caps w:val="false"/>
                <w:smallCaps w:val="false"/>
                <w:spacing w:val="-7"/>
              </w:rPr>
              <w:t xml:space="preserve"> </w:t>
            </w:r>
            <w:r>
              <w:rPr>
                <w:rFonts w:ascii="Times New Roman;Times;serif" w:hAnsi="Times New Roman;Times;serif"/>
                <w:b w:val="false"/>
                <w:i w:val="false"/>
                <w:caps w:val="false"/>
                <w:smallCaps w:val="false"/>
                <w:sz w:val="20"/>
              </w:rPr>
              <w:t>inventory</w:t>
            </w:r>
            <w:r>
              <w:rPr>
                <w:caps w:val="false"/>
                <w:smallCaps w:val="false"/>
                <w:spacing w:val="-9"/>
              </w:rPr>
              <w:t xml:space="preserve"> </w:t>
            </w:r>
            <w:r>
              <w:rPr>
                <w:rFonts w:ascii="Times New Roman;Times;serif" w:hAnsi="Times New Roman;Times;serif"/>
                <w:b w:val="false"/>
                <w:i w:val="false"/>
                <w:caps w:val="false"/>
                <w:smallCaps w:val="false"/>
                <w:sz w:val="20"/>
              </w:rPr>
              <w:t>effectively.</w:t>
            </w:r>
            <w:r>
              <w:rPr>
                <w:caps w:val="false"/>
                <w:smallCaps w:val="false"/>
                <w:spacing w:val="-3"/>
              </w:rPr>
              <w:t xml:space="preserve"> </w:t>
            </w:r>
            <w:r>
              <w:rPr>
                <w:rFonts w:ascii="Times New Roman;Times;serif" w:hAnsi="Times New Roman;Times;serif"/>
                <w:b w:val="false"/>
                <w:i w:val="false"/>
                <w:caps w:val="false"/>
                <w:smallCaps w:val="false"/>
                <w:sz w:val="20"/>
              </w:rPr>
              <w:t>This</w:t>
            </w:r>
            <w:r>
              <w:rPr>
                <w:caps w:val="false"/>
                <w:smallCaps w:val="false"/>
                <w:spacing w:val="-5"/>
              </w:rPr>
              <w:t xml:space="preserve"> </w:t>
            </w:r>
            <w:r>
              <w:rPr>
                <w:rFonts w:ascii="Times New Roman;Times;serif" w:hAnsi="Times New Roman;Times;serif"/>
                <w:b w:val="false"/>
                <w:i w:val="false"/>
                <w:caps w:val="false"/>
                <w:smallCaps w:val="false"/>
                <w:sz w:val="20"/>
              </w:rPr>
              <w:t>is</w:t>
            </w:r>
            <w:r>
              <w:rPr>
                <w:caps w:val="false"/>
                <w:smallCaps w:val="false"/>
                <w:spacing w:val="-5"/>
              </w:rPr>
              <w:t xml:space="preserve"> </w:t>
            </w:r>
            <w:r>
              <w:rPr>
                <w:rFonts w:ascii="Times New Roman;Times;serif" w:hAnsi="Times New Roman;Times;serif"/>
                <w:b w:val="false"/>
                <w:i w:val="false"/>
                <w:caps w:val="false"/>
                <w:smallCaps w:val="false"/>
                <w:sz w:val="20"/>
              </w:rPr>
              <w:t>done so</w:t>
            </w:r>
            <w:r>
              <w:rPr>
                <w:caps w:val="false"/>
                <w:smallCaps w:val="false"/>
                <w:spacing w:val="-7"/>
              </w:rPr>
              <w:t xml:space="preserve"> </w:t>
            </w:r>
            <w:r>
              <w:rPr>
                <w:rFonts w:ascii="Times New Roman;Times;serif" w:hAnsi="Times New Roman;Times;serif"/>
                <w:b w:val="false"/>
                <w:i w:val="false"/>
                <w:caps w:val="false"/>
                <w:smallCaps w:val="false"/>
                <w:sz w:val="20"/>
              </w:rPr>
              <w:t>that</w:t>
            </w:r>
            <w:r>
              <w:rPr>
                <w:caps w:val="false"/>
                <w:smallCaps w:val="false"/>
                <w:spacing w:val="-7"/>
              </w:rPr>
              <w:t xml:space="preserve"> </w:t>
            </w:r>
            <w:r>
              <w:rPr>
                <w:rFonts w:ascii="Times New Roman;Times;serif" w:hAnsi="Times New Roman;Times;serif"/>
                <w:b w:val="false"/>
                <w:i w:val="false"/>
                <w:caps w:val="false"/>
                <w:smallCaps w:val="false"/>
                <w:sz w:val="20"/>
              </w:rPr>
              <w:t>there</w:t>
            </w:r>
            <w:r>
              <w:rPr>
                <w:caps w:val="false"/>
                <w:smallCaps w:val="false"/>
                <w:spacing w:val="-7"/>
              </w:rPr>
              <w:t xml:space="preserve"> </w:t>
            </w:r>
            <w:r>
              <w:rPr>
                <w:rFonts w:ascii="Times New Roman;Times;serif" w:hAnsi="Times New Roman;Times;serif"/>
                <w:b w:val="false"/>
                <w:i w:val="false"/>
                <w:caps w:val="false"/>
                <w:smallCaps w:val="false"/>
                <w:sz w:val="20"/>
              </w:rPr>
              <w:t>is</w:t>
            </w:r>
            <w:r>
              <w:rPr>
                <w:caps w:val="false"/>
                <w:smallCaps w:val="false"/>
                <w:spacing w:val="-5"/>
              </w:rPr>
              <w:t xml:space="preserve"> </w:t>
            </w:r>
            <w:r>
              <w:rPr>
                <w:rFonts w:ascii="Times New Roman;Times;serif" w:hAnsi="Times New Roman;Times;serif"/>
                <w:b w:val="false"/>
                <w:i w:val="false"/>
                <w:caps w:val="false"/>
                <w:smallCaps w:val="false"/>
                <w:sz w:val="20"/>
              </w:rPr>
              <w:t>no</w:t>
            </w:r>
            <w:r>
              <w:rPr>
                <w:caps w:val="false"/>
                <w:smallCaps w:val="false"/>
                <w:spacing w:val="-5"/>
              </w:rPr>
              <w:t xml:space="preserve"> </w:t>
            </w:r>
            <w:r>
              <w:rPr>
                <w:rFonts w:ascii="Times New Roman;Times;serif" w:hAnsi="Times New Roman;Times;serif"/>
                <w:b w:val="false"/>
                <w:i w:val="false"/>
                <w:caps w:val="false"/>
                <w:smallCaps w:val="false"/>
                <w:sz w:val="20"/>
              </w:rPr>
              <w:t>diversion</w:t>
            </w:r>
            <w:r>
              <w:rPr>
                <w:caps w:val="false"/>
                <w:smallCaps w:val="false"/>
                <w:spacing w:val="-9"/>
              </w:rPr>
              <w:t xml:space="preserve"> </w:t>
            </w:r>
            <w:r>
              <w:rPr>
                <w:rFonts w:ascii="Times New Roman;Times;serif" w:hAnsi="Times New Roman;Times;serif"/>
                <w:b w:val="false"/>
                <w:i w:val="false"/>
                <w:caps w:val="false"/>
                <w:smallCaps w:val="false"/>
                <w:sz w:val="20"/>
              </w:rPr>
              <w:t>of</w:t>
            </w:r>
            <w:r>
              <w:rPr>
                <w:caps w:val="false"/>
                <w:smallCaps w:val="false"/>
                <w:spacing w:val="-7"/>
              </w:rPr>
              <w:t xml:space="preserve"> </w:t>
            </w:r>
            <w:r>
              <w:rPr>
                <w:rFonts w:ascii="Times New Roman;Times;serif" w:hAnsi="Times New Roman;Times;serif"/>
                <w:b w:val="false"/>
                <w:i w:val="false"/>
                <w:caps w:val="false"/>
                <w:smallCaps w:val="false"/>
                <w:sz w:val="20"/>
              </w:rPr>
              <w:t>cannabis</w:t>
            </w:r>
            <w:r>
              <w:rPr>
                <w:caps w:val="false"/>
                <w:smallCaps w:val="false"/>
                <w:spacing w:val="-7"/>
              </w:rPr>
              <w:t xml:space="preserve"> </w:t>
            </w:r>
            <w:r>
              <w:rPr>
                <w:rFonts w:ascii="Times New Roman;Times;serif" w:hAnsi="Times New Roman;Times;serif"/>
                <w:b w:val="false"/>
                <w:i w:val="false"/>
                <w:caps w:val="false"/>
                <w:smallCaps w:val="false"/>
                <w:sz w:val="20"/>
              </w:rPr>
              <w:t>or</w:t>
            </w:r>
            <w:r>
              <w:rPr>
                <w:caps w:val="false"/>
                <w:smallCaps w:val="false"/>
                <w:spacing w:val="-5"/>
              </w:rPr>
              <w:t xml:space="preserve"> </w:t>
            </w:r>
            <w:r>
              <w:rPr>
                <w:rFonts w:ascii="Times New Roman;Times;serif" w:hAnsi="Times New Roman;Times;serif"/>
                <w:b w:val="false"/>
                <w:i w:val="false"/>
                <w:caps w:val="false"/>
                <w:smallCaps w:val="false"/>
                <w:sz w:val="20"/>
              </w:rPr>
              <w:t>cannabis</w:t>
            </w:r>
            <w:r>
              <w:rPr>
                <w:caps w:val="false"/>
                <w:smallCaps w:val="false"/>
                <w:spacing w:val="-7"/>
              </w:rPr>
              <w:t xml:space="preserve"> </w:t>
            </w:r>
            <w:r>
              <w:rPr>
                <w:rFonts w:ascii="Times New Roman;Times;serif" w:hAnsi="Times New Roman;Times;serif"/>
                <w:b w:val="false"/>
                <w:i w:val="false"/>
                <w:caps w:val="false"/>
                <w:smallCaps w:val="false"/>
                <w:sz w:val="20"/>
              </w:rPr>
              <w:t>products</w:t>
            </w:r>
            <w:r>
              <w:rPr>
                <w:caps w:val="false"/>
                <w:smallCaps w:val="false"/>
                <w:spacing w:val="-7"/>
              </w:rPr>
              <w:t xml:space="preserve"> </w:t>
            </w:r>
            <w:r>
              <w:rPr>
                <w:rFonts w:ascii="Times New Roman;Times;serif" w:hAnsi="Times New Roman;Times;serif"/>
                <w:b w:val="false"/>
                <w:i w:val="false"/>
                <w:caps w:val="false"/>
                <w:smallCaps w:val="false"/>
                <w:sz w:val="20"/>
              </w:rPr>
              <w:t>into</w:t>
            </w:r>
            <w:r>
              <w:rPr>
                <w:caps w:val="false"/>
                <w:smallCaps w:val="false"/>
                <w:spacing w:val="-5"/>
              </w:rPr>
              <w:t xml:space="preserve"> </w:t>
            </w:r>
            <w:r>
              <w:rPr>
                <w:rFonts w:ascii="Times New Roman;Times;serif" w:hAnsi="Times New Roman;Times;serif"/>
                <w:b w:val="false"/>
                <w:i w:val="false"/>
                <w:caps w:val="false"/>
                <w:smallCaps w:val="false"/>
                <w:sz w:val="20"/>
              </w:rPr>
              <w:t>states</w:t>
            </w:r>
            <w:r>
              <w:rPr>
                <w:caps w:val="false"/>
                <w:smallCaps w:val="false"/>
                <w:spacing w:val="-7"/>
              </w:rPr>
              <w:t xml:space="preserve"> </w:t>
            </w:r>
            <w:r>
              <w:rPr>
                <w:rFonts w:ascii="Times New Roman;Times;serif" w:hAnsi="Times New Roman;Times;serif"/>
                <w:b w:val="false"/>
                <w:i w:val="false"/>
                <w:caps w:val="false"/>
                <w:smallCaps w:val="false"/>
                <w:sz w:val="20"/>
              </w:rPr>
              <w:t>where</w:t>
            </w:r>
            <w:r>
              <w:rPr>
                <w:caps w:val="false"/>
                <w:smallCaps w:val="false"/>
                <w:spacing w:val="-8"/>
              </w:rPr>
              <w:t xml:space="preserve"> </w:t>
            </w:r>
            <w:r>
              <w:rPr>
                <w:rFonts w:ascii="Times New Roman;Times;serif" w:hAnsi="Times New Roman;Times;serif"/>
                <w:b w:val="false"/>
                <w:i w:val="false"/>
                <w:caps w:val="false"/>
                <w:smallCaps w:val="false"/>
                <w:sz w:val="20"/>
              </w:rPr>
              <w:t>cannabis</w:t>
            </w:r>
            <w:r>
              <w:rPr>
                <w:caps w:val="false"/>
                <w:smallCaps w:val="false"/>
                <w:spacing w:val="-7"/>
              </w:rPr>
              <w:t xml:space="preserve"> </w:t>
            </w:r>
            <w:r>
              <w:rPr>
                <w:rFonts w:ascii="Times New Roman;Times;serif" w:hAnsi="Times New Roman;Times;serif"/>
                <w:b w:val="false"/>
                <w:i w:val="false"/>
                <w:caps w:val="false"/>
                <w:smallCaps w:val="false"/>
                <w:sz w:val="20"/>
              </w:rPr>
              <w:t>is</w:t>
            </w:r>
            <w:r>
              <w:rPr>
                <w:caps w:val="false"/>
                <w:smallCaps w:val="false"/>
                <w:spacing w:val="-5"/>
              </w:rPr>
              <w:t xml:space="preserve"> </w:t>
            </w:r>
            <w:r>
              <w:rPr>
                <w:rFonts w:ascii="Times New Roman;Times;serif" w:hAnsi="Times New Roman;Times;serif"/>
                <w:b w:val="false"/>
                <w:i w:val="false"/>
                <w:caps w:val="false"/>
                <w:smallCaps w:val="false"/>
                <w:sz w:val="20"/>
              </w:rPr>
              <w:t>not</w:t>
            </w:r>
            <w:r>
              <w:rPr>
                <w:caps w:val="false"/>
                <w:smallCaps w:val="false"/>
                <w:spacing w:val="-7"/>
              </w:rPr>
              <w:t xml:space="preserve"> </w:t>
            </w:r>
            <w:r>
              <w:rPr>
                <w:rFonts w:ascii="Times New Roman;Times;serif" w:hAnsi="Times New Roman;Times;serif"/>
                <w:b w:val="false"/>
                <w:i w:val="false"/>
                <w:caps w:val="false"/>
                <w:smallCaps w:val="false"/>
                <w:sz w:val="20"/>
              </w:rPr>
              <w:t>permitted by</w:t>
            </w:r>
            <w:r>
              <w:rPr>
                <w:caps w:val="false"/>
                <w:smallCaps w:val="false"/>
                <w:spacing w:val="-1"/>
              </w:rPr>
              <w:t xml:space="preserve"> </w:t>
            </w:r>
            <w:r>
              <w:rPr>
                <w:rFonts w:ascii="Times New Roman;Times;serif" w:hAnsi="Times New Roman;Times;serif"/>
                <w:b w:val="false"/>
                <w:i w:val="false"/>
                <w:caps w:val="false"/>
                <w:smallCaps w:val="false"/>
                <w:sz w:val="20"/>
              </w:rPr>
              <w:t>state</w:t>
            </w:r>
            <w:r>
              <w:rPr>
                <w:caps w:val="false"/>
                <w:smallCaps w:val="false"/>
                <w:spacing w:val="-1"/>
              </w:rPr>
              <w:t xml:space="preserve"> </w:t>
            </w:r>
            <w:r>
              <w:rPr>
                <w:rFonts w:ascii="Times New Roman;Times;serif" w:hAnsi="Times New Roman;Times;serif"/>
                <w:b w:val="false"/>
                <w:i w:val="false"/>
                <w:caps w:val="false"/>
                <w:smallCaps w:val="false"/>
                <w:sz w:val="20"/>
              </w:rPr>
              <w:t>law, or</w:t>
            </w:r>
            <w:r>
              <w:rPr>
                <w:caps w:val="false"/>
                <w:smallCaps w:val="false"/>
                <w:spacing w:val="-1"/>
              </w:rPr>
              <w:t xml:space="preserve"> </w:t>
            </w:r>
            <w:r>
              <w:rPr>
                <w:rFonts w:ascii="Times New Roman;Times;serif" w:hAnsi="Times New Roman;Times;serif"/>
                <w:b w:val="false"/>
                <w:i w:val="false"/>
                <w:caps w:val="false"/>
                <w:smallCaps w:val="false"/>
                <w:sz w:val="20"/>
              </w:rPr>
              <w:t>across</w:t>
            </w:r>
            <w:r>
              <w:rPr>
                <w:caps w:val="false"/>
                <w:smallCaps w:val="false"/>
                <w:spacing w:val="-1"/>
              </w:rPr>
              <w:t xml:space="preserve"> </w:t>
            </w:r>
            <w:r>
              <w:rPr>
                <w:rFonts w:ascii="Times New Roman;Times;serif" w:hAnsi="Times New Roman;Times;serif"/>
                <w:b w:val="false"/>
                <w:i w:val="false"/>
                <w:caps w:val="false"/>
                <w:smallCaps w:val="false"/>
                <w:sz w:val="20"/>
              </w:rPr>
              <w:t>state lines</w:t>
            </w:r>
            <w:r>
              <w:rPr>
                <w:caps w:val="false"/>
                <w:smallCaps w:val="false"/>
                <w:spacing w:val="-1"/>
              </w:rPr>
              <w:t xml:space="preserve"> </w:t>
            </w:r>
            <w:r>
              <w:rPr>
                <w:rFonts w:ascii="Times New Roman;Times;serif" w:hAnsi="Times New Roman;Times;serif"/>
                <w:b w:val="false"/>
                <w:i w:val="false"/>
                <w:caps w:val="false"/>
                <w:smallCaps w:val="false"/>
                <w:sz w:val="20"/>
              </w:rPr>
              <w:t>in general.</w:t>
            </w:r>
          </w:p>
        </w:tc>
        <w:tc>
          <w:tcPr>
            <w:tcW w:w="154" w:type="dxa"/>
            <w:tcBorders/>
            <w:shd w:fill="auto" w:val="clear"/>
            <w:vAlign w:val="center"/>
          </w:tcPr>
          <w:p>
            <w:pPr>
              <w:pStyle w:val="TableContents"/>
              <w:spacing w:before="0" w:after="283"/>
              <w:rPr>
                <w:sz w:val="4"/>
                <w:szCs w:val="4"/>
              </w:rPr>
            </w:pPr>
            <w:r>
              <w:rPr>
                <w:sz w:val="4"/>
                <w:szCs w:val="4"/>
              </w:rPr>
            </w:r>
          </w:p>
        </w:tc>
      </w:tr>
    </w:tbl>
    <w:tbl>
      <w:tblPr>
        <w:tblW w:w="7075" w:type="dxa"/>
        <w:jc w:val="left"/>
        <w:tblInd w:w="0" w:type="dxa"/>
        <w:tblCellMar>
          <w:top w:w="28" w:type="dxa"/>
          <w:left w:w="28" w:type="dxa"/>
          <w:bottom w:w="28" w:type="dxa"/>
          <w:right w:w="28" w:type="dxa"/>
        </w:tblCellMar>
      </w:tblPr>
      <w:tblGrid>
        <w:gridCol w:w="124"/>
        <w:gridCol w:w="256"/>
        <w:gridCol w:w="6541"/>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5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conducts background checks as required by applicable state law.</w:t>
            </w:r>
          </w:p>
        </w:tc>
        <w:tc>
          <w:tcPr>
            <w:tcW w:w="154" w:type="dxa"/>
            <w:tcBorders/>
            <w:shd w:fill="auto" w:val="cle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24"/>
        <w:gridCol w:w="256"/>
        <w:gridCol w:w="9671"/>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671"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The Company</w:t>
            </w:r>
            <w:r>
              <w:rPr>
                <w:caps w:val="false"/>
                <w:smallCaps w:val="false"/>
                <w:spacing w:val="-7"/>
              </w:rPr>
              <w:t xml:space="preserve"> </w:t>
            </w:r>
            <w:r>
              <w:rPr>
                <w:rFonts w:ascii="Times New Roman;Times;serif" w:hAnsi="Times New Roman;Times;serif"/>
                <w:b w:val="false"/>
                <w:i w:val="false"/>
                <w:caps w:val="false"/>
                <w:smallCaps w:val="false"/>
                <w:sz w:val="20"/>
              </w:rPr>
              <w:t>conducts</w:t>
            </w:r>
            <w:r>
              <w:rPr>
                <w:caps w:val="false"/>
                <w:smallCaps w:val="false"/>
                <w:spacing w:val="-9"/>
              </w:rPr>
              <w:t xml:space="preserve"> </w:t>
            </w:r>
            <w:r>
              <w:rPr>
                <w:rFonts w:ascii="Times New Roman;Times;serif" w:hAnsi="Times New Roman;Times;serif"/>
                <w:b w:val="false"/>
                <w:i w:val="false"/>
                <w:caps w:val="false"/>
                <w:smallCaps w:val="false"/>
                <w:sz w:val="20"/>
              </w:rPr>
              <w:t>reviews</w:t>
            </w:r>
            <w:r>
              <w:rPr>
                <w:caps w:val="false"/>
                <w:smallCaps w:val="false"/>
                <w:spacing w:val="-9"/>
              </w:rPr>
              <w:t xml:space="preserve"> </w:t>
            </w:r>
            <w:r>
              <w:rPr>
                <w:rFonts w:ascii="Times New Roman;Times;serif" w:hAnsi="Times New Roman;Times;serif"/>
                <w:b w:val="false"/>
                <w:i w:val="false"/>
                <w:caps w:val="false"/>
                <w:smallCaps w:val="false"/>
                <w:sz w:val="20"/>
              </w:rPr>
              <w:t>of</w:t>
            </w:r>
            <w:r>
              <w:rPr>
                <w:caps w:val="false"/>
                <w:smallCaps w:val="false"/>
                <w:spacing w:val="-9"/>
              </w:rPr>
              <w:t xml:space="preserve"> </w:t>
            </w:r>
            <w:r>
              <w:rPr>
                <w:rFonts w:ascii="Times New Roman;Times;serif" w:hAnsi="Times New Roman;Times;serif"/>
                <w:b w:val="false"/>
                <w:i w:val="false"/>
                <w:caps w:val="false"/>
                <w:smallCaps w:val="false"/>
                <w:sz w:val="20"/>
              </w:rPr>
              <w:t>activities</w:t>
            </w:r>
            <w:r>
              <w:rPr>
                <w:caps w:val="false"/>
                <w:smallCaps w:val="false"/>
                <w:spacing w:val="-7"/>
              </w:rPr>
              <w:t xml:space="preserve"> </w:t>
            </w:r>
            <w:r>
              <w:rPr>
                <w:rFonts w:ascii="Times New Roman;Times;serif" w:hAnsi="Times New Roman;Times;serif"/>
                <w:b w:val="false"/>
                <w:i w:val="false"/>
                <w:caps w:val="false"/>
                <w:smallCaps w:val="false"/>
                <w:sz w:val="20"/>
              </w:rPr>
              <w:t>of</w:t>
            </w:r>
            <w:r>
              <w:rPr>
                <w:caps w:val="false"/>
                <w:smallCaps w:val="false"/>
                <w:spacing w:val="-7"/>
              </w:rPr>
              <w:t xml:space="preserve"> </w:t>
            </w:r>
            <w:r>
              <w:rPr>
                <w:rFonts w:ascii="Times New Roman;Times;serif" w:hAnsi="Times New Roman;Times;serif"/>
                <w:b w:val="false"/>
                <w:i w:val="false"/>
                <w:caps w:val="false"/>
                <w:smallCaps w:val="false"/>
                <w:sz w:val="20"/>
              </w:rPr>
              <w:t>the</w:t>
            </w:r>
            <w:r>
              <w:rPr>
                <w:caps w:val="false"/>
                <w:smallCaps w:val="false"/>
                <w:spacing w:val="-7"/>
              </w:rPr>
              <w:t xml:space="preserve"> </w:t>
            </w:r>
            <w:r>
              <w:rPr>
                <w:rFonts w:ascii="Times New Roman;Times;serif" w:hAnsi="Times New Roman;Times;serif"/>
                <w:b w:val="false"/>
                <w:i w:val="false"/>
                <w:caps w:val="false"/>
                <w:smallCaps w:val="false"/>
                <w:sz w:val="20"/>
              </w:rPr>
              <w:t>cannabis</w:t>
            </w:r>
            <w:r>
              <w:rPr>
                <w:caps w:val="false"/>
                <w:smallCaps w:val="false"/>
                <w:spacing w:val="-7"/>
              </w:rPr>
              <w:t xml:space="preserve"> </w:t>
            </w:r>
            <w:r>
              <w:rPr>
                <w:rFonts w:ascii="Times New Roman;Times;serif" w:hAnsi="Times New Roman;Times;serif"/>
                <w:b w:val="false"/>
                <w:i w:val="false"/>
                <w:caps w:val="false"/>
                <w:smallCaps w:val="false"/>
                <w:sz w:val="20"/>
              </w:rPr>
              <w:t>businesses,</w:t>
            </w:r>
            <w:r>
              <w:rPr>
                <w:caps w:val="false"/>
                <w:smallCaps w:val="false"/>
                <w:spacing w:val="-7"/>
              </w:rPr>
              <w:t xml:space="preserve"> </w:t>
            </w:r>
            <w:r>
              <w:rPr>
                <w:rFonts w:ascii="Times New Roman;Times;serif" w:hAnsi="Times New Roman;Times;serif"/>
                <w:b w:val="false"/>
                <w:i w:val="false"/>
                <w:caps w:val="false"/>
                <w:smallCaps w:val="false"/>
                <w:sz w:val="20"/>
              </w:rPr>
              <w:t>the</w:t>
            </w:r>
            <w:r>
              <w:rPr>
                <w:caps w:val="false"/>
                <w:smallCaps w:val="false"/>
                <w:spacing w:val="-7"/>
              </w:rPr>
              <w:t xml:space="preserve"> </w:t>
            </w:r>
            <w:r>
              <w:rPr>
                <w:rFonts w:ascii="Times New Roman;Times;serif" w:hAnsi="Times New Roman;Times;serif"/>
                <w:b w:val="false"/>
                <w:i w:val="false"/>
                <w:caps w:val="false"/>
                <w:smallCaps w:val="false"/>
                <w:sz w:val="20"/>
              </w:rPr>
              <w:t>premises</w:t>
            </w:r>
            <w:r>
              <w:rPr>
                <w:caps w:val="false"/>
                <w:smallCaps w:val="false"/>
                <w:spacing w:val="-9"/>
              </w:rPr>
              <w:t xml:space="preserve"> </w:t>
            </w:r>
            <w:r>
              <w:rPr>
                <w:rFonts w:ascii="Times New Roman;Times;serif" w:hAnsi="Times New Roman;Times;serif"/>
                <w:b w:val="false"/>
                <w:i w:val="false"/>
                <w:caps w:val="false"/>
                <w:smallCaps w:val="false"/>
                <w:sz w:val="20"/>
              </w:rPr>
              <w:t>on</w:t>
            </w:r>
            <w:r>
              <w:rPr>
                <w:caps w:val="false"/>
                <w:smallCaps w:val="false"/>
                <w:spacing w:val="-5"/>
              </w:rPr>
              <w:t xml:space="preserve"> </w:t>
            </w:r>
            <w:r>
              <w:rPr>
                <w:rFonts w:ascii="Times New Roman;Times;serif" w:hAnsi="Times New Roman;Times;serif"/>
                <w:b w:val="false"/>
                <w:i w:val="false"/>
                <w:caps w:val="false"/>
                <w:smallCaps w:val="false"/>
                <w:sz w:val="20"/>
              </w:rPr>
              <w:t>which</w:t>
            </w:r>
            <w:r>
              <w:rPr>
                <w:caps w:val="false"/>
                <w:smallCaps w:val="false"/>
                <w:spacing w:val="-9"/>
              </w:rPr>
              <w:t xml:space="preserve"> </w:t>
            </w:r>
            <w:r>
              <w:rPr>
                <w:rFonts w:ascii="Times New Roman;Times;serif" w:hAnsi="Times New Roman;Times;serif"/>
                <w:b w:val="false"/>
                <w:i w:val="false"/>
                <w:caps w:val="false"/>
                <w:smallCaps w:val="false"/>
                <w:sz w:val="20"/>
              </w:rPr>
              <w:t>they</w:t>
            </w:r>
            <w:r>
              <w:rPr>
                <w:caps w:val="false"/>
                <w:smallCaps w:val="false"/>
                <w:spacing w:val="-7"/>
              </w:rPr>
              <w:t xml:space="preserve"> </w:t>
            </w:r>
            <w:r>
              <w:rPr>
                <w:rFonts w:ascii="Times New Roman;Times;serif" w:hAnsi="Times New Roman;Times;serif"/>
                <w:b w:val="false"/>
                <w:i w:val="false"/>
                <w:caps w:val="false"/>
                <w:smallCaps w:val="false"/>
                <w:sz w:val="20"/>
              </w:rPr>
              <w:t>operate,</w:t>
            </w:r>
            <w:r>
              <w:rPr>
                <w:caps w:val="false"/>
                <w:smallCaps w:val="false"/>
                <w:spacing w:val="-7"/>
              </w:rPr>
              <w:t xml:space="preserve"> </w:t>
            </w:r>
            <w:r>
              <w:rPr>
                <w:rFonts w:ascii="Times New Roman;Times;serif" w:hAnsi="Times New Roman;Times;serif"/>
                <w:b w:val="false"/>
                <w:i w:val="false"/>
                <w:caps w:val="false"/>
                <w:smallCaps w:val="false"/>
                <w:sz w:val="20"/>
              </w:rPr>
              <w:t>and</w:t>
            </w:r>
            <w:r>
              <w:rPr>
                <w:caps w:val="false"/>
                <w:smallCaps w:val="false"/>
                <w:spacing w:val="-1"/>
              </w:rPr>
              <w:t xml:space="preserve"> </w:t>
            </w:r>
            <w:r>
              <w:rPr>
                <w:rFonts w:ascii="Times New Roman;Times;serif" w:hAnsi="Times New Roman;Times;serif"/>
                <w:b w:val="false"/>
                <w:i w:val="false"/>
                <w:caps w:val="false"/>
                <w:smallCaps w:val="false"/>
                <w:sz w:val="20"/>
              </w:rPr>
              <w:t>the</w:t>
            </w:r>
            <w:r>
              <w:rPr>
                <w:caps w:val="false"/>
                <w:smallCaps w:val="false"/>
                <w:spacing w:val="-4"/>
              </w:rPr>
              <w:t xml:space="preserve"> </w:t>
            </w:r>
            <w:r>
              <w:rPr>
                <w:rFonts w:ascii="Times New Roman;Times;serif" w:hAnsi="Times New Roman;Times;serif"/>
                <w:b w:val="false"/>
                <w:i w:val="false"/>
                <w:caps w:val="false"/>
                <w:smallCaps w:val="false"/>
                <w:sz w:val="20"/>
              </w:rPr>
              <w:t>policies</w:t>
            </w:r>
            <w:r>
              <w:rPr>
                <w:caps w:val="false"/>
                <w:smallCaps w:val="false"/>
                <w:spacing w:val="-5"/>
              </w:rPr>
              <w:t xml:space="preserve"> </w:t>
            </w:r>
            <w:r>
              <w:rPr>
                <w:rFonts w:ascii="Times New Roman;Times;serif" w:hAnsi="Times New Roman;Times;serif"/>
                <w:b w:val="false"/>
                <w:i w:val="false"/>
                <w:caps w:val="false"/>
                <w:smallCaps w:val="false"/>
                <w:sz w:val="20"/>
              </w:rPr>
              <w:t>and</w:t>
            </w:r>
            <w:r>
              <w:rPr>
                <w:caps w:val="false"/>
                <w:smallCaps w:val="false"/>
                <w:spacing w:val="-3"/>
              </w:rPr>
              <w:t xml:space="preserve"> </w:t>
            </w:r>
            <w:r>
              <w:rPr>
                <w:rFonts w:ascii="Times New Roman;Times;serif" w:hAnsi="Times New Roman;Times;serif"/>
                <w:b w:val="false"/>
                <w:i w:val="false"/>
                <w:caps w:val="false"/>
                <w:smallCaps w:val="false"/>
                <w:sz w:val="20"/>
              </w:rPr>
              <w:t>procedures</w:t>
            </w:r>
            <w:r>
              <w:rPr>
                <w:caps w:val="false"/>
                <w:smallCaps w:val="false"/>
                <w:spacing w:val="-7"/>
              </w:rPr>
              <w:t xml:space="preserve"> </w:t>
            </w:r>
            <w:r>
              <w:rPr>
                <w:rFonts w:ascii="Times New Roman;Times;serif" w:hAnsi="Times New Roman;Times;serif"/>
                <w:b w:val="false"/>
                <w:i w:val="false"/>
                <w:caps w:val="false"/>
                <w:smallCaps w:val="false"/>
                <w:sz w:val="20"/>
              </w:rPr>
              <w:t>that</w:t>
            </w:r>
            <w:r>
              <w:rPr>
                <w:caps w:val="false"/>
                <w:smallCaps w:val="false"/>
                <w:spacing w:val="-5"/>
              </w:rPr>
              <w:t xml:space="preserve"> </w:t>
            </w:r>
            <w:r>
              <w:rPr>
                <w:rFonts w:ascii="Times New Roman;Times;serif" w:hAnsi="Times New Roman;Times;serif"/>
                <w:b w:val="false"/>
                <w:i w:val="false"/>
                <w:caps w:val="false"/>
                <w:smallCaps w:val="false"/>
                <w:sz w:val="20"/>
              </w:rPr>
              <w:t>are</w:t>
            </w:r>
            <w:r>
              <w:rPr>
                <w:caps w:val="false"/>
                <w:smallCaps w:val="false"/>
                <w:spacing w:val="-4"/>
              </w:rPr>
              <w:t xml:space="preserve"> </w:t>
            </w:r>
            <w:r>
              <w:rPr>
                <w:rFonts w:ascii="Times New Roman;Times;serif" w:hAnsi="Times New Roman;Times;serif"/>
                <w:b w:val="false"/>
                <w:i w:val="false"/>
                <w:caps w:val="false"/>
                <w:smallCaps w:val="false"/>
                <w:sz w:val="20"/>
              </w:rPr>
              <w:t>related</w:t>
            </w:r>
            <w:r>
              <w:rPr>
                <w:caps w:val="false"/>
                <w:smallCaps w:val="false"/>
                <w:spacing w:val="-5"/>
              </w:rPr>
              <w:t xml:space="preserve"> </w:t>
            </w:r>
            <w:r>
              <w:rPr>
                <w:rFonts w:ascii="Times New Roman;Times;serif" w:hAnsi="Times New Roman;Times;serif"/>
                <w:b w:val="false"/>
                <w:i w:val="false"/>
                <w:caps w:val="false"/>
                <w:smallCaps w:val="false"/>
                <w:sz w:val="20"/>
              </w:rPr>
              <w:t>to</w:t>
            </w:r>
            <w:r>
              <w:rPr>
                <w:caps w:val="false"/>
                <w:smallCaps w:val="false"/>
                <w:spacing w:val="-5"/>
              </w:rPr>
              <w:t xml:space="preserve"> </w:t>
            </w:r>
            <w:r>
              <w:rPr>
                <w:rFonts w:ascii="Times New Roman;Times;serif" w:hAnsi="Times New Roman;Times;serif"/>
                <w:b w:val="false"/>
                <w:i w:val="false"/>
                <w:caps w:val="false"/>
                <w:smallCaps w:val="false"/>
                <w:sz w:val="20"/>
              </w:rPr>
              <w:t>possession</w:t>
            </w:r>
            <w:r>
              <w:rPr>
                <w:caps w:val="false"/>
                <w:smallCaps w:val="false"/>
                <w:spacing w:val="-7"/>
              </w:rPr>
              <w:t xml:space="preserve"> </w:t>
            </w:r>
            <w:r>
              <w:rPr>
                <w:rFonts w:ascii="Times New Roman;Times;serif" w:hAnsi="Times New Roman;Times;serif"/>
                <w:b w:val="false"/>
                <w:i w:val="false"/>
                <w:caps w:val="false"/>
                <w:smallCaps w:val="false"/>
                <w:sz w:val="20"/>
              </w:rPr>
              <w:t>of</w:t>
            </w:r>
            <w:r>
              <w:rPr>
                <w:caps w:val="false"/>
                <w:smallCaps w:val="false"/>
                <w:spacing w:val="-3"/>
              </w:rPr>
              <w:t xml:space="preserve"> </w:t>
            </w:r>
            <w:r>
              <w:rPr>
                <w:rFonts w:ascii="Times New Roman;Times;serif" w:hAnsi="Times New Roman;Times;serif"/>
                <w:b w:val="false"/>
                <w:i w:val="false"/>
                <w:caps w:val="false"/>
                <w:smallCaps w:val="false"/>
                <w:sz w:val="20"/>
              </w:rPr>
              <w:t>cannabis</w:t>
            </w:r>
            <w:r>
              <w:rPr>
                <w:caps w:val="false"/>
                <w:smallCaps w:val="false"/>
                <w:spacing w:val="-7"/>
              </w:rPr>
              <w:t xml:space="preserve"> </w:t>
            </w:r>
            <w:r>
              <w:rPr>
                <w:rFonts w:ascii="Times New Roman;Times;serif" w:hAnsi="Times New Roman;Times;serif"/>
                <w:b w:val="false"/>
                <w:i w:val="false"/>
                <w:caps w:val="false"/>
                <w:smallCaps w:val="false"/>
                <w:sz w:val="20"/>
              </w:rPr>
              <w:t>or</w:t>
            </w:r>
            <w:r>
              <w:rPr>
                <w:caps w:val="false"/>
                <w:smallCaps w:val="false"/>
                <w:spacing w:val="-3"/>
              </w:rPr>
              <w:t xml:space="preserve"> </w:t>
            </w:r>
            <w:r>
              <w:rPr>
                <w:rFonts w:ascii="Times New Roman;Times;serif" w:hAnsi="Times New Roman;Times;serif"/>
                <w:b w:val="false"/>
                <w:i w:val="false"/>
                <w:caps w:val="false"/>
                <w:smallCaps w:val="false"/>
                <w:sz w:val="20"/>
              </w:rPr>
              <w:t>cannabis</w:t>
            </w:r>
            <w:r>
              <w:rPr>
                <w:caps w:val="false"/>
                <w:smallCaps w:val="false"/>
                <w:spacing w:val="-7"/>
              </w:rPr>
              <w:t xml:space="preserve"> </w:t>
            </w:r>
            <w:r>
              <w:rPr>
                <w:rFonts w:ascii="Times New Roman;Times;serif" w:hAnsi="Times New Roman;Times;serif"/>
                <w:b w:val="false"/>
                <w:i w:val="false"/>
                <w:caps w:val="false"/>
                <w:smallCaps w:val="false"/>
                <w:sz w:val="20"/>
              </w:rPr>
              <w:t>products</w:t>
            </w:r>
            <w:r>
              <w:rPr>
                <w:caps w:val="false"/>
                <w:smallCaps w:val="false"/>
                <w:spacing w:val="-3"/>
              </w:rPr>
              <w:t xml:space="preserve"> </w:t>
            </w:r>
            <w:r>
              <w:rPr>
                <w:rFonts w:ascii="Times New Roman;Times;serif" w:hAnsi="Times New Roman;Times;serif"/>
                <w:b w:val="false"/>
                <w:i w:val="false"/>
                <w:caps w:val="false"/>
                <w:smallCaps w:val="false"/>
                <w:sz w:val="20"/>
              </w:rPr>
              <w:t>outside</w:t>
            </w:r>
            <w:r>
              <w:rPr>
                <w:caps w:val="false"/>
                <w:smallCaps w:val="false"/>
                <w:spacing w:val="-5"/>
              </w:rPr>
              <w:t xml:space="preserve"> </w:t>
            </w:r>
            <w:r>
              <w:rPr>
                <w:rFonts w:ascii="Times New Roman;Times;serif" w:hAnsi="Times New Roman;Times;serif"/>
                <w:b w:val="false"/>
                <w:i w:val="false"/>
                <w:caps w:val="false"/>
                <w:smallCaps w:val="false"/>
                <w:sz w:val="20"/>
              </w:rPr>
              <w:t>of</w:t>
            </w:r>
            <w:r>
              <w:rPr>
                <w:caps w:val="false"/>
                <w:smallCaps w:val="false"/>
                <w:spacing w:val="-5"/>
              </w:rPr>
              <w:t xml:space="preserve"> </w:t>
            </w:r>
            <w:r>
              <w:rPr>
                <w:rFonts w:ascii="Times New Roman;Times;serif" w:hAnsi="Times New Roman;Times;serif"/>
                <w:b w:val="false"/>
                <w:i w:val="false"/>
                <w:caps w:val="false"/>
                <w:smallCaps w:val="false"/>
                <w:sz w:val="20"/>
              </w:rPr>
              <w:t>its</w:t>
            </w:r>
            <w:r>
              <w:rPr>
                <w:caps w:val="false"/>
                <w:smallCaps w:val="false"/>
                <w:spacing w:val="-1"/>
              </w:rPr>
              <w:t xml:space="preserve"> </w:t>
            </w:r>
            <w:r>
              <w:rPr>
                <w:rFonts w:ascii="Times New Roman;Times;serif" w:hAnsi="Times New Roman;Times;serif"/>
                <w:b w:val="false"/>
                <w:i w:val="false"/>
                <w:caps w:val="false"/>
                <w:smallCaps w:val="false"/>
                <w:sz w:val="20"/>
              </w:rPr>
              <w:t>licensed premises (including the cases where such possession is permitted by</w:t>
            </w:r>
            <w:r>
              <w:rPr>
                <w:caps w:val="false"/>
                <w:smallCaps w:val="false"/>
                <w:spacing w:val="-1"/>
              </w:rPr>
              <w:t xml:space="preserve"> </w:t>
            </w:r>
            <w:r>
              <w:rPr>
                <w:rFonts w:ascii="Times New Roman;Times;serif" w:hAnsi="Times New Roman;Times;serif"/>
                <w:b w:val="false"/>
                <w:i w:val="false"/>
                <w:caps w:val="false"/>
                <w:smallCaps w:val="false"/>
                <w:sz w:val="20"/>
              </w:rPr>
              <w:t>regulation – e.g. transfer</w:t>
            </w:r>
            <w:r>
              <w:rPr>
                <w:caps w:val="false"/>
                <w:smallCaps w:val="false"/>
                <w:spacing w:val="-1"/>
              </w:rPr>
              <w:t xml:space="preserve"> </w:t>
            </w:r>
            <w:r>
              <w:rPr>
                <w:rFonts w:ascii="Times New Roman;Times;serif" w:hAnsi="Times New Roman;Times;serif"/>
                <w:b w:val="false"/>
                <w:i w:val="false"/>
                <w:caps w:val="false"/>
                <w:smallCaps w:val="false"/>
                <w:sz w:val="20"/>
              </w:rPr>
              <w:t>of</w:t>
            </w:r>
            <w:r>
              <w:rPr>
                <w:caps w:val="false"/>
                <w:smallCaps w:val="false"/>
                <w:spacing w:val="-1"/>
              </w:rPr>
              <w:t xml:space="preserve"> </w:t>
            </w:r>
            <w:r>
              <w:rPr>
                <w:rFonts w:ascii="Times New Roman;Times;serif" w:hAnsi="Times New Roman;Times;serif"/>
                <w:b w:val="false"/>
                <w:i w:val="false"/>
                <w:caps w:val="false"/>
                <w:smallCaps w:val="false"/>
                <w:sz w:val="20"/>
              </w:rPr>
              <w:t>products</w:t>
            </w:r>
            <w:r>
              <w:rPr>
                <w:caps w:val="false"/>
                <w:smallCaps w:val="false"/>
                <w:spacing w:val="-1"/>
              </w:rPr>
              <w:t xml:space="preserve"> </w:t>
            </w:r>
            <w:r>
              <w:rPr>
                <w:rFonts w:ascii="Times New Roman;Times;serif" w:hAnsi="Times New Roman;Times;serif"/>
                <w:b w:val="false"/>
                <w:i w:val="false"/>
                <w:caps w:val="false"/>
                <w:smallCaps w:val="false"/>
                <w:sz w:val="20"/>
              </w:rPr>
              <w:t>between</w:t>
            </w:r>
            <w:r>
              <w:rPr>
                <w:caps w:val="false"/>
                <w:smallCaps w:val="false"/>
                <w:spacing w:val="-1"/>
              </w:rPr>
              <w:t xml:space="preserve"> </w:t>
            </w:r>
            <w:r>
              <w:rPr>
                <w:rFonts w:ascii="Times New Roman;Times;serif" w:hAnsi="Times New Roman;Times;serif"/>
                <w:b w:val="false"/>
                <w:i w:val="false"/>
                <w:caps w:val="false"/>
                <w:smallCaps w:val="false"/>
                <w:sz w:val="20"/>
              </w:rPr>
              <w:t>licensed premises). These reviews are</w:t>
            </w:r>
            <w:r>
              <w:rPr>
                <w:caps w:val="false"/>
                <w:smallCaps w:val="false"/>
                <w:spacing w:val="-1"/>
              </w:rPr>
              <w:t xml:space="preserve"> </w:t>
            </w:r>
            <w:r>
              <w:rPr>
                <w:rFonts w:ascii="Times New Roman;Times;serif" w:hAnsi="Times New Roman;Times;serif"/>
                <w:b w:val="false"/>
                <w:i w:val="false"/>
                <w:caps w:val="false"/>
                <w:smallCaps w:val="false"/>
                <w:sz w:val="20"/>
              </w:rPr>
              <w:t>completed to ensure</w:t>
            </w:r>
            <w:r>
              <w:rPr>
                <w:caps w:val="false"/>
                <w:smallCaps w:val="false"/>
                <w:spacing w:val="-1"/>
              </w:rPr>
              <w:t xml:space="preserve"> </w:t>
            </w:r>
            <w:r>
              <w:rPr>
                <w:rFonts w:ascii="Times New Roman;Times;serif" w:hAnsi="Times New Roman;Times;serif"/>
                <w:b w:val="false"/>
                <w:i w:val="false"/>
                <w:caps w:val="false"/>
                <w:smallCaps w:val="false"/>
                <w:sz w:val="20"/>
              </w:rPr>
              <w:t>that</w:t>
            </w:r>
            <w:r>
              <w:rPr>
                <w:caps w:val="false"/>
                <w:smallCaps w:val="false"/>
                <w:spacing w:val="-1"/>
              </w:rPr>
              <w:t xml:space="preserve"> </w:t>
            </w:r>
            <w:r>
              <w:rPr>
                <w:rFonts w:ascii="Times New Roman;Times;serif" w:hAnsi="Times New Roman;Times;serif"/>
                <w:b w:val="false"/>
                <w:i w:val="false"/>
                <w:caps w:val="false"/>
                <w:smallCaps w:val="false"/>
                <w:sz w:val="20"/>
              </w:rPr>
              <w:t>licensed operators</w:t>
            </w:r>
            <w:r>
              <w:rPr>
                <w:caps w:val="false"/>
                <w:smallCaps w:val="false"/>
                <w:spacing w:val="-1"/>
              </w:rPr>
              <w:t xml:space="preserve"> </w:t>
            </w:r>
            <w:r>
              <w:rPr>
                <w:rFonts w:ascii="Times New Roman;Times;serif" w:hAnsi="Times New Roman;Times;serif"/>
                <w:b w:val="false"/>
                <w:i w:val="false"/>
                <w:caps w:val="false"/>
                <w:smallCaps w:val="false"/>
                <w:sz w:val="20"/>
              </w:rPr>
              <w:t>do</w:t>
            </w:r>
            <w:r>
              <w:rPr>
                <w:caps w:val="false"/>
                <w:smallCaps w:val="false"/>
                <w:spacing w:val="-9"/>
              </w:rPr>
              <w:t xml:space="preserve"> </w:t>
            </w:r>
            <w:r>
              <w:rPr>
                <w:rFonts w:ascii="Times New Roman;Times;serif" w:hAnsi="Times New Roman;Times;serif"/>
                <w:b w:val="false"/>
                <w:i w:val="false"/>
                <w:caps w:val="false"/>
                <w:smallCaps w:val="false"/>
                <w:sz w:val="20"/>
              </w:rPr>
              <w:t>not</w:t>
            </w:r>
            <w:r>
              <w:rPr>
                <w:caps w:val="false"/>
                <w:smallCaps w:val="false"/>
                <w:spacing w:val="-11"/>
              </w:rPr>
              <w:t xml:space="preserve"> </w:t>
            </w:r>
            <w:r>
              <w:rPr>
                <w:rFonts w:ascii="Times New Roman;Times;serif" w:hAnsi="Times New Roman;Times;serif"/>
                <w:b w:val="false"/>
                <w:i w:val="false"/>
                <w:caps w:val="false"/>
                <w:smallCaps w:val="false"/>
                <w:sz w:val="20"/>
              </w:rPr>
              <w:t>possess</w:t>
            </w:r>
            <w:r>
              <w:rPr>
                <w:caps w:val="false"/>
                <w:smallCaps w:val="false"/>
                <w:spacing w:val="-9"/>
              </w:rPr>
              <w:t xml:space="preserve"> </w:t>
            </w:r>
            <w:r>
              <w:rPr>
                <w:rFonts w:ascii="Times New Roman;Times;serif" w:hAnsi="Times New Roman;Times;serif"/>
                <w:b w:val="false"/>
                <w:i w:val="false"/>
                <w:caps w:val="false"/>
                <w:smallCaps w:val="false"/>
                <w:sz w:val="20"/>
              </w:rPr>
              <w:t>or</w:t>
            </w:r>
            <w:r>
              <w:rPr>
                <w:caps w:val="false"/>
                <w:smallCaps w:val="false"/>
                <w:spacing w:val="-9"/>
              </w:rPr>
              <w:t xml:space="preserve"> </w:t>
            </w:r>
            <w:r>
              <w:rPr>
                <w:rFonts w:ascii="Times New Roman;Times;serif" w:hAnsi="Times New Roman;Times;serif"/>
                <w:b w:val="false"/>
                <w:i w:val="false"/>
                <w:caps w:val="false"/>
                <w:smallCaps w:val="false"/>
                <w:sz w:val="20"/>
              </w:rPr>
              <w:t>use</w:t>
            </w:r>
            <w:r>
              <w:rPr>
                <w:caps w:val="false"/>
                <w:smallCaps w:val="false"/>
                <w:spacing w:val="-11"/>
              </w:rPr>
              <w:t xml:space="preserve"> </w:t>
            </w:r>
            <w:r>
              <w:rPr>
                <w:rFonts w:ascii="Times New Roman;Times;serif" w:hAnsi="Times New Roman;Times;serif"/>
                <w:b w:val="false"/>
                <w:i w:val="false"/>
                <w:caps w:val="false"/>
                <w:smallCaps w:val="false"/>
                <w:sz w:val="20"/>
              </w:rPr>
              <w:t>cannabis</w:t>
            </w:r>
            <w:r>
              <w:rPr>
                <w:caps w:val="false"/>
                <w:smallCaps w:val="false"/>
                <w:spacing w:val="-7"/>
              </w:rPr>
              <w:t xml:space="preserve"> </w:t>
            </w:r>
            <w:r>
              <w:rPr>
                <w:rFonts w:ascii="Times New Roman;Times;serif" w:hAnsi="Times New Roman;Times;serif"/>
                <w:b w:val="false"/>
                <w:i w:val="false"/>
                <w:caps w:val="false"/>
                <w:smallCaps w:val="false"/>
                <w:sz w:val="20"/>
              </w:rPr>
              <w:t>on</w:t>
            </w:r>
            <w:r>
              <w:rPr>
                <w:caps w:val="false"/>
                <w:smallCaps w:val="false"/>
                <w:spacing w:val="-11"/>
              </w:rPr>
              <w:t xml:space="preserve"> </w:t>
            </w:r>
            <w:r>
              <w:rPr>
                <w:rFonts w:ascii="Times New Roman;Times;serif" w:hAnsi="Times New Roman;Times;serif"/>
                <w:b w:val="false"/>
                <w:i w:val="false"/>
                <w:caps w:val="false"/>
                <w:smallCaps w:val="false"/>
                <w:sz w:val="20"/>
              </w:rPr>
              <w:t>federal</w:t>
            </w:r>
            <w:r>
              <w:rPr>
                <w:caps w:val="false"/>
                <w:smallCaps w:val="false"/>
                <w:spacing w:val="-11"/>
              </w:rPr>
              <w:t xml:space="preserve"> </w:t>
            </w:r>
            <w:r>
              <w:rPr>
                <w:rFonts w:ascii="Times New Roman;Times;serif" w:hAnsi="Times New Roman;Times;serif"/>
                <w:b w:val="false"/>
                <w:i w:val="false"/>
                <w:caps w:val="false"/>
                <w:smallCaps w:val="false"/>
                <w:sz w:val="20"/>
              </w:rPr>
              <w:t>property</w:t>
            </w:r>
            <w:r>
              <w:rPr>
                <w:caps w:val="false"/>
                <w:smallCaps w:val="false"/>
                <w:spacing w:val="-13"/>
              </w:rPr>
              <w:t xml:space="preserve"> </w:t>
            </w:r>
            <w:r>
              <w:rPr>
                <w:rFonts w:ascii="Times New Roman;Times;serif" w:hAnsi="Times New Roman;Times;serif"/>
                <w:b w:val="false"/>
                <w:i w:val="false"/>
                <w:caps w:val="false"/>
                <w:smallCaps w:val="false"/>
                <w:sz w:val="20"/>
              </w:rPr>
              <w:t>or</w:t>
            </w:r>
            <w:r>
              <w:rPr>
                <w:caps w:val="false"/>
                <w:smallCaps w:val="false"/>
                <w:spacing w:val="-9"/>
              </w:rPr>
              <w:t xml:space="preserve"> </w:t>
            </w:r>
            <w:r>
              <w:rPr>
                <w:rFonts w:ascii="Times New Roman;Times;serif" w:hAnsi="Times New Roman;Times;serif"/>
                <w:b w:val="false"/>
                <w:i w:val="false"/>
                <w:caps w:val="false"/>
                <w:smallCaps w:val="false"/>
                <w:sz w:val="20"/>
              </w:rPr>
              <w:t>engage</w:t>
            </w:r>
            <w:r>
              <w:rPr>
                <w:caps w:val="false"/>
                <w:smallCaps w:val="false"/>
                <w:spacing w:val="-8"/>
              </w:rPr>
              <w:t xml:space="preserve"> </w:t>
            </w:r>
            <w:r>
              <w:rPr>
                <w:rFonts w:ascii="Times New Roman;Times;serif" w:hAnsi="Times New Roman;Times;serif"/>
                <w:b w:val="false"/>
                <w:i w:val="false"/>
                <w:caps w:val="false"/>
                <w:smallCaps w:val="false"/>
                <w:sz w:val="20"/>
              </w:rPr>
              <w:t>in</w:t>
            </w:r>
            <w:r>
              <w:rPr>
                <w:caps w:val="false"/>
                <w:smallCaps w:val="false"/>
                <w:spacing w:val="-9"/>
              </w:rPr>
              <w:t xml:space="preserve"> </w:t>
            </w:r>
            <w:r>
              <w:rPr>
                <w:rFonts w:ascii="Times New Roman;Times;serif" w:hAnsi="Times New Roman;Times;serif"/>
                <w:b w:val="false"/>
                <w:i w:val="false"/>
                <w:caps w:val="false"/>
                <w:smallCaps w:val="false"/>
                <w:sz w:val="20"/>
              </w:rPr>
              <w:t>manufacturing</w:t>
            </w:r>
            <w:r>
              <w:rPr>
                <w:caps w:val="false"/>
                <w:smallCaps w:val="false"/>
                <w:spacing w:val="-11"/>
              </w:rPr>
              <w:t xml:space="preserve"> </w:t>
            </w:r>
            <w:r>
              <w:rPr>
                <w:rFonts w:ascii="Times New Roman;Times;serif" w:hAnsi="Times New Roman;Times;serif"/>
                <w:b w:val="false"/>
                <w:i w:val="false"/>
                <w:caps w:val="false"/>
                <w:smallCaps w:val="false"/>
                <w:sz w:val="20"/>
              </w:rPr>
              <w:t>or</w:t>
            </w:r>
            <w:r>
              <w:rPr>
                <w:caps w:val="false"/>
                <w:smallCaps w:val="false"/>
                <w:spacing w:val="-9"/>
              </w:rPr>
              <w:t xml:space="preserve"> </w:t>
            </w:r>
            <w:r>
              <w:rPr>
                <w:rFonts w:ascii="Times New Roman;Times;serif" w:hAnsi="Times New Roman;Times;serif"/>
                <w:b w:val="false"/>
                <w:i w:val="false"/>
                <w:caps w:val="false"/>
                <w:smallCaps w:val="false"/>
                <w:sz w:val="20"/>
              </w:rPr>
              <w:t>cultivation</w:t>
            </w:r>
            <w:r>
              <w:rPr>
                <w:caps w:val="false"/>
                <w:smallCaps w:val="false"/>
                <w:spacing w:val="-9"/>
              </w:rPr>
              <w:t xml:space="preserve"> </w:t>
            </w:r>
            <w:r>
              <w:rPr>
                <w:rFonts w:ascii="Times New Roman;Times;serif" w:hAnsi="Times New Roman;Times;serif"/>
                <w:b w:val="false"/>
                <w:i w:val="false"/>
                <w:caps w:val="false"/>
                <w:smallCaps w:val="false"/>
                <w:sz w:val="20"/>
              </w:rPr>
              <w:t>of</w:t>
            </w:r>
            <w:r>
              <w:rPr>
                <w:caps w:val="false"/>
                <w:smallCaps w:val="false"/>
                <w:spacing w:val="-11"/>
              </w:rPr>
              <w:t xml:space="preserve"> </w:t>
            </w:r>
            <w:r>
              <w:rPr>
                <w:rFonts w:ascii="Times New Roman;Times;serif" w:hAnsi="Times New Roman;Times;serif"/>
                <w:b w:val="false"/>
                <w:i w:val="false"/>
                <w:caps w:val="false"/>
                <w:smallCaps w:val="false"/>
                <w:sz w:val="20"/>
              </w:rPr>
              <w:t>cannabis</w:t>
            </w:r>
            <w:r>
              <w:rPr>
                <w:caps w:val="false"/>
                <w:smallCaps w:val="false"/>
                <w:spacing w:val="-1"/>
              </w:rPr>
              <w:t xml:space="preserve"> </w:t>
            </w:r>
            <w:r>
              <w:rPr>
                <w:rFonts w:ascii="Times New Roman;Times;serif" w:hAnsi="Times New Roman;Times;serif"/>
                <w:b w:val="false"/>
                <w:i w:val="false"/>
                <w:caps w:val="false"/>
                <w:smallCaps w:val="false"/>
                <w:sz w:val="20"/>
              </w:rPr>
              <w:t>on</w:t>
            </w:r>
            <w:r>
              <w:rPr>
                <w:caps w:val="false"/>
                <w:smallCaps w:val="false"/>
                <w:spacing w:val="-1"/>
              </w:rPr>
              <w:t xml:space="preserve"> </w:t>
            </w:r>
            <w:r>
              <w:rPr>
                <w:rFonts w:ascii="Times New Roman;Times;serif" w:hAnsi="Times New Roman;Times;serif"/>
                <w:b w:val="false"/>
                <w:i w:val="false"/>
                <w:caps w:val="false"/>
                <w:smallCaps w:val="false"/>
                <w:sz w:val="20"/>
              </w:rPr>
              <w:t>federal lands.</w:t>
            </w:r>
          </w:p>
        </w:tc>
        <w:tc>
          <w:tcPr>
            <w:tcW w:w="154" w:type="dxa"/>
            <w:tcBorders/>
            <w:shd w:fill="auto" w:val="cle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24"/>
        <w:gridCol w:w="256"/>
        <w:gridCol w:w="9671"/>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671"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The Company’s</w:t>
            </w:r>
            <w:r>
              <w:rPr>
                <w:caps w:val="false"/>
                <w:smallCaps w:val="false"/>
                <w:spacing w:val="-5"/>
              </w:rPr>
              <w:t xml:space="preserve"> </w:t>
            </w:r>
            <w:r>
              <w:rPr>
                <w:rFonts w:ascii="Times New Roman;Times;serif" w:hAnsi="Times New Roman;Times;serif"/>
                <w:b w:val="false"/>
                <w:i w:val="false"/>
                <w:caps w:val="false"/>
                <w:smallCaps w:val="false"/>
                <w:sz w:val="20"/>
              </w:rPr>
              <w:t>product</w:t>
            </w:r>
            <w:r>
              <w:rPr>
                <w:caps w:val="false"/>
                <w:smallCaps w:val="false"/>
                <w:spacing w:val="-3"/>
              </w:rPr>
              <w:t xml:space="preserve"> </w:t>
            </w:r>
            <w:r>
              <w:rPr>
                <w:rFonts w:ascii="Times New Roman;Times;serif" w:hAnsi="Times New Roman;Times;serif"/>
                <w:b w:val="false"/>
                <w:i w:val="false"/>
                <w:caps w:val="false"/>
                <w:smallCaps w:val="false"/>
                <w:sz w:val="20"/>
              </w:rPr>
              <w:t>packaging</w:t>
            </w:r>
            <w:r>
              <w:rPr>
                <w:caps w:val="false"/>
                <w:smallCaps w:val="false"/>
                <w:spacing w:val="-5"/>
              </w:rPr>
              <w:t xml:space="preserve"> </w:t>
            </w:r>
            <w:r>
              <w:rPr>
                <w:rFonts w:ascii="Times New Roman;Times;serif" w:hAnsi="Times New Roman;Times;serif"/>
                <w:b w:val="false"/>
                <w:i w:val="false"/>
                <w:caps w:val="false"/>
                <w:smallCaps w:val="false"/>
                <w:sz w:val="20"/>
              </w:rPr>
              <w:t>complies with</w:t>
            </w:r>
            <w:r>
              <w:rPr>
                <w:caps w:val="false"/>
                <w:smallCaps w:val="false"/>
                <w:spacing w:val="-5"/>
              </w:rPr>
              <w:t xml:space="preserve"> </w:t>
            </w:r>
            <w:r>
              <w:rPr>
                <w:rFonts w:ascii="Times New Roman;Times;serif" w:hAnsi="Times New Roman;Times;serif"/>
                <w:b w:val="false"/>
                <w:i w:val="false"/>
                <w:caps w:val="false"/>
                <w:smallCaps w:val="false"/>
                <w:sz w:val="20"/>
              </w:rPr>
              <w:t>applicable</w:t>
            </w:r>
            <w:r>
              <w:rPr>
                <w:caps w:val="false"/>
                <w:smallCaps w:val="false"/>
                <w:spacing w:val="-1"/>
              </w:rPr>
              <w:t xml:space="preserve"> </w:t>
            </w:r>
            <w:r>
              <w:rPr>
                <w:rFonts w:ascii="Times New Roman;Times;serif" w:hAnsi="Times New Roman;Times;serif"/>
                <w:b w:val="false"/>
                <w:i w:val="false"/>
                <w:caps w:val="false"/>
                <w:smallCaps w:val="false"/>
                <w:sz w:val="20"/>
              </w:rPr>
              <w:t>regulations</w:t>
            </w:r>
            <w:r>
              <w:rPr>
                <w:caps w:val="false"/>
                <w:smallCaps w:val="false"/>
                <w:spacing w:val="-3"/>
              </w:rPr>
              <w:t xml:space="preserve"> </w:t>
            </w:r>
            <w:r>
              <w:rPr>
                <w:rFonts w:ascii="Times New Roman;Times;serif" w:hAnsi="Times New Roman;Times;serif"/>
                <w:b w:val="false"/>
                <w:i w:val="false"/>
                <w:caps w:val="false"/>
                <w:smallCaps w:val="false"/>
                <w:sz w:val="20"/>
              </w:rPr>
              <w:t>and contains</w:t>
            </w:r>
            <w:r>
              <w:rPr>
                <w:caps w:val="false"/>
                <w:smallCaps w:val="false"/>
                <w:spacing w:val="-3"/>
              </w:rPr>
              <w:t xml:space="preserve"> </w:t>
            </w:r>
            <w:r>
              <w:rPr>
                <w:rFonts w:ascii="Times New Roman;Times;serif" w:hAnsi="Times New Roman;Times;serif"/>
                <w:b w:val="false"/>
                <w:i w:val="false"/>
                <w:caps w:val="false"/>
                <w:smallCaps w:val="false"/>
                <w:sz w:val="20"/>
              </w:rPr>
              <w:t>necessary</w:t>
            </w:r>
            <w:r>
              <w:rPr>
                <w:caps w:val="false"/>
                <w:smallCaps w:val="false"/>
                <w:spacing w:val="-7"/>
              </w:rPr>
              <w:t xml:space="preserve"> </w:t>
            </w:r>
            <w:r>
              <w:rPr>
                <w:rFonts w:ascii="Times New Roman;Times;serif" w:hAnsi="Times New Roman;Times;serif"/>
                <w:b w:val="false"/>
                <w:i w:val="false"/>
                <w:caps w:val="false"/>
                <w:smallCaps w:val="false"/>
                <w:sz w:val="20"/>
              </w:rPr>
              <w:t>disclaimers</w:t>
            </w:r>
            <w:r>
              <w:rPr>
                <w:caps w:val="false"/>
                <w:smallCaps w:val="false"/>
                <w:spacing w:val="-3"/>
              </w:rPr>
              <w:t xml:space="preserve"> </w:t>
            </w:r>
            <w:r>
              <w:rPr>
                <w:rFonts w:ascii="Times New Roman;Times;serif" w:hAnsi="Times New Roman;Times;serif"/>
                <w:b w:val="false"/>
                <w:i w:val="false"/>
                <w:caps w:val="false"/>
                <w:smallCaps w:val="false"/>
                <w:sz w:val="20"/>
              </w:rPr>
              <w:t>about</w:t>
            </w:r>
            <w:r>
              <w:rPr>
                <w:caps w:val="false"/>
                <w:smallCaps w:val="false"/>
                <w:spacing w:val="-3"/>
              </w:rPr>
              <w:t xml:space="preserve"> </w:t>
            </w:r>
            <w:r>
              <w:rPr>
                <w:rFonts w:ascii="Times New Roman;Times;serif" w:hAnsi="Times New Roman;Times;serif"/>
                <w:b w:val="false"/>
                <w:i w:val="false"/>
                <w:caps w:val="false"/>
                <w:smallCaps w:val="false"/>
                <w:sz w:val="20"/>
              </w:rPr>
              <w:t>the</w:t>
            </w:r>
            <w:r>
              <w:rPr>
                <w:caps w:val="false"/>
                <w:smallCaps w:val="false"/>
                <w:spacing w:val="-3"/>
              </w:rPr>
              <w:t xml:space="preserve"> </w:t>
            </w:r>
            <w:r>
              <w:rPr>
                <w:rFonts w:ascii="Times New Roman;Times;serif" w:hAnsi="Times New Roman;Times;serif"/>
                <w:b w:val="false"/>
                <w:i w:val="false"/>
                <w:caps w:val="false"/>
                <w:smallCaps w:val="false"/>
                <w:sz w:val="20"/>
              </w:rPr>
              <w:t>contents of the products to prevent adverse public health consequences from</w:t>
            </w:r>
            <w:r>
              <w:rPr>
                <w:caps w:val="false"/>
                <w:smallCaps w:val="false"/>
                <w:spacing w:val="-1"/>
              </w:rPr>
              <w:t xml:space="preserve"> </w:t>
            </w:r>
            <w:r>
              <w:rPr>
                <w:rFonts w:ascii="Times New Roman;Times;serif" w:hAnsi="Times New Roman;Times;serif"/>
                <w:b w:val="false"/>
                <w:i w:val="false"/>
                <w:caps w:val="false"/>
                <w:smallCaps w:val="false"/>
                <w:sz w:val="20"/>
              </w:rPr>
              <w:t>cannabis use and prevent impaired driving.</w:t>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1559" w:right="104" w:hanging="0"/>
        <w:jc w:val="both"/>
        <w:rPr/>
      </w:pPr>
      <w:r>
        <w:rPr/>
        <w:t>​</w:t>
      </w:r>
    </w:p>
    <w:p>
      <w:pPr>
        <w:pStyle w:val="TextBody"/>
        <w:spacing w:before="0" w:after="240"/>
        <w:ind w:left="100" w:right="123" w:hanging="0"/>
        <w:jc w:val="both"/>
        <w:rPr>
          <w:rFonts w:ascii="Times New Roman;Times;serif" w:hAnsi="Times New Roman;Times;serif"/>
          <w:sz w:val="20"/>
        </w:rPr>
      </w:pPr>
      <w:r>
        <w:rPr>
          <w:rFonts w:ascii="Times New Roman;Times;serif" w:hAnsi="Times New Roman;Times;serif"/>
          <w:sz w:val="20"/>
        </w:rPr>
        <w:t>In</w:t>
      </w:r>
      <w:r>
        <w:rPr>
          <w:rFonts w:ascii="Times New Roman;Times;serif" w:hAnsi="Times New Roman;Times;serif"/>
          <w:spacing w:val="20"/>
          <w:sz w:val="20"/>
        </w:rPr>
        <w:t xml:space="preserve"> </w:t>
      </w:r>
      <w:r>
        <w:rPr>
          <w:rFonts w:ascii="Times New Roman;Times;serif" w:hAnsi="Times New Roman;Times;serif"/>
          <w:sz w:val="20"/>
        </w:rPr>
        <w:t>addition,</w:t>
      </w:r>
      <w:r>
        <w:rPr>
          <w:rFonts w:ascii="Times New Roman;Times;serif" w:hAnsi="Times New Roman;Times;serif"/>
          <w:spacing w:val="24"/>
          <w:sz w:val="20"/>
        </w:rPr>
        <w:t xml:space="preserve"> </w:t>
      </w:r>
      <w:r>
        <w:rPr>
          <w:rFonts w:ascii="Times New Roman;Times;serif" w:hAnsi="Times New Roman;Times;serif"/>
          <w:sz w:val="20"/>
        </w:rPr>
        <w:t>the Company</w:t>
      </w:r>
      <w:r>
        <w:rPr>
          <w:rFonts w:ascii="Times New Roman;Times;serif" w:hAnsi="Times New Roman;Times;serif"/>
          <w:spacing w:val="21"/>
          <w:sz w:val="20"/>
        </w:rPr>
        <w:t xml:space="preserve"> </w:t>
      </w:r>
      <w:r>
        <w:rPr>
          <w:rFonts w:ascii="Times New Roman;Times;serif" w:hAnsi="Times New Roman;Times;serif"/>
          <w:sz w:val="20"/>
        </w:rPr>
        <w:t>ensures</w:t>
      </w:r>
      <w:r>
        <w:rPr>
          <w:rFonts w:ascii="Times New Roman;Times;serif" w:hAnsi="Times New Roman;Times;serif"/>
          <w:spacing w:val="22"/>
          <w:sz w:val="20"/>
        </w:rPr>
        <w:t xml:space="preserve"> </w:t>
      </w:r>
      <w:r>
        <w:rPr>
          <w:rFonts w:ascii="Times New Roman;Times;serif" w:hAnsi="Times New Roman;Times;serif"/>
          <w:sz w:val="20"/>
        </w:rPr>
        <w:t>compliance</w:t>
      </w:r>
      <w:r>
        <w:rPr>
          <w:rFonts w:ascii="Times New Roman;Times;serif" w:hAnsi="Times New Roman;Times;serif"/>
          <w:spacing w:val="25"/>
          <w:sz w:val="20"/>
        </w:rPr>
        <w:t xml:space="preserve"> </w:t>
      </w:r>
      <w:r>
        <w:rPr>
          <w:rFonts w:ascii="Times New Roman;Times;serif" w:hAnsi="Times New Roman;Times;serif"/>
          <w:sz w:val="20"/>
        </w:rPr>
        <w:t>with</w:t>
      </w:r>
      <w:r>
        <w:rPr>
          <w:rFonts w:ascii="Times New Roman;Times;serif" w:hAnsi="Times New Roman;Times;serif"/>
          <w:spacing w:val="20"/>
          <w:sz w:val="20"/>
        </w:rPr>
        <w:t xml:space="preserve"> </w:t>
      </w:r>
      <w:r>
        <w:rPr>
          <w:rFonts w:ascii="Times New Roman;Times;serif" w:hAnsi="Times New Roman;Times;serif"/>
          <w:sz w:val="20"/>
        </w:rPr>
        <w:t>its</w:t>
      </w:r>
      <w:r>
        <w:rPr>
          <w:rFonts w:ascii="Times New Roman;Times;serif" w:hAnsi="Times New Roman;Times;serif"/>
          <w:spacing w:val="22"/>
          <w:sz w:val="20"/>
        </w:rPr>
        <w:t xml:space="preserve"> </w:t>
      </w:r>
      <w:r>
        <w:rPr>
          <w:rFonts w:ascii="Times New Roman;Times;serif" w:hAnsi="Times New Roman;Times;serif"/>
          <w:sz w:val="20"/>
        </w:rPr>
        <w:t>obligations</w:t>
      </w:r>
      <w:r>
        <w:rPr>
          <w:rFonts w:ascii="Times New Roman;Times;serif" w:hAnsi="Times New Roman;Times;serif"/>
          <w:spacing w:val="20"/>
          <w:sz w:val="20"/>
        </w:rPr>
        <w:t xml:space="preserve"> </w:t>
      </w:r>
      <w:r>
        <w:rPr>
          <w:rFonts w:ascii="Times New Roman;Times;serif" w:hAnsi="Times New Roman;Times;serif"/>
          <w:sz w:val="20"/>
        </w:rPr>
        <w:t>under</w:t>
      </w:r>
      <w:r>
        <w:rPr>
          <w:rFonts w:ascii="Times New Roman;Times;serif" w:hAnsi="Times New Roman;Times;serif"/>
          <w:spacing w:val="22"/>
          <w:sz w:val="20"/>
        </w:rPr>
        <w:t xml:space="preserve"> </w:t>
      </w:r>
      <w:r>
        <w:rPr>
          <w:rFonts w:ascii="Times New Roman;Times;serif" w:hAnsi="Times New Roman;Times;serif"/>
          <w:sz w:val="20"/>
        </w:rPr>
        <w:t>New</w:t>
      </w:r>
      <w:r>
        <w:rPr>
          <w:rFonts w:ascii="Times New Roman;Times;serif" w:hAnsi="Times New Roman;Times;serif"/>
          <w:spacing w:val="18"/>
          <w:sz w:val="20"/>
        </w:rPr>
        <w:t xml:space="preserve"> </w:t>
      </w:r>
      <w:r>
        <w:rPr>
          <w:rFonts w:ascii="Times New Roman;Times;serif" w:hAnsi="Times New Roman;Times;serif"/>
          <w:sz w:val="20"/>
        </w:rPr>
        <w:t>Mexico</w:t>
      </w:r>
      <w:r>
        <w:rPr>
          <w:rFonts w:ascii="Times New Roman;Times;serif" w:hAnsi="Times New Roman;Times;serif"/>
          <w:spacing w:val="22"/>
          <w:sz w:val="20"/>
        </w:rPr>
        <w:t xml:space="preserve"> </w:t>
      </w:r>
      <w:r>
        <w:rPr>
          <w:rFonts w:ascii="Times New Roman;Times;serif" w:hAnsi="Times New Roman;Times;serif"/>
          <w:sz w:val="20"/>
        </w:rPr>
        <w:t>law</w:t>
      </w:r>
      <w:r>
        <w:rPr>
          <w:rFonts w:ascii="Times New Roman;Times;serif" w:hAnsi="Times New Roman;Times;serif"/>
          <w:spacing w:val="18"/>
          <w:sz w:val="20"/>
        </w:rPr>
        <w:t xml:space="preserve"> </w:t>
      </w:r>
      <w:r>
        <w:rPr>
          <w:rFonts w:ascii="Times New Roman;Times;serif" w:hAnsi="Times New Roman;Times;serif"/>
          <w:sz w:val="20"/>
        </w:rPr>
        <w:t>and</w:t>
      </w:r>
      <w:r>
        <w:rPr>
          <w:rFonts w:ascii="Times New Roman;Times;serif" w:hAnsi="Times New Roman;Times;serif"/>
          <w:spacing w:val="24"/>
          <w:sz w:val="20"/>
        </w:rPr>
        <w:t xml:space="preserve"> </w:t>
      </w:r>
      <w:r>
        <w:rPr>
          <w:rFonts w:ascii="Times New Roman;Times;serif" w:hAnsi="Times New Roman;Times;serif"/>
          <w:sz w:val="20"/>
        </w:rPr>
        <w:t>regulations</w:t>
      </w:r>
      <w:r>
        <w:rPr>
          <w:rFonts w:ascii="Times New Roman;Times;serif" w:hAnsi="Times New Roman;Times;serif"/>
          <w:spacing w:val="20"/>
          <w:sz w:val="20"/>
        </w:rPr>
        <w:t xml:space="preserve"> </w:t>
      </w:r>
      <w:r>
        <w:rPr>
          <w:rFonts w:ascii="Times New Roman;Times;serif" w:hAnsi="Times New Roman;Times;serif"/>
          <w:sz w:val="20"/>
        </w:rPr>
        <w:t>by</w:t>
      </w:r>
      <w:r>
        <w:rPr>
          <w:rFonts w:ascii="Times New Roman;Times;serif" w:hAnsi="Times New Roman;Times;serif"/>
          <w:spacing w:val="18"/>
          <w:sz w:val="20"/>
        </w:rPr>
        <w:t xml:space="preserve"> </w:t>
      </w:r>
      <w:r>
        <w:rPr>
          <w:rFonts w:ascii="Times New Roman;Times;serif" w:hAnsi="Times New Roman;Times;serif"/>
          <w:sz w:val="20"/>
        </w:rPr>
        <w:t>(i)</w:t>
      </w:r>
      <w:r>
        <w:rPr>
          <w:rFonts w:ascii="Times New Roman;Times;serif" w:hAnsi="Times New Roman;Times;serif"/>
          <w:spacing w:val="23"/>
          <w:sz w:val="20"/>
        </w:rPr>
        <w:t xml:space="preserve"> </w:t>
      </w:r>
      <w:r>
        <w:rPr>
          <w:rFonts w:ascii="Times New Roman;Times;serif" w:hAnsi="Times New Roman;Times;serif"/>
          <w:sz w:val="20"/>
        </w:rPr>
        <w:t>engaging third-party</w:t>
      </w:r>
      <w:r>
        <w:rPr>
          <w:rFonts w:ascii="Times New Roman;Times;serif" w:hAnsi="Times New Roman;Times;serif"/>
          <w:spacing w:val="-3"/>
          <w:sz w:val="20"/>
        </w:rPr>
        <w:t xml:space="preserve"> </w:t>
      </w:r>
      <w:r>
        <w:rPr>
          <w:rFonts w:ascii="Times New Roman;Times;serif" w:hAnsi="Times New Roman;Times;serif"/>
          <w:sz w:val="20"/>
        </w:rPr>
        <w:t>cannabis monitoring services who provide legislative monitoring</w:t>
      </w:r>
      <w:r>
        <w:rPr>
          <w:rFonts w:ascii="Times New Roman;Times;serif" w:hAnsi="Times New Roman;Times;serif"/>
          <w:spacing w:val="-1"/>
          <w:sz w:val="20"/>
        </w:rPr>
        <w:t xml:space="preserve"> </w:t>
      </w:r>
      <w:r>
        <w:rPr>
          <w:rFonts w:ascii="Times New Roman;Times;serif" w:hAnsi="Times New Roman;Times;serif"/>
          <w:sz w:val="20"/>
        </w:rPr>
        <w:t>and regulatory compliance services, and (ii)</w:t>
      </w:r>
      <w:r>
        <w:rPr>
          <w:rFonts w:ascii="Times New Roman;Times;serif" w:hAnsi="Times New Roman;Times;serif"/>
          <w:spacing w:val="33"/>
          <w:sz w:val="20"/>
        </w:rPr>
        <w:t xml:space="preserve"> </w:t>
      </w:r>
      <w:r>
        <w:rPr>
          <w:rFonts w:ascii="Times New Roman;Times;serif" w:hAnsi="Times New Roman;Times;serif"/>
          <w:sz w:val="20"/>
        </w:rPr>
        <w:t>periodic</w:t>
      </w:r>
      <w:r>
        <w:rPr>
          <w:rFonts w:ascii="Times New Roman;Times;serif" w:hAnsi="Times New Roman;Times;serif"/>
          <w:spacing w:val="29"/>
          <w:sz w:val="20"/>
        </w:rPr>
        <w:t xml:space="preserve"> </w:t>
      </w:r>
      <w:r>
        <w:rPr>
          <w:rFonts w:ascii="Times New Roman;Times;serif" w:hAnsi="Times New Roman;Times;serif"/>
          <w:sz w:val="20"/>
        </w:rPr>
        <w:t>reviews</w:t>
      </w:r>
      <w:r>
        <w:rPr>
          <w:rFonts w:ascii="Times New Roman;Times;serif" w:hAnsi="Times New Roman;Times;serif"/>
          <w:spacing w:val="34"/>
          <w:sz w:val="20"/>
        </w:rPr>
        <w:t xml:space="preserve"> </w:t>
      </w:r>
      <w:r>
        <w:rPr>
          <w:rFonts w:ascii="Times New Roman;Times;serif" w:hAnsi="Times New Roman;Times;serif"/>
          <w:sz w:val="20"/>
        </w:rPr>
        <w:t>with</w:t>
      </w:r>
      <w:r>
        <w:rPr>
          <w:rFonts w:ascii="Times New Roman;Times;serif" w:hAnsi="Times New Roman;Times;serif"/>
          <w:spacing w:val="30"/>
          <w:sz w:val="20"/>
        </w:rPr>
        <w:t xml:space="preserve"> </w:t>
      </w:r>
      <w:r>
        <w:rPr>
          <w:rFonts w:ascii="Times New Roman;Times;serif" w:hAnsi="Times New Roman;Times;serif"/>
          <w:sz w:val="20"/>
        </w:rPr>
        <w:t>external</w:t>
      </w:r>
      <w:r>
        <w:rPr>
          <w:rFonts w:ascii="Times New Roman;Times;serif" w:hAnsi="Times New Roman;Times;serif"/>
          <w:spacing w:val="30"/>
          <w:sz w:val="20"/>
        </w:rPr>
        <w:t xml:space="preserve"> </w:t>
      </w:r>
      <w:r>
        <w:rPr>
          <w:rFonts w:ascii="Times New Roman;Times;serif" w:hAnsi="Times New Roman;Times;serif"/>
          <w:sz w:val="20"/>
        </w:rPr>
        <w:t>counsel</w:t>
      </w:r>
      <w:r>
        <w:rPr>
          <w:rFonts w:ascii="Times New Roman;Times;serif" w:hAnsi="Times New Roman;Times;serif"/>
          <w:spacing w:val="34"/>
          <w:sz w:val="20"/>
        </w:rPr>
        <w:t xml:space="preserve"> </w:t>
      </w:r>
      <w:r>
        <w:rPr>
          <w:rFonts w:ascii="Times New Roman;Times;serif" w:hAnsi="Times New Roman;Times;serif"/>
          <w:sz w:val="20"/>
        </w:rPr>
        <w:t>who</w:t>
      </w:r>
      <w:r>
        <w:rPr>
          <w:rFonts w:ascii="Times New Roman;Times;serif" w:hAnsi="Times New Roman;Times;serif"/>
          <w:spacing w:val="32"/>
          <w:sz w:val="20"/>
        </w:rPr>
        <w:t xml:space="preserve"> </w:t>
      </w:r>
      <w:r>
        <w:rPr>
          <w:rFonts w:ascii="Times New Roman;Times;serif" w:hAnsi="Times New Roman;Times;serif"/>
          <w:sz w:val="20"/>
        </w:rPr>
        <w:t>audit</w:t>
      </w:r>
      <w:r>
        <w:rPr>
          <w:rFonts w:ascii="Times New Roman;Times;serif" w:hAnsi="Times New Roman;Times;serif"/>
          <w:spacing w:val="32"/>
          <w:sz w:val="20"/>
        </w:rPr>
        <w:t xml:space="preserve"> </w:t>
      </w:r>
      <w:r>
        <w:rPr>
          <w:rFonts w:ascii="Times New Roman;Times;serif" w:hAnsi="Times New Roman;Times;serif"/>
          <w:sz w:val="20"/>
        </w:rPr>
        <w:t>compliance</w:t>
      </w:r>
      <w:r>
        <w:rPr>
          <w:rFonts w:ascii="Times New Roman;Times;serif" w:hAnsi="Times New Roman;Times;serif"/>
          <w:spacing w:val="32"/>
          <w:sz w:val="20"/>
        </w:rPr>
        <w:t xml:space="preserve"> </w:t>
      </w:r>
      <w:r>
        <w:rPr>
          <w:rFonts w:ascii="Times New Roman;Times;serif" w:hAnsi="Times New Roman;Times;serif"/>
          <w:sz w:val="20"/>
        </w:rPr>
        <w:t>checks</w:t>
      </w:r>
      <w:r>
        <w:rPr>
          <w:rFonts w:ascii="Times New Roman;Times;serif" w:hAnsi="Times New Roman;Times;serif"/>
          <w:spacing w:val="32"/>
          <w:sz w:val="20"/>
        </w:rPr>
        <w:t xml:space="preserve"> </w:t>
      </w:r>
      <w:r>
        <w:rPr>
          <w:rFonts w:ascii="Times New Roman;Times;serif" w:hAnsi="Times New Roman;Times;serif"/>
          <w:sz w:val="20"/>
        </w:rPr>
        <w:t>on</w:t>
      </w:r>
      <w:r>
        <w:rPr>
          <w:rFonts w:ascii="Times New Roman;Times;serif" w:hAnsi="Times New Roman;Times;serif"/>
          <w:spacing w:val="30"/>
          <w:sz w:val="20"/>
        </w:rPr>
        <w:t xml:space="preserve"> </w:t>
      </w:r>
      <w:r>
        <w:rPr>
          <w:rFonts w:ascii="Times New Roman;Times;serif" w:hAnsi="Times New Roman;Times;serif"/>
          <w:sz w:val="20"/>
        </w:rPr>
        <w:t>the Company’s</w:t>
      </w:r>
      <w:r>
        <w:rPr>
          <w:rFonts w:ascii="Times New Roman;Times;serif" w:hAnsi="Times New Roman;Times;serif"/>
          <w:spacing w:val="32"/>
          <w:sz w:val="20"/>
        </w:rPr>
        <w:t xml:space="preserve"> </w:t>
      </w:r>
      <w:r>
        <w:rPr>
          <w:rFonts w:ascii="Times New Roman;Times;serif" w:hAnsi="Times New Roman;Times;serif"/>
          <w:sz w:val="20"/>
        </w:rPr>
        <w:t>suppliers</w:t>
      </w:r>
      <w:r>
        <w:rPr>
          <w:rFonts w:ascii="Times New Roman;Times;serif" w:hAnsi="Times New Roman;Times;serif"/>
          <w:spacing w:val="30"/>
          <w:sz w:val="20"/>
        </w:rPr>
        <w:t xml:space="preserve"> </w:t>
      </w:r>
      <w:r>
        <w:rPr>
          <w:rFonts w:ascii="Times New Roman;Times;serif" w:hAnsi="Times New Roman;Times;serif"/>
          <w:sz w:val="20"/>
        </w:rPr>
        <w:t>and</w:t>
      </w:r>
      <w:r>
        <w:rPr>
          <w:rFonts w:ascii="Times New Roman;Times;serif" w:hAnsi="Times New Roman;Times;serif"/>
          <w:spacing w:val="34"/>
          <w:sz w:val="20"/>
        </w:rPr>
        <w:t xml:space="preserve"> </w:t>
      </w:r>
      <w:r>
        <w:rPr>
          <w:rFonts w:ascii="Times New Roman;Times;serif" w:hAnsi="Times New Roman;Times;serif"/>
          <w:sz w:val="20"/>
        </w:rPr>
        <w:t>other</w:t>
      </w:r>
      <w:r>
        <w:rPr>
          <w:rFonts w:ascii="Times New Roman;Times;serif" w:hAnsi="Times New Roman;Times;serif"/>
          <w:spacing w:val="31"/>
          <w:sz w:val="20"/>
        </w:rPr>
        <w:t xml:space="preserve"> </w:t>
      </w:r>
      <w:r>
        <w:rPr>
          <w:rFonts w:ascii="Times New Roman;Times;serif" w:hAnsi="Times New Roman;Times;serif"/>
          <w:sz w:val="20"/>
        </w:rPr>
        <w:t>industry partners</w:t>
      </w:r>
      <w:r>
        <w:rPr>
          <w:rFonts w:ascii="Times New Roman;Times;serif" w:hAnsi="Times New Roman;Times;serif"/>
          <w:spacing w:val="30"/>
          <w:sz w:val="20"/>
        </w:rPr>
        <w:t xml:space="preserve"> </w:t>
      </w:r>
      <w:r>
        <w:rPr>
          <w:rFonts w:ascii="Times New Roman;Times;serif" w:hAnsi="Times New Roman;Times;serif"/>
          <w:sz w:val="20"/>
        </w:rPr>
        <w:t>to</w:t>
      </w:r>
      <w:r>
        <w:rPr>
          <w:rFonts w:ascii="Times New Roman;Times;serif" w:hAnsi="Times New Roman;Times;serif"/>
          <w:spacing w:val="34"/>
          <w:sz w:val="20"/>
        </w:rPr>
        <w:t xml:space="preserve"> </w:t>
      </w:r>
      <w:r>
        <w:rPr>
          <w:rFonts w:ascii="Times New Roman;Times;serif" w:hAnsi="Times New Roman;Times;serif"/>
          <w:sz w:val="20"/>
        </w:rPr>
        <w:t>ensure</w:t>
      </w:r>
      <w:r>
        <w:rPr>
          <w:rFonts w:ascii="Times New Roman;Times;serif" w:hAnsi="Times New Roman;Times;serif"/>
          <w:spacing w:val="35"/>
          <w:sz w:val="20"/>
        </w:rPr>
        <w:t xml:space="preserve"> </w:t>
      </w:r>
      <w:r>
        <w:rPr>
          <w:rFonts w:ascii="Times New Roman;Times;serif" w:hAnsi="Times New Roman;Times;serif"/>
          <w:sz w:val="20"/>
        </w:rPr>
        <w:t>their</w:t>
      </w:r>
      <w:r>
        <w:rPr>
          <w:rFonts w:ascii="Times New Roman;Times;serif" w:hAnsi="Times New Roman;Times;serif"/>
          <w:spacing w:val="31"/>
          <w:sz w:val="20"/>
        </w:rPr>
        <w:t xml:space="preserve"> </w:t>
      </w:r>
      <w:r>
        <w:rPr>
          <w:rFonts w:ascii="Times New Roman;Times;serif" w:hAnsi="Times New Roman;Times;serif"/>
          <w:sz w:val="20"/>
        </w:rPr>
        <w:t>ongoing</w:t>
      </w:r>
      <w:r>
        <w:rPr>
          <w:rFonts w:ascii="Times New Roman;Times;serif" w:hAnsi="Times New Roman;Times;serif"/>
          <w:spacing w:val="32"/>
          <w:sz w:val="20"/>
        </w:rPr>
        <w:t xml:space="preserve"> </w:t>
      </w:r>
      <w:r>
        <w:rPr>
          <w:rFonts w:ascii="Times New Roman;Times;serif" w:hAnsi="Times New Roman;Times;serif"/>
          <w:sz w:val="20"/>
        </w:rPr>
        <w:t>compliance</w:t>
      </w:r>
      <w:r>
        <w:rPr>
          <w:rFonts w:ascii="Times New Roman;Times;serif" w:hAnsi="Times New Roman;Times;serif"/>
          <w:spacing w:val="33"/>
          <w:sz w:val="20"/>
        </w:rPr>
        <w:t xml:space="preserve"> </w:t>
      </w:r>
      <w:r>
        <w:rPr>
          <w:rFonts w:ascii="Times New Roman;Times;serif" w:hAnsi="Times New Roman;Times;serif"/>
          <w:sz w:val="20"/>
        </w:rPr>
        <w:t>and</w:t>
      </w:r>
      <w:r>
        <w:rPr>
          <w:rFonts w:ascii="Times New Roman;Times;serif" w:hAnsi="Times New Roman;Times;serif"/>
          <w:spacing w:val="32"/>
          <w:sz w:val="20"/>
        </w:rPr>
        <w:t xml:space="preserve"> </w:t>
      </w:r>
      <w:r>
        <w:rPr>
          <w:rFonts w:ascii="Times New Roman;Times;serif" w:hAnsi="Times New Roman;Times;serif"/>
          <w:sz w:val="20"/>
        </w:rPr>
        <w:t>ensure</w:t>
      </w:r>
      <w:r>
        <w:rPr>
          <w:rFonts w:ascii="Times New Roman;Times;serif" w:hAnsi="Times New Roman;Times;serif"/>
          <w:spacing w:val="34"/>
          <w:sz w:val="20"/>
        </w:rPr>
        <w:t xml:space="preserve"> </w:t>
      </w:r>
      <w:r>
        <w:rPr>
          <w:rFonts w:ascii="Times New Roman;Times;serif" w:hAnsi="Times New Roman;Times;serif"/>
          <w:sz w:val="20"/>
        </w:rPr>
        <w:t>that</w:t>
      </w:r>
      <w:r>
        <w:rPr>
          <w:rFonts w:ascii="Times New Roman;Times;serif" w:hAnsi="Times New Roman;Times;serif"/>
          <w:spacing w:val="34"/>
          <w:sz w:val="20"/>
        </w:rPr>
        <w:t xml:space="preserve"> </w:t>
      </w:r>
      <w:r>
        <w:rPr>
          <w:rFonts w:ascii="Times New Roman;Times;serif" w:hAnsi="Times New Roman;Times;serif"/>
          <w:sz w:val="20"/>
        </w:rPr>
        <w:t>the Company’s</w:t>
      </w:r>
      <w:r>
        <w:rPr>
          <w:rFonts w:ascii="Times New Roman;Times;serif" w:hAnsi="Times New Roman;Times;serif"/>
          <w:spacing w:val="32"/>
          <w:sz w:val="20"/>
        </w:rPr>
        <w:t xml:space="preserve"> </w:t>
      </w:r>
      <w:r>
        <w:rPr>
          <w:rFonts w:ascii="Times New Roman;Times;serif" w:hAnsi="Times New Roman;Times;serif"/>
          <w:sz w:val="20"/>
        </w:rPr>
        <w:t>internal</w:t>
      </w:r>
      <w:r>
        <w:rPr>
          <w:rFonts w:ascii="Times New Roman;Times;serif" w:hAnsi="Times New Roman;Times;serif"/>
          <w:spacing w:val="32"/>
          <w:sz w:val="20"/>
        </w:rPr>
        <w:t xml:space="preserve"> </w:t>
      </w:r>
      <w:r>
        <w:rPr>
          <w:rFonts w:ascii="Times New Roman;Times;serif" w:hAnsi="Times New Roman;Times;serif"/>
          <w:sz w:val="20"/>
        </w:rPr>
        <w:t>processes</w:t>
      </w:r>
      <w:r>
        <w:rPr>
          <w:rFonts w:ascii="Times New Roman;Times;serif" w:hAnsi="Times New Roman;Times;serif"/>
          <w:spacing w:val="32"/>
          <w:sz w:val="20"/>
        </w:rPr>
        <w:t xml:space="preserve"> </w:t>
      </w:r>
      <w:r>
        <w:rPr>
          <w:rFonts w:ascii="Times New Roman;Times;serif" w:hAnsi="Times New Roman;Times;serif"/>
          <w:sz w:val="20"/>
        </w:rPr>
        <w:t>are</w:t>
      </w:r>
      <w:r>
        <w:rPr>
          <w:rFonts w:ascii="Times New Roman;Times;serif" w:hAnsi="Times New Roman;Times;serif"/>
          <w:spacing w:val="31"/>
          <w:sz w:val="20"/>
        </w:rPr>
        <w:t xml:space="preserve"> </w:t>
      </w:r>
      <w:r>
        <w:rPr>
          <w:rFonts w:ascii="Times New Roman;Times;serif" w:hAnsi="Times New Roman;Times;serif"/>
          <w:sz w:val="20"/>
        </w:rPr>
        <w:t>sufficient</w:t>
      </w:r>
      <w:r>
        <w:rPr>
          <w:rFonts w:ascii="Times New Roman;Times;serif" w:hAnsi="Times New Roman;Times;serif"/>
          <w:spacing w:val="32"/>
          <w:sz w:val="20"/>
        </w:rPr>
        <w:t xml:space="preserve"> </w:t>
      </w:r>
      <w:r>
        <w:rPr>
          <w:rFonts w:ascii="Times New Roman;Times;serif" w:hAnsi="Times New Roman;Times;serif"/>
          <w:sz w:val="20"/>
        </w:rPr>
        <w:t>to</w:t>
      </w:r>
      <w:r>
        <w:rPr>
          <w:rFonts w:ascii="Times New Roman;Times;serif" w:hAnsi="Times New Roman;Times;serif"/>
          <w:spacing w:val="34"/>
          <w:sz w:val="20"/>
        </w:rPr>
        <w:t xml:space="preserve"> </w:t>
      </w:r>
      <w:r>
        <w:rPr>
          <w:rFonts w:ascii="Times New Roman;Times;serif" w:hAnsi="Times New Roman;Times;serif"/>
          <w:sz w:val="20"/>
        </w:rPr>
        <w:t>maintain with its obligations under New Mexico law.</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sz w:val="20"/>
        </w:rPr>
        <w:t>Employees and Human Capital</w:t>
      </w:r>
      <w:r>
        <w:rPr>
          <w:rFonts w:ascii="Times New Roman;Times;serif" w:hAnsi="Times New Roman;Times;serif"/>
          <w:b/>
          <w:sz w:val="20"/>
        </w:rPr>
        <w:t xml:space="preserve">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 of March 1, 2023, the Company employed 651 full time and 93 part time employees across all reporting segments, and the Company expects its labor demand to increase as it continues to expand operations in Colorado and New Mexico and into potential new markets in the future. The Company also employs several specialty contractors to provide support for various roles in retail sales, wholesale, cultivation, and distribution operations and general corporate roles. The Company intermittently engages temporary staffing agencies to fill labor demand during peak times in the Company’s cultivation and harvest cycle. Full time employees are distributed among several departments, including retail, cultivation,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manufacturing, integration and operations, construction and project management, supply chain and distribution, facilities and security, information technology, sales and marketing, human resources, finance, mergers, acquisitions and real estate, regulatory licensing and compliance, and legal.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offers company-sponsored benefits packages to all eligible full-time employees, which includes participation in a 401(k) retirement savings plan (for which full-time and part-time employees are both eligible), medical, vision, and dental plans, disability insurance, employee assistance programs, life insurance, and other voluntary benefits such as accident insurance, hospital indemnity, critical illness coverage, and pet insurance. None of the Company’s employees are represented by a labor union or a collective bargaining agreement. Management currently evaluates employee performance-based on financial metrics such as EBITDA, revenue, and free cash flow, along with specific individual performance goals for certain roles, to assess and reward employee performance.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committed to attracting, developing, and retaining qualified, hard-working individuals to contribute to a diverse and successful culture. During 2022, the Company expanded its team dedicated to human capital needs for more direct engagement with its employees and the labor needs of the organization, specifically hiring a Head of Human Resources in May 2022 and further expanding its human resources function through deployment of various resources throughout the organization. The Company engages with its employees to evaluate overall satisfaction and culture through anonymous surveys and interviews, the results of which are aggregated and compiled into action plans designed to address pressure points in its workforce. The Company anticipates implementing additional policies in future periods to further its efforts to attract and retain qualified talent across the organization.</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Environmental, Social, and Governance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strives to be an exemplary steward for the cannabis industry in the markets in which it operates, and the Company is committed to its contribution to a more equitable and sustainable industry.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cannabis industry experiences a higher degree of organic diversity than is often common in other industries, and the Company seeks to capitalize on this unique characteristic to build a more diverse workforce to foster new ideas and innovation within the cannabis community. The Company seeks to hire diverse talent at every level in the organization, including management. The Company adopted a diversity, equity, and inclusion strategy in 2022 for implementation in 2023 that seeks to attract and support a diverse workforce.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believes that strong governance and processes are key to maximizing operational synergies and success while managing and minimizing risk. Management incorporates automation and organizational checks and balances in its corporate processes to manage human resources, and it maintains good communication with the Company’s board of directors. Management meets regularly with a subset of directors of the Company to discuss acquisition activity and strategy, and the Company appointed Jonathan Berger as Lead Independent Director of the Company’s board of directors to strengthen its governance position.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cannabis industry is dependent on certain resources such as water and electricity to succeed. The Company strives to achieve efficient and sustainable practices so as to conserve these resources. The cost of these resources, and the cost of compliance with expanding environmental regulations, could increase in the future. </w:t>
      </w:r>
    </w:p>
    <w:p>
      <w:pPr>
        <w:pStyle w:val="TextBody"/>
        <w:pBdr/>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COVID-19 and Future Pandemics</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In March 2020, the World Health Organization categorized coronavirus disease 2019 (together with its variants “COVID-19”) as a pandemic. COVID-19 continues to spread throughout the U.S. and other countries across the world, and the duration and severity of its effects and those of its variants are currently unknown. The Company remains committed to protecting the health and safety of its employees and customers in accordance with recommended actions of the government and health authorities as COVID-19 persists. In the future, a resurgence of the COVID-19 pandemic or an unrelated pandemic illness may present similar or unique operational challenges faced by the Company during the COVID-19 pandemic, including but not limited to labor shortages, supply chain disruption, travel and work restrictions, and recessionary macroeconomic conditions impacting consumer behavior.</w:t>
      </w:r>
    </w:p>
    <w:p>
      <w:pPr>
        <w:pStyle w:val="TextBody"/>
        <w:shd w:fill="FFFFFF" w:val="clear"/>
        <w:spacing w:before="0" w:after="0"/>
        <w:ind w:left="0" w:right="0" w:firstLine="816"/>
        <w:rPr/>
      </w:pPr>
      <w:r>
        <w:rPr/>
        <w:t>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spacing w:before="0" w:after="0"/>
        <w:ind w:left="0" w:right="0" w:hanging="0"/>
        <w:rPr>
          <w:rFonts w:ascii="Times New Roman;Times;serif" w:hAnsi="Times New Roman;Times;serif"/>
          <w:sz w:val="20"/>
        </w:rPr>
      </w:pPr>
      <w:r>
        <w:rPr>
          <w:rFonts w:ascii="Times New Roman;Times;serif" w:hAnsi="Times New Roman;Times;serif"/>
          <w:sz w:val="20"/>
        </w:rPr>
        <w:t xml:space="preserve">The Company’s financial results of operations were not materially negatively impacted by the COVID-19 pandemic for the year-ended December 31, 2022. However, the uncertain nature of the spread of COVID-19 and any future pandemics may impact the Company’s business operations in future periods. </w:t>
      </w:r>
    </w:p>
    <w:p>
      <w:pPr>
        <w:pStyle w:val="TextBody"/>
        <w:shd w:fill="FFFFFF" w:val="clear"/>
        <w:spacing w:before="0" w:after="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sz w:val="20"/>
        </w:rPr>
        <w:t>Competition</w:t>
      </w:r>
      <w:r>
        <w:rPr>
          <w:rFonts w:ascii="Times New Roman;Times;serif" w:hAnsi="Times New Roman;Times;serif"/>
          <w:b/>
          <w:sz w:val="20"/>
        </w:rPr>
        <w:t xml:space="preserve">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discussed above, our business has recently expanded. In addition to operational expansions in Colorado, we also entered the New Mexico market in 2022. With expansion in existing and new markets and operational developments, our competition has also increased. As a multi-state operator (“MSO”) with vertically integrated operations, we compete with a variety of other operators for market share, including other regional MSOs, single store operators, consumer packaged goods companies, cultivators, illicit market participants, and potentially pharmaceutical companies in the future.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the majority of states that have legalized adult-use cannabis sales, there are specific license caps that create high barriers to entry. There are not state-wide license caps prescribed by state law in Colorado and New Mexico where we currently operate; however, some local jurisdictions place caps, outright prohibition, and/or restrictions on new license issuances, which can add additional complexity and practical barriers to our expansion efforts in certain geographic areas.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2022, there were 669 recreational cannabis licenses issued in Colorado, up from 651 recreational cannabis licenses issued as of December 31, 2021, meaning approximately 18 recreational cannabis licenses were issued in 2022 (which does not account for licenses surrendered or terminated throughout the year). Our most direct competitors within Colorado include The Green Solution, Native Roots, Green Dragon, LivWell, Columbia Care Inc., Craft Concentrates, Mammoth Manufacturing, Colorado Cannabis Company, and Spherex Inc.</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New Mexico, there were 200 cannabis licenses as of December 31, 2021, which increased to 550 cannabis licenses as of December 31, 2022. Our most direct competitors within New Mexico include Ultra Health, PurLife, Pecos Valley, Assurance, Everest, and Bloom.</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Outside of Colorado and New Mexico, we also view other vertically integrated MSOs as potential competitors due to our growth and future plans; these competitors include Green Thumb Industries, Inc., iAnthus Capital Holdings, Inc., Acreage Holdings, Inc., and Curaleaf Holdings, Inc. Like us, these companies can realize centralized synergies to produce higher margins.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we compete with the illicit markets. The New Mexico market presents more competition from illicit participants as compared to the Colorado market due to the infancy of the cannabis industry in that state as well as fewer caps and restrictions on new license issuances. As the regulatory environment continues to develop in Colorado, New Mexico, and nationwide, management believes there will be a meaningful reduction of the illicit market.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sz w:val="20"/>
        </w:rPr>
        <w:t>Industry Analysis</w:t>
      </w:r>
      <w:r>
        <w:rPr>
          <w:rFonts w:ascii="Times New Roman;Times;serif" w:hAnsi="Times New Roman;Times;serif"/>
          <w:b/>
          <w:sz w:val="20"/>
        </w:rPr>
        <w:t xml:space="preserve">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Nationally, the marijuana industry has continued to expand through the passage of legislation in many states permitting medical and/or recreational use of cannabis under state law. While there certainly appears to be a trend towards acceptance of cannabis on a state-by-state basis, there are no assurances offered that this business will be able to sustain itself over time if the Federal government changes its current position related to state legalized operations.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1, 2023 at least 38 states and the District of Columbia, the Commonwealth of the Northern Mariana Islands, Puerto Rico, the U.S. Virgin Islands, and Guam have legalized marijuana for medical use. Twenty-one of those states and the District of Columbia, the Commonwealth of the Northern Mariana Islands, and Guam have legalized the adult-use of cannabis.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Sales in the Colorado market decreased in 2022 following two years of strong growth.  The Colorado market dropped 21% from $2.23 billion in gross sales during 2021 to $1.77 billion in gross sales during 2022. The New Mexico market showed strong growth in 2022 following legalization of adult-use cannabis sales starting on April 1, 2022.  According to BDSA, the leading provider of market intelligence for the cannabis industry, the New Mexico market generated approximately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$461 million in sales in 2022, up from approximately $264 in sales during 2021, representing an increase of approximately 75%.</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Available Information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principal executive offices are located at 4880 Havana St. Suite 201, Denver, CO 80239 and the Company’s telephone number is 303-371-0387. Our website address is www.schwazze.com. Information found on our website or any other website referenced in this Report is not incorporated into this Report and does not constitute a part of this Report. Website addresses referenced in this Report are intended to be inactive textual references only and not active hyperlinks to the referenced websites. We make available, free of charge through our website, our SEC filings furnished pursuant to Section 13(a) or 15(d) of the Exchange Act as soon as reasonably practicable after we electronically file such material with, or furnish it to, the SEC.</w:t>
      </w:r>
    </w:p>
    <w:p>
      <w:pPr>
        <w:pStyle w:val="TextBody"/>
        <w:pBdr/>
        <w:spacing w:before="0" w:after="0"/>
        <w:ind w:left="0" w:right="0" w:hanging="0"/>
        <w:jc w:val="both"/>
        <w:rPr>
          <w:rFonts w:ascii="Times New Roman;Times;serif" w:hAnsi="Times New Roman;Times;serif"/>
          <w:b/>
          <w:smallCaps/>
          <w:sz w:val="20"/>
        </w:rPr>
      </w:pPr>
      <w:r>
        <w:rPr>
          <w:rFonts w:ascii="Times New Roman;Times;serif" w:hAnsi="Times New Roman;Times;serif"/>
          <w:b/>
          <w:smallCaps/>
          <w:sz w:val="20"/>
        </w:rPr>
        <w:t xml:space="preserve">Recent Developments </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The Company previously reported that it signed an agreement on January 25, 2023 with Cannabis Care Wellness Centers, LLC and Green Medicals Wellness Center #5, LLC (collectively referred to as “Smokey’s”) and the owners of Smokey’s, pursuant to which the Company, through a wholly-owned subsidiary, will purchase two retail and medical marijuana stores located in Fort Collins, Colorado and Garden City, Colorado. The aggregate consideration for the Smokey’s acquisition will be up to $7.5 million, payable in cash and Common Stock. At the closing, the Company will pay the purchase price (i) in cash in the amount of $3,750,000 and (ii) in shares of the Common Stock in the amount of $3,150,000 divided by the price per share of the Common Stock as of market close on the first trading day immediately before the closing. At the closing, the Company will use a portion of the purchase price to pay off certain indebtedness and transaction expenses of Smokey’s and then pay the balance to Smokey’s. The Company will hold back from issuance additional shares of Common Stock in the amount of $600,000 divided by the price per share of the Common Stock as of market close on the first trading day immediately before the closing and $150,000 of the cash portion of the purchase price as collateral for potential claims for indemnification from Smokey’s under the purchase agreement. Any portion of the indemnity holdback not used to satisfy indemnification claims will be issued or released (as applicable) to the owners of Smokey’s on the 18-month anniversary of the closing date of the acquisition in accordance with the purchase agreement. The cash portion of the indemnity holdback is also subject to post-closing reduction if any of the actual marijuana inventory or cash at closing is less than certain targets stated in the purchase agreement.</w:t>
      </w:r>
    </w:p>
    <w:p>
      <w:pPr>
        <w:pStyle w:val="TextBody"/>
        <w:shd w:fill="FFFFFF" w:val="clear"/>
        <w:spacing w:before="0" w:after="0"/>
        <w:ind w:left="0" w:right="0" w:hanging="0"/>
        <w:jc w:val="both"/>
        <w:rPr/>
      </w:pPr>
      <w:r>
        <w:rPr/>
        <w:t> </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The closing of the Smokey’s acquisition is subject to closing conditions customary for a transaction of this nature, including, without limitation, obtaining licensing approval from the Colorado Marijuana Enforcement Division and local regulatory authorities.</w:t>
      </w:r>
    </w:p>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240"/>
        <w:ind w:left="0" w:right="0" w:hanging="0"/>
        <w:rPr>
          <w:rFonts w:ascii="Times New Roman;Times;serif" w:hAnsi="Times New Roman;Times;serif"/>
          <w:sz w:val="20"/>
        </w:rPr>
      </w:pPr>
      <w:bookmarkStart w:id="18" w:name="ITEM1ARISKFACTORS_967488"/>
      <w:bookmarkStart w:id="19" w:name="_e6efefa7_ade5_4192_91d7_93b46e96412b"/>
      <w:bookmarkEnd w:id="18"/>
      <w:bookmarkEnd w:id="19"/>
      <w:r>
        <w:rPr>
          <w:rFonts w:ascii="Times New Roman;Times;serif" w:hAnsi="Times New Roman;Times;serif"/>
          <w:b/>
          <w:i w:val="false"/>
          <w:caps w:val="false"/>
          <w:smallCaps w:val="false"/>
          <w:sz w:val="20"/>
        </w:rPr>
        <w:t>ITEM 1A.</w:t>
      </w:r>
      <w:r>
        <w:rPr>
          <w:rFonts w:ascii="Times New Roman;Times;serif" w:hAnsi="Times New Roman;Times;serif"/>
          <w:b/>
          <w:sz w:val="20"/>
        </w:rPr>
        <w:t>RISK FACTORS.</w:t>
      </w:r>
      <w:r>
        <w:rPr>
          <w:rFonts w:ascii="Times New Roman;Times;serif" w:hAnsi="Times New Roman;Times;serif"/>
          <w:sz w:val="20"/>
        </w:rPr>
        <w:t xml:space="preserve"> </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There are a number of risk factors affecting the Company, its business and holders of Common Stock or Preferred Stock. The risks and uncertainties described herein are not the only ones the Company faces. Additional risks and uncertainties, including those that the Company does not know about now or that it currently deems immaterial, may also adversely affect the Company’s business. If any of the following risks actually occur, the Company’s business may be harmed and its financial condition and results of operations may suffer significantly.</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Risks Related to Our Industry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Cannabis remains illegal under federal law.</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Despite the successful development of a cannabis industry legal under state laws in a number of states, state laws legalizing medicinal and recreational adult cannabis use are in conflict with the CSA, which classifies cannabis as a Schedule I controlled substance and makes cannabis use and possession illegal on a national level. The U.S. Supreme Court has ruled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that it is the federal government that has the right to regulate and criminalize cannabis, even for medical purposes, and thus federal law criminalizing the use of cannabis preempts state laws legalizing its use.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 prior U.S. administration attempted to address the inconsistent treatment of cannabis under state and federal law in the Cole Memorandum, which Deputy Attorney General James Cole sent to all U.S. Attorneys in August 2013 that outlined certain priorities for the DOJ relating to the prosecution of cannabis offenses. The Cole Memorandum provided that enforcing federal cannabis laws and regulations in jurisdictions that have enacted laws legalizing cannabis in some form and that have also implemented strong and effective regulatory and enforcement systems to control the cultivation, processing, distribution, sale and possession of cannabis conduct in compliance with those laws and regulations was not a priority for the DOJ. The DOJ did not provide (and has not provided since) specific guidelines for what regulatory and enforcement systems would be deemed sufficient under the Cole Memorandum. On January 4, 2018, U.S. Attorney General Jeff Sessions formally issued the Sessions Memorandum, which rescinded the Cole Memorandum effective upon its issuance. The Sessions Memorandum stated, in part, that current law reflects “Congress’ determination that cannabis is a dangerous drug and cannabis activity is a serious crime,” and Mr. Sessions directed all U.S. Attorneys to enforce the laws enacted by Congress and to follow well-established principles when pursuing prosecutions related to cannabis activities. There can be no assurance that the federal government will not enforce federal laws relating to cannabis in the future. The Biden administration has not expressed a cannabis policy as of the date of this Report. The uncertainty of federal enforcement practices going forward and the inconsistency between federal and state laws and regulations presents major risks for our business and operations. Any such change in the federal government’s enforcement of federal laws could cause significant financial damage to us and our stockholders.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Under federal law, and more specifically the CSA, the possession, use, cultivation and transfer of cannabis is illegal. It is also federally illegal to advertise the sale of cannabis, or to sell paraphernalia designed or intended primarily for use with cannabis, unless the paraphernalia is authorized by federal, state, or local law. Our business involves the cultivation, production and sale of cannabis and cannabis products, and, therefore, violates federal law. Further, we provide services to customers that are engaged in the business of possession, use, cultivation and/or transfer of cannabis. As a result, law enforcement authorities, in their attempt to regulate the illegal use of cannabis, may seek to bring an action or actions against us, including, but not limited to, a claim of aiding and abetting another’s criminal activities. The federal aiding and abetting statute provides that anyone who “commits an offense against the United States or aides, abets, counsels, commands, induces or procures its commission, is punishable as a principal. 18 U.S.C. §2(a).</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If the Federal Government were to change its enforcement practices, or were to expend its resources enforcing existing federal laws on those involved in the cannabis industry, such action could have a materially adverse effect on our business and operations, our customers or the sales of our products up to and including a complete cessation of our business, and our investors could lose their entire investment.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It is possible that additional federal or state legislation could be enacted in the future that would prohibit us from selling cannabis, and if such legislation were enacted, the demand for our products and services would likely decrease, causing revenues to decline. Further, additional government disruption in the cannabis industry could cause potential customers and users to be reluctant to use our products and services, which would be detrimental to us. We cannot predict the nature of any future laws, regulations, interpretations or applications, nor can we determine what effect additional governmental regulations or administrative policies and procedures, when and if promulgated, could have on our business.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business is dependent on state laws pertaining to the cannabis industry.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While there appears to be ample public support for legislative action to legalize cannabis use and possession, numerous factors may impact or negatively affect the legislative process(es) within the various states in which we have business interests. Any one of these factors could slow or halt the use of cannabis, which would negatively impact our business up to possibly causing us to discontinue operations as a whole.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voters or legislatures of states in which cannabis has already been legalized could potentially repeal applicable laws that permit the operation of both medical and retail cannabis businesses. These actions might force businesses, including our own, to cease operations in one or more states entirely.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required to comply concurrently with federal, state and local laws in each jurisdiction where we operate.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Various federal, state and local laws, regulations and guidelines govern our business in the jurisdictions in which we operate or propose to operate, including laws and regulations relating to health and safety, conduct of operations and the production, management, transportation, storage and disposal of our products and of certain material used in our operations. Compliance with each of these laws, regulations and guidelines requires concurrent compliance with other complex federal, state and local laws, regulations and guidelines. These laws, regulations and guidelines change frequently and may be difficult to interpret and apply. Compliance with these laws, regulations and guidelines requires the investment of significant financial and managerial resources, and a determination that we are not in compliance with these laws, regulations and guidelines could harm our reputation and brand image and have a material adverse effect on our prospects, business, financial condition and results of operations. Moreover, it is impossible for us to predict the cost or effect of such laws, regulations or guidelines upon our future operations. Changes to these laws, regulations and guidelines could negatively affect our competitive position within our industry and the markets in which we operate, and there is no assurance that various levels of government in the jurisdictions in which we operate will not pass legislation or regulation or issue guidelines that adversely impacts our business.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business is subject to a variety of U.S. laws, many of which are unsettled and still developing, and which could subject us to claims or otherwise harm our business.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are subject to a variety of state and federal laws in the United States. In the United States, despite cannabis having been legalized for medical use in many states, and for adult recreational use in a number of states, cannabis meeting the definition of “marijuana” continues to be categorized as a Schedule I controlled substance under the federal Controlled Substances Act. Following the passage of HB19-1090 in Colorado, we have elected to move into plant-touching operations in addition to non-plant-touching operations by acquiring several plant-touching businesses in Colorado and New Mexico. As a public company involved in direct plant-touching activities, we may face additional scrutiny from the U.S. federal government or other regulatory agencies. Such scrutiny, and any investigation of our operations related to plant-touching activities, could have a material adverse impact on our prospects, business, financial condition and results of operations.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Competition in our industry is intense.</w:t>
      </w:r>
    </w:p>
    <w:p>
      <w:pPr>
        <w:pStyle w:val="TextBody"/>
        <w:pBdr/>
        <w:spacing w:before="0" w:after="0"/>
        <w:ind w:left="0" w:right="0" w:hanging="0"/>
        <w:jc w:val="both"/>
        <w:rPr>
          <w:rFonts w:ascii="Times New Roman;Times;serif" w:hAnsi="Times New Roman;Times;serif"/>
          <w:sz w:val="20"/>
        </w:rPr>
      </w:pPr>
      <w:r>
        <w:rPr>
          <w:rFonts w:ascii="Times New Roman;Times;serif" w:hAnsi="Times New Roman;Times;serif"/>
          <w:sz w:val="20"/>
        </w:rPr>
        <w:t>The cannabis industry is highly fragmented, and we have many competitors, including many who offer similar products and services as those offered by us. There can be no guarantees that other companies will not enter the market and develop products and services that are in direct competition with us in the future. We anticipate continued competition from current participants as well as entry of other companies in the cannabis market, and we may not be able to establish or maintain a competitive advantage. Some of these companies may have longer operating histories, greater name recognition, larger customer bases, preferable product offerings, and/or significantly greater financial, technical, sales and marketing resources. This may allow them to respond more quickly than us to market opportunities. It may also allow them to devote greater resources to the marketing, promotion and sale of their products and services. These competitors may also adopt more aggressive pricing policies and make more attractive offers to existing and potential customers, employees, strategic partners, distribution channels and advertisers. Increased competition is likely to result in price reductions, reduced gross margins and potential loss of market share.</w:t>
      </w:r>
    </w:p>
    <w:p>
      <w:pPr>
        <w:pStyle w:val="TextBody"/>
        <w:shd w:fill="FFFFFF" w:val="clear"/>
        <w:spacing w:before="120" w:after="0"/>
        <w:ind w:left="0" w:right="0" w:hanging="0"/>
        <w:jc w:val="both"/>
        <w:rPr>
          <w:rFonts w:ascii="Times New Roman;Times;serif" w:hAnsi="Times New Roman;Times;serif"/>
          <w:sz w:val="20"/>
        </w:rPr>
      </w:pPr>
      <w:r>
        <w:rPr>
          <w:rFonts w:ascii="Times New Roman;Times;serif" w:hAnsi="Times New Roman;Times;serif"/>
          <w:b/>
          <w:i/>
          <w:color w:val="212529"/>
          <w:sz w:val="20"/>
        </w:rPr>
        <w:t>Competition</w:t>
      </w:r>
      <w:r>
        <w:rPr>
          <w:rFonts w:ascii="Times New Roman;Times;serif" w:hAnsi="Times New Roman;Times;serif"/>
          <w:sz w:val="20"/>
        </w:rPr>
        <w:t> </w:t>
      </w:r>
      <w:r>
        <w:rPr>
          <w:rFonts w:ascii="Times New Roman;Times;serif" w:hAnsi="Times New Roman;Times;serif"/>
          <w:b/>
          <w:i/>
          <w:sz w:val="20"/>
        </w:rPr>
        <w:t>from the illicit cannabis market could impact our ability to succeed.</w:t>
      </w:r>
    </w:p>
    <w:p>
      <w:pPr>
        <w:pStyle w:val="TextBody"/>
        <w:pBdr/>
        <w:spacing w:before="0" w:after="0"/>
        <w:ind w:left="0" w:right="0" w:hanging="0"/>
        <w:jc w:val="both"/>
        <w:rPr>
          <w:rFonts w:ascii="Times New Roman;Times;serif" w:hAnsi="Times New Roman;Times;serif"/>
          <w:sz w:val="20"/>
        </w:rPr>
      </w:pPr>
      <w:r>
        <w:rPr>
          <w:rFonts w:ascii="Times New Roman;Times;serif" w:hAnsi="Times New Roman;Times;serif"/>
          <w:color w:val="212529"/>
          <w:sz w:val="20"/>
        </w:rPr>
        <w:t>We face competition from illegal market operators that are unlicensed and unregulated including illegal dispensaries and illicit </w:t>
      </w:r>
      <w:r>
        <w:rPr>
          <w:rFonts w:ascii="Times New Roman;Times;serif" w:hAnsi="Times New Roman;Times;serif"/>
          <w:sz w:val="20"/>
        </w:rPr>
        <w:t>market</w:t>
      </w:r>
      <w:r>
        <w:rPr>
          <w:rFonts w:ascii="Times New Roman;Times;serif" w:hAnsi="Times New Roman;Times;serif"/>
          <w:color w:val="212529"/>
          <w:sz w:val="20"/>
        </w:rPr>
        <w:t> suppliers selling cannabis and cannabis-based products. As these illegal market participants do not comply with the regulations governing the cannabis industry, their operations may have significantly lower costs. The perpetuation of the illegal market for cannabis may have a material adverse effect on our business, results of operations, as well as the perception of cannabis use. Furthermore, given the restrictions on regulated cannabis retail, it is possible that legal cannabis consumers revert to the illicit market as a matter of convenience.</w:t>
      </w:r>
    </w:p>
    <w:p>
      <w:pPr>
        <w:pStyle w:val="TextBody"/>
        <w:spacing w:before="120" w:after="0"/>
        <w:ind w:left="0" w:right="0" w:hanging="0"/>
        <w:jc w:val="both"/>
        <w:rPr>
          <w:color w:val="212529"/>
        </w:rPr>
      </w:pPr>
      <w:r>
        <w:rPr>
          <w:color w:val="212529"/>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subject to risks related to unsafe concentration of heavy metals and other contaminants in our cannabis and nutrient products, and associated inconsistent treatment under state law.</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Cannabis plants may absorb heavy metals and other contaminants from the soil that they grow in. Nutrient products are made from ingredients that may contain heavy metals and other contaminants. Heavy metals and contaminants are naturally found in the earth’s soil but may also be present as a result of pesticide use. Some contaminants, like heavy metals, are toxic to humans at even low concentrations. If our raw materials contain contaminants, they may transfer to our products. If the level of contaminants in our products exceeds permissible or safe levels, it may result in loss of inventory and possible harm to consumers of the products, which may expose us, among other things, to monetary losses, product liability claims and reputational risk.</w:t>
      </w:r>
    </w:p>
    <w:p>
      <w:pPr>
        <w:pStyle w:val="TextBody"/>
        <w:pBdr/>
        <w:spacing w:before="0" w:after="0"/>
        <w:ind w:left="0" w:right="0" w:hanging="0"/>
        <w:jc w:val="both"/>
        <w:rPr>
          <w:rFonts w:ascii="Times New Roman;Times;serif" w:hAnsi="Times New Roman;Times;serif"/>
          <w:sz w:val="20"/>
        </w:rPr>
      </w:pPr>
      <w:r>
        <w:rPr>
          <w:rFonts w:ascii="Times New Roman;Times;serif" w:hAnsi="Times New Roman;Times;serif"/>
          <w:sz w:val="20"/>
        </w:rPr>
        <w:t>In addition, state regulation of testing for, and permissible levels of, contaminants in cannabis products varies, making compliance costly.</w:t>
      </w:r>
    </w:p>
    <w:p>
      <w:pPr>
        <w:pStyle w:val="TextBody"/>
        <w:shd w:fill="FFFFFF" w:val="clear"/>
        <w:spacing w:before="120" w:after="0"/>
        <w:ind w:left="0" w:right="0" w:hanging="0"/>
        <w:rPr>
          <w:rFonts w:ascii="Times New Roman;Times;serif" w:hAnsi="Times New Roman;Times;serif"/>
          <w:b/>
          <w:i/>
          <w:sz w:val="20"/>
        </w:rPr>
      </w:pPr>
      <w:r>
        <w:rPr>
          <w:rFonts w:ascii="Times New Roman;Times;serif" w:hAnsi="Times New Roman;Times;serif"/>
          <w:b/>
          <w:i/>
          <w:sz w:val="20"/>
        </w:rPr>
        <w:t>We face competition from synthetic production and technological advances.</w:t>
      </w:r>
    </w:p>
    <w:p>
      <w:pPr>
        <w:pStyle w:val="TextBody"/>
        <w:pBdr/>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The pharmaceutical and hemp industries may attempt to dominate the cannabis industry through the development and distribution of synthetic products which emulate the effects and treatment of organic cannabis. If they are successful, the widespread popularity of such synthetic products could change the demand, volume and profitability of the cannabis industry. This could adversely affect our ability to secure long-term profitability and success through the sustainable and profitable operation of our business.</w:t>
      </w:r>
    </w:p>
    <w:p>
      <w:pPr>
        <w:pStyle w:val="TextBody"/>
        <w:pBdr/>
        <w:shd w:fill="FFFFFF" w:val="clear"/>
        <w:spacing w:before="0" w:after="0"/>
        <w:ind w:left="0" w:right="0" w:hanging="0"/>
        <w:rPr/>
      </w:pPr>
      <w:r>
        <w:rPr/>
        <w: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success is dependent on consumer acceptance of cannabis products generally, and specifically our products.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ability to generate revenue and be successful in the implementation of our business plan is significantly dependent on consumer acceptance of and demand for cannabis products generally, and, specifically, our products. Consumer acceptance will depend on several factors, including federal, state, and local regulation of cannabis as well as availability, cost, ease of use, familiarity of use, convenience, effectiveness, quality, safety, and reliability of cannabis products. If consumers do not accept cannabis products generally, or, specifically, our products, or if we fail to meet customers’ needs and expectations, our ability to continue generating revenues could be reduced.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subject to risks inherent in an agricultural business such as reliance on certain resources and the risk of crop failure.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work in the cannabis industry, which relies on agricultural processes. The cultivation of cannabis plants requires large amounts of resources like water and electricity for a successful harvest. If we are unable to obtain sufficient quantities of these resources at affordable prices, whether by reason of climate change, political forces, civil unrest, market conditions, weather events, pandemic outbreaks, or other forces beyond our control, our operations and financial condition could be materially impacted. Our business is also subject to the risks inherent in the agricultural business, including risks of crop failure presented by weather, insects, plant diseases and similar agricultural risks that might affect our operations and profitability. Additionally, during the harvest season, cannabis plant prices often decrease and reduce gross margins, which tends to impact our liquidity and results of operations depending on the severity of such price fluctuations. </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There is uncertainty related to the regulation of vaporization products and certain other consumption accessories. Increased regulatory compliance burdens could have a material adverse impact on our business development efforts and our operations.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There is uncertainty regarding whether and in what circumstances federal, state, or local regulatory authorities will seek to develop and enforce regulations relative to vaporizer hardware and accessories that can be used to vaporize cannabis and/or tobacco. Further, it remains to be seen whether current or future regulations relating to tobacco vaporization products would also apply to cannabis vaporization products and related consumption accessories.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There has been increasing activity on the federal, state, and local levels with respect to scrutiny of vaporizer products. Federal, state, and local governmental bodies across the United States have indicated that vaporization products and certain other consumption accessories may become subject to new laws and regulations at the state and local levels. For example, in September 2019, the Trump Administration announced a plan to ban the sale of most flavored e-cigarettes nationwide. At the state level, over 25 states have implemented statewide regulations that prohibit vaping in public places. In January 2015, the California Department of Health declared electronic cigarettes and certain other vaporizer products a health threat that should be strictly regulated like tobacco products, and in September 2019, California’s governor issued an executive order on vaping, focused on enforcement and disclosure. Many states, provinces, and some cities have passed laws restricting the sale of electronic cigarettes and certain other tobacco vaporizer products. Some cities have also implemented more restrictive measures than their state counterparts, such as San Francisco, which in June 2018, approved a new ban on the sale of flavored tobacco products, including vaping liquids and menthol cigarettes.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application of any new laws or regulations that may be adopted in the future, at a federal, state, or local level, directly or indirectly implicating cannabis vaporization products or consumption accessories could limit our ability to sell such products, result in additional compliance expenses, and require us to change our labeling and methods of distribution, any of which could have a material adverse effect on our prospects, business, financial condition,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scientific community has not yet extensively studied the long-term health effects of the use of vaporizer products.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Cannabis vaporizers and related products were recently developed and therefore the scientific community has not had a sufficient period of time to study the long-term health effects of their use. If the scientific community were to determine conclusively that use of any or all of these products poses long-term health risks, market demand for these products and their use could materially decline. Such a determination could also lead to litigation and significant regulation. Loss of demand for our product, product liability claims, and increased regulation stemming from unfavorable scientific studies of these products could have a material adverse effect on our prospects, business, financial condition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cannabis industry and market are relatively new in the United States, and this industry and market may not continue to exist or develop as anticipated or we may ultimately be unable to succeed in this industry and market.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are operating our current business in the relatively new cannabis industry and market, and our success depends on our ability to operate our business successfully. In addition to being subject to general business risks applicable to a business involving an agricultural product and a regulated consumer product, we need to continue to build brand awareness of our brand in the cannabis industry and make significant investments in our business strategy and production capacity. These investments include introducing new products and services into the markets in which we operate, adopting quality assurance protocols and procedures and undertaking regulatory compliance efforts. These activities may not promote our business as effectively as intended, or at all, and we expect that our competitors will undertake similar investments to compete with us for market share. Competitive conditions, consumer preferences and spending patterns in this industry and market are relatively unknown and may have unique characteristics that differ from other existing industries and markets and that may cause our efforts to further our business to be unsuccessful or to have undesired consequences. As a result, we may not be successful in our efforts to operate our business or to develop new products and services and produce and distribute these products and services to the markets in which we operate in time to be effectively commercialized, or these activities may require significantly more resources than we currently anticipate in order to be successful.</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or the cannabis industry more generally, may receive unfavorable publicity or become subject to negative consumer or investor perception.</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believe that the cannabis industry is highly dependent upon positive consumer and investor perception regarding the benefits, safety, efficacy and quality of the cannabis distributed to consumers. The perception of the cannabis industry and cannabis products, currently and in the future, may be significantly influenced by scientific research or findings, regulatory investigations, litigation, political statements, media attention and other publicity (whether or not accurate or with merit) both in the United States and in other countries relating to the consumption of cannabis products, including unexpected safety or efficacy concerns arising with respect to cannabis products or the activities of industry participants. There can be no assurance that future scientific research, findings, regulatory proceedings, litigation, media attention or other research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findings or publicity will be favorable to the cannabis market or any particular cannabis product or will be consistent with earlier publicity. Adverse future scientific research reports, findings and regulatory proceedings that are, or litigation, media attention or other publicity that is, perceived as less favorable than, or that questions, earlier research reports, findings or publicity (whether or not accurate or with merit) could result in a significant reduction in the demand for our cannabis products, which would affect our business. Further, adverse publicity reports or other media attention regarding the safety, efficacy and quality of cannabis or our products specifically, or associating the consumption of cannabis with illness or other negative effects or events, could adversely affect us. This adverse publicity could arise even if the adverse effects associated with cannabis products resulted from consumers’ failure to use such products legally, appropriately or as directed.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Certain events or developments in the cannabis industry more generally may impact our reputation.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Damage to our reputation can result from the actual or perceived occurrence of any number of events, including any negative publicity, whether true or not. As we are producers and distributors of cannabis, which is a controlled substance in the United States that has previously been commonly associated with various other narcotics, violence and criminal activities, there is a risk that our business might attract negative publicity. There is also a risk that the actions of other companies and service providers in the cannabis industry may negatively affect the reputation of the industry as a whole and thereby negatively impact our reputation. The increased usage of social media and other web-based tools used to generate, publish and discuss user generated content and to connect with other users has made it increasingly easier for individuals and groups to communicate and share negative opinions and views in regards to our activities and the cannabis industry in general, whether true or not. We do not ultimately have direct control over how we or the cannabis industry are perceived by others. Reputational issues may result in decreased investor confidence, increased challenges in developing and maintaining community relations, and present an impediment to our overall ability to advance our business strategy and realize growth.</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are unable to deduct all of our business expenses.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Section 280E of the Internal Revenue Code prohibits cannabis businesses from deducting their ordinary and necessary business expenses, forcing us to pay higher effective federal tax rates than similar companies in other industries. The effective tax rate on a cannabis business depends on how large its ratio of nondeductible expenses is to its total revenues. Therefore, our cannabis business may be less profitable than it would be if we were able to deduct our ordinary and necessary business expenses similar to other businesses.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The cannabis industry could face strong opposition from other industries.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believe that established businesses in other industries may have a strong economic interest in opposing the development of the cannabis industry. Cannabis may be seen by companies in other industries as an attractive alternative to their products, including recreational cannabis as an alternative to alcohol and medical cannabis as an alternative to various commercial pharmaceuticals. Many industries that could view the emerging cannabis industry as an economic threat are well established, with vast economic and federal and state lobbying resources. It is possible that companies within these industries could use their resources to attempt to slow or reverse legislation legalizing cannabis. Any inroads these companies make in halting or impeding legislative initiatives that would not be beneficial to the cannabis industry could have a detrimental impact on our business and, in turn, on our operations.</w:t>
      </w:r>
    </w:p>
    <w:p>
      <w:pPr>
        <w:pStyle w:val="TextBody"/>
        <w:pBdr/>
        <w:spacing w:before="0" w:after="0"/>
        <w:ind w:left="0" w:right="0" w:hanging="0"/>
        <w:jc w:val="both"/>
        <w:rPr>
          <w:rFonts w:ascii="Times New Roman;Times;serif" w:hAnsi="Times New Roman;Times;serif"/>
          <w:b/>
          <w:i/>
          <w:sz w:val="20"/>
        </w:rPr>
      </w:pPr>
      <w:r>
        <w:rPr>
          <w:rFonts w:ascii="Times New Roman;Times;serif" w:hAnsi="Times New Roman;Times;serif"/>
          <w:b/>
          <w:i/>
          <w:sz w:val="20"/>
        </w:rPr>
        <w:t>Businesses involved in the cannabis industry are subject to a variety of laws and regulations related to money laundering, financial recordkeeping and proceeds of crimes, decreasing access to secure banking and other financial services.</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are subject to a variety of laws and regulations that involve money laundering, financial record-keeping and proceeds of crime, including the U.S. Currency and Foreign Transactions Reporting Act of 1970 (the “Bank Secrecy Act”) as amended by Title III of the Uniting and Strengthening America by Providing Appropriate Tools Required to Intercept and Obstruct Terrorism Act of 2001 (which we refer to as the USA Patriot Act), and any related or similar rules, regulations or guidelines, issued, administered or enforced by governmental authorities in the United States. Since the cultivation, manufacture, distribution and sale of cannabis remains illegal under the CSA, banks and other financial institutions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providing services to cannabis-related businesses risk violation of federal anti-money laundering statutes (18 U.S.C. §§ 1956 and 1957) and the Bank Secrecy Act, among other applicable federal statutes. Accordingly, pursuant to the Bank Secrecy Act, banks or other financial institutions that provide a cannabis business with a checking account, debit or credit card, small business loan or any other service could be criminally prosecuted for willful violations of money laundering statutes, in addition to being subject to other criminal, civil, and regulatory enforcement actions.</w:t>
      </w:r>
    </w:p>
    <w:p>
      <w:pPr>
        <w:pStyle w:val="TextBody"/>
        <w:shd w:fill="FFFFFF" w:val="clear"/>
        <w:spacing w:before="0" w:after="0"/>
        <w:ind w:left="0" w:right="0" w:hanging="0"/>
        <w:jc w:val="both"/>
        <w:rPr/>
      </w:pPr>
      <w:r>
        <w:rPr/>
        <w:t>​</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Banks often refuse to provide banking services to businesses involved in the cannabis industry due to the present state of the laws and regulations governing financial institutions in the U.S. The lack of banking and financial services presents unique and significant challenges to our business. The potential lack of a secure place in which to deposit and store cash, the inability to pay creditors through the issuance of checks, and the inability to secure traditional forms of operational financing, such as lines of credit, are some of the many challenges presented by the unavailability of traditional banking and financial services. The above-mentioned laws and regulations can impose criminal liability for engaging in certain financial and monetary transactions with the proceeds of a “specified unlawful activity” such as distributing controlled substances, including cannabis, which are illegal under federal law, and for failing to identify or report financial transactions that involve the proceeds of cannabis-related violations of the CSA. We may also be exposed to the foregoing risks.</w:t>
      </w:r>
    </w:p>
    <w:p>
      <w:pPr>
        <w:pStyle w:val="TextBody"/>
        <w:shd w:fill="FFFFFF" w:val="clear"/>
        <w:spacing w:before="0" w:after="0"/>
        <w:ind w:left="0" w:right="0" w:hanging="0"/>
        <w:jc w:val="both"/>
        <w:rPr/>
      </w:pPr>
      <w:r>
        <w:rPr/>
        <w:t>​</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In February 2014, the Financial Crimes Enforcement Network of the Treasury Department (“FinCEN”) issued a memorandum (the “FinCEN Memorandum”) providing guidance to banks seeking to provide services to cannabis-related businesses. The FinCEN Memorandum echoed the enforcement priorities of the Cole Memorandum and states that in some circumstances, it is permissible for banks to provide services to cannabis-related businesses without risking prosecution for violation of federal money laundering laws. The FinCEN Memorandum directed prosecutors to apply the enforcement priorities of the Cole Memorandum in determining whether to charge individuals or institutions with crimes related to financial transactions involving the proceeds of cannabis-related conduct. The revocation of the Cole Memorandum has not yet affected the status of the FinCEN Memorandum, nor has FinCEN given any indication that it intends to rescind the FinCEN Memorandum itself. Shortly after former U.S. Attorney General Jeff Sessions rescinded the Cole Memorandum in January 2018, FinCEN did state that it would review the FinCEN Memorandum, but FinCEN has not yet issued further guidance.</w:t>
      </w:r>
    </w:p>
    <w:p>
      <w:pPr>
        <w:pStyle w:val="TextBody"/>
        <w:shd w:fill="FFFFFF" w:val="clear"/>
        <w:spacing w:before="0" w:after="0"/>
        <w:ind w:left="0" w:right="0" w:hanging="0"/>
        <w:jc w:val="both"/>
        <w:rPr/>
      </w:pPr>
      <w:r>
        <w:rPr/>
        <w:t>​</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Although the FinCEN Memorandum remains intact, it is unclear whether the current administration will continue to follow its guidelines. The DOJ continues to have the right and power to prosecute crimes committed by banks and financial institutions, such as money laundering and violations of the Bank Secrecy Act, that occur in any state including states that have in some form legalized the sale of cannabis. Further, the conduct of the DOJ’s enforcement priorities could change for any number of reasons. A change in the DOJ’s priorities could result in the prosecution of banks and financial institutions for crimes that were not previously prosecuted.</w:t>
      </w:r>
    </w:p>
    <w:p>
      <w:pPr>
        <w:pStyle w:val="TextBody"/>
        <w:shd w:fill="FFFFFF" w:val="clear"/>
        <w:spacing w:before="0" w:after="0"/>
        <w:ind w:left="0" w:right="0" w:hanging="0"/>
        <w:jc w:val="both"/>
        <w:rPr/>
      </w:pPr>
      <w:r>
        <w:rPr/>
        <w:t>​</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If our operations or revenues derived from our operations were found to be in violation of money laundering legislation or otherwise, such transactions may be viewed as proceeds from a crime (the sale of a Schedule I drug) under the Bank Secrecy Act’s money laundering provisions. This may restrict our ability to access our capital and utilize our established banking institutions for routine services, payments, and distributions. </w:t>
      </w:r>
    </w:p>
    <w:p>
      <w:pPr>
        <w:pStyle w:val="TextBody"/>
        <w:shd w:fill="FFFFFF" w:val="clear"/>
        <w:spacing w:before="0" w:after="0"/>
        <w:ind w:left="0" w:right="0" w:hanging="0"/>
        <w:jc w:val="both"/>
        <w:rPr/>
      </w:pPr>
      <w:r>
        <w:rPr/>
        <w:t>​</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FinCEN Memorandum does not provide any safe harbors or legal defenses from examination or regulatory or criminal enforcement actions by the DOJ, FinCEN or other federal regulators. Thus, most banks and other financial institutions in the United States do not appear comfortable providing banking services to cannabis-related businesses or relying on this guidance given that it has the potential to be amended or revoked by the current administration. This has negatively impacted, and may continue to negatively impact, our ability to establish and maintain banking relationships. There are no assurances that this position will change under the Biden administration or under future administrations. Increased uncertainty surrounding financial transactions related to cannabis activities may also result in financial institutions discontinuing services to the cannabis industry, reducing our already-limited access to banking services. </w:t>
      </w:r>
    </w:p>
    <w:p>
      <w:pPr>
        <w:pStyle w:val="TextBody"/>
        <w:shd w:fill="FFFFFF" w:val="clear"/>
        <w:spacing w:before="0" w:after="0"/>
        <w:ind w:left="0" w:right="0" w:hanging="0"/>
        <w:jc w:val="both"/>
        <w:rPr/>
      </w:pPr>
      <w:r>
        <w:rPr/>
        <w:t>​</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addition to the foregoing, banks may refuse to process debit card payments and credit card companies generally refuse to process credit card payments for cannabis-related businesses. As a result, we may have limited or no access to banking or other financial services in the United States. In addition, federal money laundering statutes and Bank Secrecy Act regulations discourage financial institutions from working with any organization that sells a controlled substance,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regardless of whether the state it operates in permits cannabis sales. Our inability or limitation of our ability to open or maintain bank accounts, obtain other banking services and/or accept credit card and debit card payments may make it difficult for us to operate and conduct our business as planned or to operate efficiently.</w:t>
      </w:r>
    </w:p>
    <w:p>
      <w:pPr>
        <w:pStyle w:val="TextBody"/>
        <w:shd w:fill="FFFFFF" w:val="clear"/>
        <w:spacing w:before="0" w:after="0"/>
        <w:ind w:left="0" w:right="0" w:hanging="0"/>
        <w:jc w:val="both"/>
        <w:rPr/>
      </w:pPr>
      <w:r>
        <w:rPr/>
        <w:t>​</w:t>
      </w:r>
    </w:p>
    <w:p>
      <w:pPr>
        <w:pStyle w:val="TextBody"/>
        <w:pBdr/>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Other potential violations of U.S. federal law resulting from cannabis-related activities include the Racketeer Influenced Corrupt Organizations Act (“RICO”). RICO is a federal statute providing criminal penalties in addition to a civil cause of action for acts performed as part of an ongoing criminal organization. Under RICO, it is unlawful for any person who has received income derived from a pattern of racketeering activity (which includes most felonious violations of the CSA), to use or invest any of that income in the acquisition of any interest, or the establishment or operation of, any enterprise which is engaged in interstate commerce. RICO also authorizes private parties whose properties or businesses are harmed by such patterns of racketeering activity to initiate a civil action against the individuals involved. Although RICO suits against the cannabis industry are rare, a few cannabis businesses have been subject to a civil RICO action. As such, all officers, managers and owners in a cannabis related business could be subject to criminal prosecution under RICO, which carries substantial criminal penalties, and the Company or its subsidiaries, as well as its officers, managers and owners could all be subject to civil claims under RICO. Defending such claims could be extremely costly and potentially fatal to our business operations. </w:t>
      </w:r>
    </w:p>
    <w:p>
      <w:pPr>
        <w:pStyle w:val="TextBody"/>
        <w:shd w:fill="FFFFFF" w:val="clear"/>
        <w:spacing w:before="0" w:after="0"/>
        <w:ind w:left="0" w:right="0" w:hanging="0"/>
        <w:jc w:val="both"/>
        <w:rPr/>
      </w:pPr>
      <w:r>
        <w:rPr/>
        <w:t>​</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On March 18, 2021, the Secure and Fair Enforcement Banking Act (the “SAFE Banking Act”) was reintroduced in the House of Representatives. On March 23, 2021, the bill was reintroduced in the Senate as well. The House previously passed the SAFE Banking Act in September 2019, but the measure stalled in the Senate. Most recently, on February 4, 2022, the House of Representatives approved the America COMPETES Act of 2022, which included the provisions of the SAFE Banking Act. The U.S. Senate did not take up the SAFE Banking Act in 2022 and therefore the measure must pass both the House of Representatives and U.S. Senate in subsequent Congressional sessions, of which there can be no guarantee. The SAFE Banking Act (or a similar bill) would allow financial institutions to provide their services to state-legal cannabis clients and ancillary businesses serving state-legal cannabis businesses without fear of federal sanctions. There is no guarantee the SAFE Banking Act will become law in its current form or at all.</w:t>
      </w:r>
    </w:p>
    <w:p>
      <w:pPr>
        <w:pStyle w:val="TextBody"/>
        <w:shd w:fill="FFFFFF" w:val="clear"/>
        <w:spacing w:before="0" w:after="0"/>
        <w:ind w:left="0" w:right="0" w:hanging="0"/>
        <w:jc w:val="both"/>
        <w:rPr/>
      </w:pPr>
      <w:r>
        <w:rPr/>
        <w: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Access to banking and other financial services is limited in the cannabis industry, and we are not always able to obtain quality services, favorable market rates, or financially advantageous opportunities as compared to businesses in other industries.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highlight w:val="white"/>
        </w:rPr>
        <w:t xml:space="preserve">Given the current regulatory framework regarding cannabis at the federal level in the United States, traditional bank financing is typically not available to cannabis companies. Specifically, since financial transactions involving proceeds generated by cannabis-related conduct can form the basis for prosecution under anti-money laundering statutes, </w:t>
      </w:r>
      <w:r>
        <w:rPr>
          <w:rFonts w:ascii="Times New Roman;Times;serif" w:hAnsi="Times New Roman;Times;serif"/>
          <w:sz w:val="20"/>
        </w:rPr>
        <w:t>unlicensed money transmitter statutes,</w:t>
      </w:r>
      <w:r>
        <w:rPr>
          <w:rFonts w:ascii="Times New Roman;Times;serif" w:hAnsi="Times New Roman;Times;serif"/>
          <w:sz w:val="20"/>
          <w:highlight w:val="white"/>
        </w:rPr>
        <w:t xml:space="preserve"> and the Bank Secrecy Act, businesses involved in the cannabis industry often have difficulty finding a bank willing to accept their business. Banks that do accept deposits from cannabis-related businesses in the United States must do so in compliance with the FinCEN Guidance, which typically increases the cost to the cannabis business due to increased due diligence requirements and regulatory complexity. We have banking relationships in the states where we operate; however, we have limited access to traditional bank financing. We have utilized private financing through use of private offerings to raise capital in the past, but securing private financing in the cannabis industry can be difficult due to the federal illegality of marijuana and often includes substantial costs and fees.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Additionally, the health of the banking industry as a whole could impact our banking access and liquidity. 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If some or all of the limited subset of banks and financial institutions willing to engage with the cannabis industry enter receivership or become insolvent in the future in response to financial conditions affecting the banking system and financial markets, our ability to access our existing cash, cash equivalents and investments may be impaired and could have a material adverse effect on our business and financial condition. If any of our banks were to experience such an insolvency event, it might be difficult for us to establish new banking relationships on a timely basis with favorable terms due to our participation in the cannabis industry, which could generate operational delays, challenges making and receiving payments to support operations, and additional resource demands. In addition, if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before="0" w:after="0"/>
        <w:ind w:left="0" w:right="0" w:hanging="0"/>
        <w:jc w:val="both"/>
        <w:rPr>
          <w:rFonts w:ascii="Times New Roman;Times;serif" w:hAnsi="Times New Roman;Times;serif"/>
          <w:sz w:val="20"/>
        </w:rPr>
      </w:pPr>
      <w:r>
        <w:rPr>
          <w:rFonts w:ascii="Times New Roman;Times;serif" w:hAnsi="Times New Roman;Times;serif"/>
          <w:sz w:val="20"/>
        </w:rPr>
        <w:t>any of the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w:t>
      </w:r>
    </w:p>
    <w:p>
      <w:pPr>
        <w:pStyle w:val="TextBody"/>
        <w:shd w:fill="FFFFFF" w:val="clear"/>
        <w:spacing w:before="120" w:after="0"/>
        <w:ind w:left="0" w:right="0" w:hanging="0"/>
        <w:rPr>
          <w:rFonts w:ascii="Times New Roman;Times;serif" w:hAnsi="Times New Roman;Times;serif"/>
          <w:b/>
          <w:i/>
          <w:sz w:val="20"/>
        </w:rPr>
      </w:pPr>
      <w:r>
        <w:rPr>
          <w:rFonts w:ascii="Times New Roman;Times;serif" w:hAnsi="Times New Roman;Times;serif"/>
          <w:b/>
          <w:i/>
          <w:sz w:val="20"/>
        </w:rPr>
        <w:t>There is a risk of civil asset forfeiture of our assets.</w:t>
      </w:r>
    </w:p>
    <w:p>
      <w:pPr>
        <w:pStyle w:val="TextBody"/>
        <w:pBdr/>
        <w:spacing w:before="0" w:after="120"/>
        <w:ind w:left="0" w:right="0" w:hanging="0"/>
        <w:jc w:val="both"/>
        <w:rPr>
          <w:rFonts w:ascii="Times New Roman;Times;serif" w:hAnsi="Times New Roman;Times;serif"/>
          <w:sz w:val="20"/>
        </w:rPr>
      </w:pPr>
      <w:r>
        <w:rPr>
          <w:rFonts w:ascii="Times New Roman;Times;serif" w:hAnsi="Times New Roman;Times;serif"/>
          <w:sz w:val="20"/>
        </w:rPr>
        <w:t>Since the cannabis industry remains illegal under U.S. federal law, any property owned by participants in the cannabis industry which are either used in the course of conducting such business, or are the proceeds of such business, could be subject to seizure by law enforcement and subsequent civil asset forfeiture. Even if the owner of the property was never charged with a crime, the property in question could still be seized and subject to an administrative proceeding by which, with minimal due process, it could be subject to forfeiture.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may be unable to seek the protection of the bankruptcy courts.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There is an argument that the federal bankruptcy courts cannot provide relief for parties who engage in cannabis or cannabis-related businesses. Recent bankruptcy rulings have denied bankruptcies for cannabis dispensaries upon the justification that businesses cannot violate federal law and then claim the benefits of federal bankruptcy for the same activity and upon the justification that courts cannot ask a bankruptcy trustee to take possession of and distribute cannabis assets as such action would violate the CSA. Therefore, due to our cannabis-related business, we may not be able to seek the protection of the bankruptcy courts, and this could materially affect our financial performance and/or our ability to obtain or maintain credit.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 xml:space="preserve">Risks Related to our Operations </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have a relatively short operating history.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have a relatively short operating history, which makes it difficult to evaluate our business and future prospects. We have encountered, and will continue to encounter, risks and difficulties frequently experienced by growing companies in rapidly changing industries, including those related to: </w:t>
      </w:r>
    </w:p>
    <w:tbl>
      <w:tblPr>
        <w:tblW w:w="5886" w:type="dxa"/>
        <w:jc w:val="left"/>
        <w:tblInd w:w="0" w:type="dxa"/>
        <w:tblCellMar>
          <w:top w:w="28" w:type="dxa"/>
          <w:left w:w="28" w:type="dxa"/>
          <w:bottom w:w="28" w:type="dxa"/>
          <w:right w:w="28" w:type="dxa"/>
        </w:tblCellMar>
      </w:tblPr>
      <w:tblGrid>
        <w:gridCol w:w="124"/>
        <w:gridCol w:w="256"/>
        <w:gridCol w:w="55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5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acceptance of our current and future products and services;</w:t>
            </w:r>
          </w:p>
        </w:tc>
      </w:tr>
    </w:tbl>
    <w:tbl>
      <w:tblPr>
        <w:tblW w:w="6471" w:type="dxa"/>
        <w:jc w:val="left"/>
        <w:tblInd w:w="0" w:type="dxa"/>
        <w:tblCellMar>
          <w:top w:w="28" w:type="dxa"/>
          <w:left w:w="28" w:type="dxa"/>
          <w:bottom w:w="28" w:type="dxa"/>
          <w:right w:w="28" w:type="dxa"/>
        </w:tblCellMar>
      </w:tblPr>
      <w:tblGrid>
        <w:gridCol w:w="124"/>
        <w:gridCol w:w="256"/>
        <w:gridCol w:w="60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0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changing regulatory environments and costs associated with compliance;</w:t>
            </w:r>
          </w:p>
        </w:tc>
      </w:tr>
    </w:tbl>
    <w:tbl>
      <w:tblPr>
        <w:tblW w:w="7251" w:type="dxa"/>
        <w:jc w:val="left"/>
        <w:tblInd w:w="0" w:type="dxa"/>
        <w:tblCellMar>
          <w:top w:w="28" w:type="dxa"/>
          <w:left w:w="28" w:type="dxa"/>
          <w:bottom w:w="28" w:type="dxa"/>
          <w:right w:w="28" w:type="dxa"/>
        </w:tblCellMar>
      </w:tblPr>
      <w:tblGrid>
        <w:gridCol w:w="124"/>
        <w:gridCol w:w="256"/>
        <w:gridCol w:w="68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8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compete with other companies offering similar products and services;</w:t>
            </w:r>
          </w:p>
        </w:tc>
      </w:tr>
    </w:tbl>
    <w:tbl>
      <w:tblPr>
        <w:tblW w:w="7401" w:type="dxa"/>
        <w:jc w:val="left"/>
        <w:tblInd w:w="0" w:type="dxa"/>
        <w:tblCellMar>
          <w:top w:w="28" w:type="dxa"/>
          <w:left w:w="28" w:type="dxa"/>
          <w:bottom w:w="28" w:type="dxa"/>
          <w:right w:w="28" w:type="dxa"/>
        </w:tblCellMar>
      </w:tblPr>
      <w:tblGrid>
        <w:gridCol w:w="124"/>
        <w:gridCol w:w="256"/>
        <w:gridCol w:w="70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0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effectively market our products and services and attract new customers;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and timing of operating expenses related to the maintenance and expansion of our business, operations and infrastructure;</w:t>
            </w:r>
          </w:p>
        </w:tc>
      </w:tr>
    </w:tbl>
    <w:tbl>
      <w:tblPr>
        <w:tblW w:w="5226" w:type="dxa"/>
        <w:jc w:val="left"/>
        <w:tblInd w:w="0" w:type="dxa"/>
        <w:tblCellMar>
          <w:top w:w="28" w:type="dxa"/>
          <w:left w:w="28" w:type="dxa"/>
          <w:bottom w:w="28" w:type="dxa"/>
          <w:right w:w="28" w:type="dxa"/>
        </w:tblCellMar>
      </w:tblPr>
      <w:tblGrid>
        <w:gridCol w:w="124"/>
        <w:gridCol w:w="256"/>
        <w:gridCol w:w="48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8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control costs, including operating expenses;</w:t>
            </w:r>
          </w:p>
        </w:tc>
      </w:tr>
    </w:tbl>
    <w:tbl>
      <w:tblPr>
        <w:tblW w:w="4686" w:type="dxa"/>
        <w:jc w:val="left"/>
        <w:tblInd w:w="0" w:type="dxa"/>
        <w:tblCellMar>
          <w:top w:w="28" w:type="dxa"/>
          <w:left w:w="28" w:type="dxa"/>
          <w:bottom w:w="28" w:type="dxa"/>
          <w:right w:w="28" w:type="dxa"/>
        </w:tblCellMar>
      </w:tblPr>
      <w:tblGrid>
        <w:gridCol w:w="124"/>
        <w:gridCol w:w="256"/>
        <w:gridCol w:w="43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3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organic and strategic growth;</w:t>
            </w:r>
          </w:p>
        </w:tc>
      </w:tr>
    </w:tbl>
    <w:tbl>
      <w:tblPr>
        <w:tblW w:w="6261" w:type="dxa"/>
        <w:jc w:val="left"/>
        <w:tblInd w:w="0" w:type="dxa"/>
        <w:tblCellMar>
          <w:top w:w="28" w:type="dxa"/>
          <w:left w:w="28" w:type="dxa"/>
          <w:bottom w:w="28" w:type="dxa"/>
          <w:right w:w="28" w:type="dxa"/>
        </w:tblCellMar>
      </w:tblPr>
      <w:tblGrid>
        <w:gridCol w:w="124"/>
        <w:gridCol w:w="256"/>
        <w:gridCol w:w="58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8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market cycles, pricing pressure, and new and emerging market growth; </w:t>
            </w:r>
          </w:p>
        </w:tc>
      </w:tr>
    </w:tbl>
    <w:tbl>
      <w:tblPr>
        <w:tblW w:w="7851" w:type="dxa"/>
        <w:jc w:val="left"/>
        <w:tblInd w:w="0" w:type="dxa"/>
        <w:tblCellMar>
          <w:top w:w="28" w:type="dxa"/>
          <w:left w:w="28" w:type="dxa"/>
          <w:bottom w:w="28" w:type="dxa"/>
          <w:right w:w="28" w:type="dxa"/>
        </w:tblCellMar>
      </w:tblPr>
      <w:tblGrid>
        <w:gridCol w:w="124"/>
        <w:gridCol w:w="256"/>
        <w:gridCol w:w="74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4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perception and acceptance of cannabis-related products and services generally; and</w:t>
            </w:r>
          </w:p>
        </w:tc>
      </w:tr>
    </w:tbl>
    <w:tbl>
      <w:tblPr>
        <w:tblW w:w="3846" w:type="dxa"/>
        <w:jc w:val="left"/>
        <w:tblInd w:w="0" w:type="dxa"/>
        <w:tblCellMar>
          <w:top w:w="28" w:type="dxa"/>
          <w:left w:w="28" w:type="dxa"/>
          <w:bottom w:w="28" w:type="dxa"/>
          <w:right w:w="28" w:type="dxa"/>
        </w:tblCellMar>
      </w:tblPr>
      <w:tblGrid>
        <w:gridCol w:w="124"/>
        <w:gridCol w:w="256"/>
        <w:gridCol w:w="34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4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conditions and events.</w:t>
            </w:r>
          </w:p>
        </w:tc>
      </w:tr>
    </w:tbl>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If we do not manage these risks successfully, our business and financial performance will be adversely affected. Our long-term results of operations are difficult to predict and depend on the commercial success of our products and services, the continued growth of the cannabis industry generally (including public acceptance of cannabis-related products) and the regulatory environment in which the cannabis industry operates. If the legalized cannabis marketplace does not continue to grow because the public does not increasingly accept cannabis-related products, or if government regulators adopt laws, rules or regulations that terminate or diminish the ability for commercial businesses to develop, market and sell cannabis-related products, our business and financial performance would be materially adversely affected. Additionally, even if the cannabis marketplace continues to grow rapidly and government regulation allows for the free-market development of this industry, there can be no assurance that our products and services will be preferable to or competitive with those offered by our competitors. The legalized cannabis industry may not continue to grow and the regulatory environment may not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remain favorable to participants in the industry. More generally, our products and services may not experience growing market acceptance, which would adversely impact our ability to grow revenue.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business is dependent on regulatory licensing.</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business is dependent on us obtaining various licenses from various municipalities and state licensing agencies. There can be no assurance that any or all licenses necessary for us to operate cannabis businesses will be obtained, retained or renewed. If a licensing body were to determine that we violated applicable rules and regulations, there is a risk the license granted to us could be revoked, which could adversely affect our operations and profitability. Further, in some local jurisdictions in Colorado and New Mexico, licenses for cannabis operations are tied to a specific location, and we operate substantially all our operations through leases. If we are unable to renew any of our leases, we could potentially lose the license for such location. There can be no assurance that we will be able to retain their licenses going forward, or that new licenses will be granted to us or existing and new market entrants.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incurred significant losses in prior periods and there is no assurance we can generate profits; future losses could cause the quoted price of our Common Stock to decline or have a material adverse effect on our financial condition, our ability to pay our debts as they become due and on our cash flow.</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have incurred significant losses in prior periods. There can be no assurance that we will generate profits in any particular year or at all in the future. Our ability to generate profits will depend on a number of factors and is subject to risks, many of which are beyond our control. Any losses in the future could cause the quoted price of our Common Stock to decline or have a material adverse effect on our financial condition, our ability to pay our debts as they become due, and on our cash flow.</w:t>
      </w:r>
    </w:p>
    <w:p>
      <w:pPr>
        <w:pStyle w:val="TextBody"/>
        <w:spacing w:before="180" w:after="120"/>
        <w:ind w:left="0" w:right="613" w:hanging="0"/>
        <w:jc w:val="both"/>
        <w:rPr>
          <w:rFonts w:ascii="Times New Roman;Times;serif" w:hAnsi="Times New Roman;Times;serif"/>
          <w:b/>
          <w:i/>
          <w:sz w:val="20"/>
        </w:rPr>
      </w:pPr>
      <w:r>
        <w:rPr>
          <w:rFonts w:ascii="Times New Roman;Times;serif" w:hAnsi="Times New Roman;Times;serif"/>
          <w:b/>
          <w:i/>
          <w:sz w:val="20"/>
        </w:rPr>
        <w:t>We may be unable to attract or retain skilled labor and personnel with experience in the cannabis sector, acquire adequate equipment, parts, and components for operational needs, and we may be unable to attract, develop and retain additional employees required for our operations and future developments.</w:t>
      </w:r>
    </w:p>
    <w:p>
      <w:pPr>
        <w:pStyle w:val="TextBody"/>
        <w:spacing w:before="120" w:after="0"/>
        <w:ind w:left="0" w:right="0" w:hanging="0"/>
        <w:jc w:val="both"/>
        <w:rPr>
          <w:rFonts w:ascii="Times New Roman;Times;serif" w:hAnsi="Times New Roman;Times;serif"/>
          <w:sz w:val="20"/>
        </w:rPr>
      </w:pPr>
      <w:r>
        <w:rPr>
          <w:rFonts w:ascii="Times New Roman;Times;serif" w:hAnsi="Times New Roman;Times;serif"/>
          <w:sz w:val="20"/>
        </w:rPr>
        <w:t>We may be unable to attract or retain employees with sufficient experience in the cannabis industry, and may prove unable to attract, develop and retain additional employees required for our development and future success.</w:t>
      </w:r>
    </w:p>
    <w:p>
      <w:pPr>
        <w:pStyle w:val="TextBody"/>
        <w:spacing w:before="120" w:after="0"/>
        <w:ind w:left="0" w:right="0" w:hanging="0"/>
        <w:jc w:val="both"/>
        <w:rPr>
          <w:rFonts w:ascii="Times New Roman;Times;serif" w:hAnsi="Times New Roman;Times;serif"/>
          <w:sz w:val="20"/>
        </w:rPr>
      </w:pPr>
      <w:r>
        <w:rPr>
          <w:rFonts w:ascii="Times New Roman;Times;serif" w:hAnsi="Times New Roman;Times;serif"/>
          <w:sz w:val="20"/>
        </w:rPr>
        <w:t>Our success is currently largely dependent on the performance of our skilled employees. Our future success depends on our continuing ability to attract, develop, motivate and retain highly qualified and skilled employees. Qualified individuals are in high demand, and we may incur significant costs to attract and retain them.</w:t>
      </w:r>
    </w:p>
    <w:p>
      <w:pPr>
        <w:pStyle w:val="TextBody"/>
        <w:spacing w:before="120" w:after="0"/>
        <w:ind w:left="0" w:right="0" w:hanging="0"/>
        <w:jc w:val="both"/>
        <w:rPr>
          <w:rFonts w:ascii="Times New Roman;Times;serif" w:hAnsi="Times New Roman;Times;serif"/>
          <w:sz w:val="20"/>
        </w:rPr>
      </w:pPr>
      <w:r>
        <w:rPr>
          <w:rFonts w:ascii="Times New Roman;Times;serif" w:hAnsi="Times New Roman;Times;serif"/>
          <w:sz w:val="20"/>
        </w:rPr>
        <w:t>In addition, our ability to compete and grow will be dependent upon having access, at a reasonable cost and in a timely manner, to skilled labor, adequate equipment, parts and components, and real estate zoned or permitted for cannabis use. No assurances can be given that we will be successful in maintaining the required supply of skilled labor, adequate equipment, parts and components, or sufficient real estate. It is also possible that the final costs of major equipment purchases or expansion projects budgeted by our capital expenditure projections may be significantly greater than anticipated or available, and there could be a materially adverse effect on our financial results in such instances.</w:t>
      </w:r>
    </w:p>
    <w:p>
      <w:pPr>
        <w:pStyle w:val="TextBody"/>
        <w:spacing w:before="120" w:after="0"/>
        <w:ind w:left="0" w:right="0" w:hanging="0"/>
        <w:jc w:val="both"/>
        <w:rPr/>
      </w:pPr>
      <w:r>
        <w:rPr/>
        <w: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not be able to successfully identify and execute future acquisitions or dispositions or to successfully manage the impacts of such transactions on our operations.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 key element of our growth strategy involves identifying and acquiring interests in, or the businesses of, suitable entities involved in the cannabis industry. Our ability to identify such potential acquisition opportunities and successfully acquire them is not guaranteed. Further, achieving the benefits of future acquisitions will depend, in part, on successfully identifying and capturing such opportunities in a timely and efficient manner with the appropriate structure to ensure a stable and growing stream of revenues.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Material acquisitions, dispositions and other strategic transactions involve a number of risks, including: (i) the potential disruption of our ongoing business; (ii) the distraction of management away from the ongoing oversight of our existing business activities; (iii) incurring indebtedness; (iv) the anticipated benefits and cost savings of those transactions not being realized fully, or at all, or taking longer to realize than anticipated; (v) an increase in the scope and complexity of our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operations; (vi) the loss or reduction of control over certain of our assets; (vii) the integration of new operations, services and personnel; (viii) unforeseen or hidden liabilities; (ix) the diversion of resources from our existing interests and business; (x) potential inability to generate sufficient revenue to offset new costs; or (xi) the expenses of such transactions.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Further, there is no guarantee that future acquisitions will be accretive. The existence of one or more material liabilities of an acquired company or business that are unknown to us at the time of acquisition could result in our incurring those liabilities. A strategic transaction may result in a significant change in the nature of our business, operations and strategy, and we may encounter unforeseen obstacles or costs in implementing a strategic transaction or integrating any acquired business into our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limited access to capital and funds available for operations and growth, and we will require additional financing to successfully implement our business strategy.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Expansion of our business will require capital expenditures. Our capital requirements will depend upon numerous factors, including the size and success of our marketing and sales network, the quality of and demand for our products and services, and the terms of our external financing arrangements. If funds generated from our operations are insufficient to allow us to grow in accordance with our strategic plans, we will need to raise additional funds through public or private financing. No assurance can be given that additional financing will be available or that, if available, it will be obtained on terms favorable to us. If we are unable to obtain adequate financing, we may have to reduce or eliminate expenditures and curtail or delay our growth strategy, including the expansion of our sales and marketing capabilities and future acquisitions, which likely would have a material adverse effect on our prospects, business, financial condition and results of operations.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addition, if we raise additional capital in the future by issuing equity securities or securities exercisable for or convertible into equity securities, existing holders of our Common Stock could suffer significant dilution, and any new securities issued could have rights, preferences and privileges superior to our existing stockholders. Furthermore, if we raise additional capital in the future by incurring debt or issuing debt securities, such debt may impose covenants restricting our ability to incur additional indebtedness, grant liens, make dividends and other payments, issue securities and buy and sell assets, or otherwise restrict financial or operational activities, which may make it more difficult for us to obtain additional capital and to pursue business opportunities, including potential acquisitions. Our existing debt and financing arrangements, including the Loan Agreement and the Indenture, contain restrictions on the amount of debt the Company can issue without obtaining the approval of the applicable secured party or parties, which can add delays and complexity in executing the Company’s acquisition strategy. </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officers or directors may have conflicts of interest and some of our current officers have other interests outside of our business.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Some of our executive officers or directors are employed on a full-time basis by or have financial interests in other businesses. Consequently, there are potential inherent conflicts of interest when acting in their capacity as officers or directors of the Company. For example, Brian Ruden, a former director as of October 2022 and beneficial owner of more than 10% of our voting stock and Naser Joudeh, a beneficial owner of more than 10% of our voting stock,  jointly hold the right to appoint two or three directors to our Board (depending on Board size and subject to minimum ownership requirements), are owners of Star Buds dispensaries located outside the state of Colorado, and have an ownership stake in the entity that licenses the Star Buds branding and intellectual property to the Company pursuant to a licensing arrangement. Many of our directors have also participated directly or indirectly in our private placements and capital raises, such as participation in the Investor Notes offering by four of our directors. Where a conflict of interest may arise, our Audit Committee and/or the full Board of Directors, with advice from outside counsel, reviews such conflict of interest. Although we believe that our related party transaction policy is currently adequate in guarding against material conflicts of interests, we cannot give any assurance that we are able to identify all material conflicts of interest or that conflicts of interest will be resolved in a manner beneficial to the Company.</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Further, while we have employment agreements for full-time employment with our executive officers, the employment agreements do not forbid our executive officers from allocating their personal time to other ventures and commitments. If the other business affairs of our executive officers require them to devote substantial amounts of time to such affairs, it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could limit their ability to devote time to our affairs and could have a material adverse effect on our prospects, business, financial condition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are unable to source raw materials in sufficient quantities, on a timely basis, and at acceptable costs, our ability to manufacture and sell our products may be harmed.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rely on a limited number of suppliers for raw materials used in manufacturing our products. We experience recurring cycles of oversupply and undersupply, to some extent due to seasonality, and, as a result, the price and availability of raw materials fluctuates. If we are unable to maintain a reliable supply of raw materials at competitive prices, we could experience disruptions in production or an increased cost of production. Market conditions may limit our ability to raise selling prices to offset increases in our raw material costs. Any of the foregoing could have a material adverse impact on our prospects, business, financial condition and results of operations.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rely on key utility services.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business is dependent on a number of key inputs and their related costs, including raw materials and supplies related to our growing operations, as well as electricity, water and other local utilities. Our cannabis growing operations consume and will continue to consume considerable energy, which makes us vulnerable to rising energy costs. Accordingly, rising or volatile energy costs may adversely impact our business and our ability to operate profitably in the future. Additionally, any significant interruption or negative change in the availability or economics of the supply chain for our key inputs could materially impact our business, financial condition and operating results. If we are unable to secure required supplies and services on satisfactory terms, it could have a materially adverse impact on our business, financial condition and operating results.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are unable to service or repay our indebtedness when due, the applicable lender may execute on the collateral.</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have outstanding indebtedness that is secured by a security interest in all of our assets. If we fail to comply with the covenants set forth in the applicable debt instruments or if we fail to make certain payments under the debt instruments when due, the holders of such indebtedness could declare the debt instruments in default. If we default under any such debt instruments, the holders have the right to seize our assets that secure the debt instruments, which would have a material adverse effect on our prospects, business, financial condition and results of operations.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Several of our wholly-owned subsidiaries are borrowers under a Loan Agreement with Altmore, as lender, and GGG Partners LLC, as collateral agent. The loan is secured by a security interest in substantially all current and future assets of the borrowers. We guaranty the payment and performance by the borrowers when due. If the borrowers and we are unable to pay the debt service or repay the term loan when due, the lender may, among other remedies, sell the collateral and use the proceeds to satisfy amounts owed under term loan.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seller notes associated with the purchase of the Star Buds assets by SBUD LLC are secured by a security interest in substantially all of the current and future assets of SBUD LLC. If SBUD LLC is unable to pay the debt service or repay the seller notes when due, the sellers may, among other remedies, sell the collateral and use the proceeds to satisfy amounts owed under the seller notes.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Investor Notes are secured by a first priority security interest in all of the current and future assets of the Company and the Subsidiary Guarantors not otherwise pledged as collateral, which are held by the Indenture Collateral Agent for the benefit of the Note Investors, and payment under the Investor Notes and Indenture are guaranteed by the Subsidiary Guarantors. The Investor Notes provide that on December 7, 2025, the Note Investors will have the right to require the Company to repurchase some or all of the Investor Notes for cash in an amount equal to the principal amount of such Investor Note being repurchased plus accrued and unpaid interest up to the date of repurchase. If the Company or the Subsidiary Guarantors are unable to pay the debt service or repay the Investor Notes when due, the Indenture Collateral Agent may, among other remedies, sell the collateral and use the proceeds to satisfy the amounts owed under the Investor Notes.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plan to expand our business and operations into jurisdictions outside of the jurisdictions where we currently conduct business and doing so will expose us to new risks.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the future, we plan to expand our operations and business into jurisdictions outside of the jurisdictions where we currently operate. There can be no assurance that any market for our products and services will develop in any such jurisdictions. We may face new or unexpected risks or significantly increase our exposure to one or more existing risk factors if we expand into new jurisdictions, including, without limitation, economic instability, new competition, and additional, new or changing laws and regulations (including, without limitation, the possibility that we could be in violation of these laws and regulations as a result of such changes). These factors may limit our ability to successfully expand our operations in those other jurisdictions.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Failure to consummate identified acquisitions could materially adversely affect our capital resources and subsequent attempts to locate and acquire other businesses.</w:t>
      </w:r>
    </w:p>
    <w:p>
      <w:pPr>
        <w:pStyle w:val="TextBody"/>
        <w:pBdr/>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investigation of each specific acquisition target business and the negotiation, drafting, and execution of relevant transaction agreements and other ancillary documents, disclosure documents, and other instruments, requires substantial management time and attention, as well as costs related to fees payable to counsel, accountants, and other third parties. Our ability to consummate an acquisition is dependent on a number of factors and conditions that require time, attention, and collaboration across multiple parties, including receipt of all necessary state and local approval of the contemplated transaction. When an identified transaction is not consummated, we are not able to recover the cost spent pursuing such transaction, which reduces the amount of capital available for other identified targets. Our growth strategy is dependent on identifying willing counterparties to transact with, and our ability to acquire existing businesses in the future could also be impacted if we are consistently unable to consummate negotiated acquisitions. Our inability to efficiently identify, diligence, and acquire future acquisition targets could negatively impact our business, results of operations, financial condition, and ability to execute on our growth strategy. </w:t>
      </w:r>
    </w:p>
    <w:p>
      <w:pPr>
        <w:pStyle w:val="TextBody"/>
        <w:shd w:fill="FFFFFF" w:val="clear"/>
        <w:spacing w:before="120" w:after="0"/>
        <w:ind w:left="0" w:right="0" w:hanging="0"/>
        <w:rPr>
          <w:rFonts w:ascii="Times New Roman;Times;serif" w:hAnsi="Times New Roman;Times;serif"/>
          <w:b/>
          <w:i/>
          <w:sz w:val="20"/>
        </w:rPr>
      </w:pPr>
      <w:r>
        <w:rPr>
          <w:rFonts w:ascii="Times New Roman;Times;serif" w:hAnsi="Times New Roman;Times;serif"/>
          <w:b/>
          <w:i/>
          <w:sz w:val="20"/>
        </w:rPr>
        <w:t>Our sales are difficult to forecast.</w:t>
      </w:r>
    </w:p>
    <w:p>
      <w:pPr>
        <w:pStyle w:val="TextBody"/>
        <w:pBdr/>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We must rely largely on our own market research and market research from newer companies in the cannabis industry to forecast sales as detailed forecasts are not generally obtainable from other, more reliable sources at this early stage of the cannabis industry. A failure in the demand for our products to materialize as a result of competition, technological change or other factors could have a material adverse effect on our business, results of operations, financial condition or prospects.</w:t>
      </w:r>
    </w:p>
    <w:p>
      <w:pPr>
        <w:pStyle w:val="TextBody"/>
        <w:pBdr/>
        <w:shd w:fill="FFFFFF" w:val="clear"/>
        <w:spacing w:before="0" w:after="0"/>
        <w:ind w:left="0" w:right="0" w:hanging="0"/>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Changes in consumer spending may harm our business.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Consumer spending patterns, particularly discretionary expenditures for cannabis products, are particularly susceptible to factors beyond our control that may reduce demand for our products. These factors include:</w:t>
      </w:r>
    </w:p>
    <w:tbl>
      <w:tblPr>
        <w:tblW w:w="2661" w:type="dxa"/>
        <w:jc w:val="left"/>
        <w:tblInd w:w="0" w:type="dxa"/>
        <w:tblCellMar>
          <w:top w:w="28" w:type="dxa"/>
          <w:left w:w="28" w:type="dxa"/>
          <w:bottom w:w="28" w:type="dxa"/>
          <w:right w:w="28" w:type="dxa"/>
        </w:tblCellMar>
      </w:tblPr>
      <w:tblGrid>
        <w:gridCol w:w="124"/>
        <w:gridCol w:w="256"/>
        <w:gridCol w:w="22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2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low consumer confidence;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corporate budgets and spending, including cancellations, deferrals or renegotiations of group business events (e.g., industry conventions);</w:t>
            </w:r>
          </w:p>
        </w:tc>
      </w:tr>
    </w:tbl>
    <w:tbl>
      <w:tblPr>
        <w:tblW w:w="7506" w:type="dxa"/>
        <w:jc w:val="left"/>
        <w:tblInd w:w="0" w:type="dxa"/>
        <w:tblCellMar>
          <w:top w:w="28" w:type="dxa"/>
          <w:left w:w="28" w:type="dxa"/>
          <w:bottom w:w="28" w:type="dxa"/>
          <w:right w:w="28" w:type="dxa"/>
        </w:tblCellMar>
      </w:tblPr>
      <w:tblGrid>
        <w:gridCol w:w="124"/>
        <w:gridCol w:w="256"/>
        <w:gridCol w:w="71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1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conditions, pricing pressure, inflation, and similar macro-economic influences;</w:t>
            </w:r>
          </w:p>
        </w:tc>
      </w:tr>
    </w:tbl>
    <w:tbl>
      <w:tblPr>
        <w:tblW w:w="6216" w:type="dxa"/>
        <w:jc w:val="left"/>
        <w:tblInd w:w="0" w:type="dxa"/>
        <w:tblCellMar>
          <w:top w:w="28" w:type="dxa"/>
          <w:left w:w="28" w:type="dxa"/>
          <w:bottom w:w="28" w:type="dxa"/>
          <w:right w:w="28" w:type="dxa"/>
        </w:tblCellMar>
      </w:tblPr>
      <w:tblGrid>
        <w:gridCol w:w="124"/>
        <w:gridCol w:w="256"/>
        <w:gridCol w:w="58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8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natural disasters, such as earthquakes, tornados, hurricanes and floods;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outbreaks of pandemic or contagious diseases, such as avian flu, severe acute respiratory syndrome (SARS), H1N1(swine) flu, Zika fever and coronavirus (e.g., COVID-19);</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 terrorist activities, social unrest, or threats and heightened security measures instituted in response to these events; and</w:t>
            </w:r>
          </w:p>
        </w:tc>
      </w:tr>
    </w:tbl>
    <w:tbl>
      <w:tblPr>
        <w:tblW w:w="8496" w:type="dxa"/>
        <w:jc w:val="left"/>
        <w:tblInd w:w="0" w:type="dxa"/>
        <w:tblCellMar>
          <w:top w:w="28" w:type="dxa"/>
          <w:left w:w="28" w:type="dxa"/>
          <w:bottom w:w="28" w:type="dxa"/>
          <w:right w:w="28" w:type="dxa"/>
        </w:tblCellMar>
      </w:tblPr>
      <w:tblGrid>
        <w:gridCol w:w="124"/>
        <w:gridCol w:w="256"/>
        <w:gridCol w:w="81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1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or operational conditions of transportation-related industries and its impact on travel.</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Reduced consumer spending could have a material adverse effect on our prospects, business, financial condition and results of operations.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are subject to risks from products liability claims.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face an inherent risk of product liability claims. For example, we could be sued if any product we sell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If we cannot successfully defend against product liability claims, we may incur substantial liabilities or be required to limit sales of our products. Even a successful defense of these hypothetical future cases would require significant financial and management resources. If we are unable to successfully defend these hypothetical future cases, we could face at least the following potential consequences:</w:t>
      </w:r>
    </w:p>
    <w:p>
      <w:pPr>
        <w:pStyle w:val="TextBody"/>
        <w:spacing w:before="0" w:after="0"/>
        <w:ind w:left="360" w:right="0" w:hanging="0"/>
        <w:jc w:val="both"/>
        <w:rPr/>
      </w:pPr>
      <w:r>
        <w:rPr/>
        <w:t>●</w:t>
      </w:r>
      <w:r>
        <w:rPr>
          <w:rFonts w:ascii="Times New Roman;Times;serif" w:hAnsi="Times New Roman;Times;serif"/>
          <w:sz w:val="20"/>
        </w:rPr>
        <w:t>decreased demand for our products;</w:t>
      </w:r>
    </w:p>
    <w:p>
      <w:pPr>
        <w:pStyle w:val="TextBody"/>
        <w:spacing w:before="0" w:after="0"/>
        <w:ind w:left="360" w:right="0" w:hanging="0"/>
        <w:jc w:val="both"/>
        <w:rPr/>
      </w:pPr>
      <w:r>
        <w:rPr/>
        <w:t>●</w:t>
      </w:r>
      <w:r>
        <w:rPr>
          <w:rFonts w:ascii="Times New Roman;Times;serif" w:hAnsi="Times New Roman;Times;serif"/>
          <w:sz w:val="20"/>
        </w:rPr>
        <w:t>injury to our reputation;</w:t>
      </w:r>
    </w:p>
    <w:p>
      <w:pPr>
        <w:pStyle w:val="TextBody"/>
        <w:spacing w:before="0" w:after="0"/>
        <w:ind w:left="360" w:right="0" w:hanging="0"/>
        <w:jc w:val="both"/>
        <w:rPr/>
      </w:pPr>
      <w:r>
        <w:rPr/>
        <w:t>●</w:t>
      </w:r>
      <w:r>
        <w:rPr>
          <w:rFonts w:ascii="Times New Roman;Times;serif" w:hAnsi="Times New Roman;Times;serif"/>
          <w:sz w:val="20"/>
        </w:rPr>
        <w:t>costs to defend the related litigation;</w:t>
      </w:r>
    </w:p>
    <w:p>
      <w:pPr>
        <w:pStyle w:val="TextBody"/>
        <w:spacing w:before="0" w:after="0"/>
        <w:ind w:left="360" w:right="0" w:hanging="0"/>
        <w:jc w:val="both"/>
        <w:rPr/>
      </w:pPr>
      <w:r>
        <w:rPr/>
        <w:t>●</w:t>
      </w:r>
      <w:r>
        <w:rPr>
          <w:rFonts w:ascii="Times New Roman;Times;serif" w:hAnsi="Times New Roman;Times;serif"/>
          <w:sz w:val="20"/>
        </w:rPr>
        <w:t>diversion of management’s time and our resources;</w:t>
      </w:r>
    </w:p>
    <w:p>
      <w:pPr>
        <w:pStyle w:val="TextBody"/>
        <w:spacing w:before="0" w:after="0"/>
        <w:ind w:left="360" w:right="0" w:hanging="0"/>
        <w:jc w:val="both"/>
        <w:rPr/>
      </w:pPr>
      <w:r>
        <w:rPr/>
        <w:t>●</w:t>
      </w:r>
      <w:r>
        <w:rPr>
          <w:rFonts w:ascii="Times New Roman;Times;serif" w:hAnsi="Times New Roman;Times;serif"/>
          <w:sz w:val="20"/>
        </w:rPr>
        <w:t>substantial monetary awards to users of our products;</w:t>
      </w:r>
    </w:p>
    <w:p>
      <w:pPr>
        <w:pStyle w:val="TextBody"/>
        <w:spacing w:before="0" w:after="0"/>
        <w:ind w:left="360" w:right="0" w:hanging="0"/>
        <w:jc w:val="both"/>
        <w:rPr/>
      </w:pPr>
      <w:r>
        <w:rPr/>
        <w:t>●</w:t>
      </w:r>
      <w:r>
        <w:rPr>
          <w:rFonts w:ascii="Times New Roman;Times;serif" w:hAnsi="Times New Roman;Times;serif"/>
          <w:sz w:val="20"/>
        </w:rPr>
        <w:t>product recalls or withdrawals; and</w:t>
      </w:r>
    </w:p>
    <w:p>
      <w:pPr>
        <w:pStyle w:val="TextBody"/>
        <w:ind w:left="360" w:right="0" w:hanging="0"/>
        <w:jc w:val="both"/>
        <w:rPr/>
      </w:pPr>
      <w:r>
        <w:rPr/>
        <w:t>●</w:t>
      </w:r>
      <w:r>
        <w:rPr>
          <w:rFonts w:ascii="Times New Roman;Times;serif" w:hAnsi="Times New Roman;Times;serif"/>
          <w:sz w:val="20"/>
        </w:rPr>
        <w:t>loss of revenue.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 xml:space="preserve">Our insurance coverage may be inadequate to cover all significant risk exposures. </w:t>
      </w:r>
    </w:p>
    <w:p>
      <w:pPr>
        <w:pStyle w:val="TextBody"/>
        <w:pBdr/>
        <w:spacing w:before="0" w:after="0"/>
        <w:ind w:left="0" w:right="0" w:hanging="0"/>
        <w:jc w:val="both"/>
        <w:rPr>
          <w:rFonts w:ascii="Times New Roman;Times;serif" w:hAnsi="Times New Roman;Times;serif"/>
          <w:sz w:val="20"/>
        </w:rPr>
      </w:pPr>
      <w:r>
        <w:rPr>
          <w:rFonts w:ascii="Times New Roman;Times;serif" w:hAnsi="Times New Roman;Times;serif"/>
          <w:sz w:val="20"/>
        </w:rPr>
        <w:t>We are exposed to liabilities that are unique to the products and services we provide. While we intend to maintain insurance for certain risks, the amount of our insurance coverage may not be adequate to cover all claims or liabilities, and we may be forced to bear substantial costs resulting from risks and uncertainties in our business. It is also not possible to obtain insurance to protect against all operational risks and liabilities. Due to the nature of our business, we may have difficulty obtaining insurance because, compared to non-cannabis industries, (i) there are only a limited number of insurers willing to insure companies involved in the cannabis industry, (ii) there are fewer insurance products available to companies involved in the cannabis industry, (iii) insurance coverage generally is more expensive for companies involved in the cannabis industry, and (iv) available insurers, insurance products, and cost of coverage fluctuates frequently. Failure to obtain adequate insurance coverage on terms favorable to us, or at all, could have a material adverse effect on our prospects, business, financial condition and results of operations. We do not maintain business interruption insurance for most of our properties and operations. Any business disruption or natural disaster could result in substantial costs and diversion of resources.</w:t>
      </w:r>
    </w:p>
    <w:p>
      <w:pPr>
        <w:pStyle w:val="TextBody"/>
        <w:shd w:fill="FFFFFF" w:val="clear"/>
        <w:spacing w:before="120" w:after="0"/>
        <w:ind w:left="0" w:right="0" w:hanging="0"/>
        <w:rPr>
          <w:rFonts w:ascii="Times New Roman;Times;serif" w:hAnsi="Times New Roman;Times;serif"/>
          <w:b/>
          <w:i/>
          <w:sz w:val="20"/>
        </w:rPr>
      </w:pPr>
      <w:r>
        <w:rPr>
          <w:rFonts w:ascii="Times New Roman;Times;serif" w:hAnsi="Times New Roman;Times;serif"/>
          <w:b/>
          <w:i/>
          <w:sz w:val="20"/>
        </w:rPr>
        <w:t>We may be exposed to risk of fraudulent or illegal activity by employees, contractors and consultants.</w:t>
      </w:r>
    </w:p>
    <w:p>
      <w:pPr>
        <w:pStyle w:val="TextBody"/>
        <w:pBdr/>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We are exposed to the risk that our employees, independent contractors and consultants may engage in fraudulent or other illegal activity. Misconduct by these parties could include intentional, reckless and/or negligent unauthorized conduct that violates: (i) government regulations; (ii) manufacturing standards; (iii) federal, state and provincial healthcare fraud and abuse laws and regulations; (iv) laws that require the true, complete and accurate reporting of financial information or data; or (v) contractual arrangements, including confidentiality requirements. It may not always be possible for us to identify and deter misconduct by our employees and other third parties, and the precautions taken by us to detect and prevent this activity may not be effective in controlling unknown or unmanaged risks or losses or in protecting us from governmental investigations or other actions or lawsuits stemming from a failure to be in compliance with applicable laws or regulations or contractual requirements. If any such actions are instituted against us, and we are not successful in defending ourselves or asserting our rights, those actions could have a significant impact on our business, including the imposition of civil, criminal and administrative penalties, damages, monetary fines, contractual damages, reputational harm, diminished profits and future earnings, and curtailment of our operations, any of which could have a material adverse effect on our business, financial condition, results of operations or prospects.</w:t>
      </w:r>
    </w:p>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Failure to execute our strategies and external market conditions could result in impairment of goodwill or other intangible assets, which may negatively impact profitability.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2022, we have goodwill of approximately $94.6 million and other intangible assets of approximately $107.7 million (net of accumulated amortization), which represents approximately 63% of our total assets as of that date. We evaluate goodwill for impairment on an annual basis or more frequently if impairment indicators are present based upon the fair value of each reporting unit. We assess the impairment of other intangible assets on an annual basis, or more frequently if impairment indicators are present, based upon the expected future cash flows of the respective assets. These valuations include management’s estimates of sales, profitability, cash flow generation, capital structure, cost of debt, interest rates, capital expenditures, and other assumptions. Significant negative industry or economic trends, disruptions to our business, inability to achieve sales projections or cost savings, inability to effectively integrate acquired businesses, unexpected significant changes or planned changes in use of the assets or in entity structure, and divestitures may adversely impact the assumptions used in the valuations. If the estimated fair value of our reporting units changes in future periods, we may be required to record an impairment charge related to goodwill or other intangible assets, which would reduce earnings in such period.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Risks Related to our Common Stock and Preferred Stock</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seek to raise additional funds, finance acquisitions or develop strategic relationships by issuing securities that would dilute the ownership of our existing stockholders.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may raise additional capital in the future. Such capital raising transactions may take the form of equity issuances, debt raising, issuance of derivative securities, or a combination thereof. If we issue any shares of Common Stock or securities convertible into or exercisable for shares of Common Stock in connection with any capital raising transaction, our existing stockholders will experience immediate dilution upon such issuance or upon the future conversion or exercise of such securities. Further, derivative securities, such as convertible debt, convertible preferred stock, options and warrants, currently outstanding or issued in the future may contain anti-dilution protection provisions, which, if triggered, could require us to issue a larger number of the security underlying such derivative security than the face amount. We cannot predict the effect, if any, that future sales or issuance of shares of our Common Stock into the market, or the availability of shares of our Common Stock for future sale, will have on the market price of our Common Stock. Sales of substantial amounts of our Common Stock (including shares issued upon exercise of options and warrants or conversion of convertible securities), or the perception that such sales could occur, may materially affect prevailing market prices for our Common Stock.</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Depending on the terms available to us, if these activities result in significant dilution, it may negatively impact the trading price of our shares of Common Stock. Any additional financing that we secure may require the granting of rights, preferences or privileges senior to, or pari passu with, those of our Common Stock or our other outstanding securities. Any issuances by us of securities may be at or below the prevailing market price of our Common Stock and in any event may have a dilutive impact on your ownership interest, which could cause the market price of our Common Stock to decline. We may also raise additional funds through the incurrence of debt or the issuance or sale of other derivative securities or instruments senior to our shares of Common Stock. We cannot be certain how the repayment of any debt obligations will be funded, and we may issue further equity or debt in order to raise funds to repay such obligations, including funding that may be highly dilutive. The holders of any securities or instruments we may issue may have rights superior to the rights of holders of our Common Stock. If we experience dilution from the issuance of additional securities and we grant superior rights to new securities over holders of our Common Stock, it may negatively impact the trading price of our shares of Common Stock, and you may lose all or part of your investment.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There is no assurance that there will continue to be an active trading market for our Common Stock.</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Common Stock is quoted on the OTCQX operated by the OTC Markets Group and listed on the NEO exchange. There is no assurance that a market for our Common Stock will continue. In the absence of a public trading market, or sufficient trading volume in the public market, an investor may be unable to liquidate its investment in our Company.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Any adverse effect on the market price of our Common Stock could make it difficult for us to raise additional capital through sales of equity securities at a time and at a price that we deem appropriate.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Sales of substantial amounts of our Common Stock, or in anticipation that such sales could occur, may materially and adversely affect prevailing market prices for our Common Stock, if and when such market develops in the future.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The market price of our Common Stock may fluctuate significantly in the future.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expect that the market price of our Common Stock may fluctuate in response to one or more of the following factors, many of which are beyond our control:</w:t>
      </w:r>
    </w:p>
    <w:tbl>
      <w:tblPr>
        <w:tblW w:w="2976" w:type="dxa"/>
        <w:jc w:val="left"/>
        <w:tblInd w:w="0" w:type="dxa"/>
        <w:tblCellMar>
          <w:top w:w="28" w:type="dxa"/>
          <w:left w:w="28" w:type="dxa"/>
          <w:bottom w:w="28" w:type="dxa"/>
          <w:right w:w="28" w:type="dxa"/>
        </w:tblCellMar>
      </w:tblPr>
      <w:tblGrid>
        <w:gridCol w:w="124"/>
        <w:gridCol w:w="256"/>
        <w:gridCol w:w="25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5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competitive pricing pressures;</w:t>
            </w:r>
          </w:p>
        </w:tc>
      </w:tr>
    </w:tbl>
    <w:tbl>
      <w:tblPr>
        <w:tblW w:w="7251" w:type="dxa"/>
        <w:jc w:val="left"/>
        <w:tblInd w:w="0" w:type="dxa"/>
        <w:tblCellMar>
          <w:top w:w="28" w:type="dxa"/>
          <w:left w:w="28" w:type="dxa"/>
          <w:bottom w:w="28" w:type="dxa"/>
          <w:right w:w="28" w:type="dxa"/>
        </w:tblCellMar>
      </w:tblPr>
      <w:tblGrid>
        <w:gridCol w:w="124"/>
        <w:gridCol w:w="256"/>
        <w:gridCol w:w="68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8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market our products and services on a cost-effective and timely basis;</w:t>
            </w:r>
          </w:p>
        </w:tc>
      </w:tr>
    </w:tbl>
    <w:tbl>
      <w:tblPr>
        <w:tblW w:w="5376" w:type="dxa"/>
        <w:jc w:val="left"/>
        <w:tblInd w:w="0" w:type="dxa"/>
        <w:tblCellMar>
          <w:top w:w="28" w:type="dxa"/>
          <w:left w:w="28" w:type="dxa"/>
          <w:bottom w:w="28" w:type="dxa"/>
          <w:right w:w="28" w:type="dxa"/>
        </w:tblCellMar>
      </w:tblPr>
      <w:tblGrid>
        <w:gridCol w:w="124"/>
        <w:gridCol w:w="256"/>
        <w:gridCol w:w="49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9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obtain working capital financing, if needed;</w:t>
            </w:r>
          </w:p>
        </w:tc>
      </w:tr>
    </w:tbl>
    <w:tbl>
      <w:tblPr>
        <w:tblW w:w="3381" w:type="dxa"/>
        <w:jc w:val="left"/>
        <w:tblInd w:w="0" w:type="dxa"/>
        <w:tblCellMar>
          <w:top w:w="28" w:type="dxa"/>
          <w:left w:w="28" w:type="dxa"/>
          <w:bottom w:w="28" w:type="dxa"/>
          <w:right w:w="28" w:type="dxa"/>
        </w:tblCellMar>
      </w:tblPr>
      <w:tblGrid>
        <w:gridCol w:w="124"/>
        <w:gridCol w:w="256"/>
        <w:gridCol w:w="30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0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changing conditions in the market;</w:t>
            </w:r>
          </w:p>
        </w:tc>
      </w:tr>
    </w:tbl>
    <w:tbl>
      <w:tblPr>
        <w:tblW w:w="4686" w:type="dxa"/>
        <w:jc w:val="left"/>
        <w:tblInd w:w="0" w:type="dxa"/>
        <w:tblCellMar>
          <w:top w:w="28" w:type="dxa"/>
          <w:left w:w="28" w:type="dxa"/>
          <w:bottom w:w="28" w:type="dxa"/>
          <w:right w:w="28" w:type="dxa"/>
        </w:tblCellMar>
      </w:tblPr>
      <w:tblGrid>
        <w:gridCol w:w="124"/>
        <w:gridCol w:w="256"/>
        <w:gridCol w:w="43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3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market valuations of similar companies;</w:t>
            </w:r>
          </w:p>
        </w:tc>
      </w:tr>
    </w:tbl>
    <w:tbl>
      <w:tblPr>
        <w:tblW w:w="4911" w:type="dxa"/>
        <w:jc w:val="left"/>
        <w:tblInd w:w="0" w:type="dxa"/>
        <w:tblCellMar>
          <w:top w:w="28" w:type="dxa"/>
          <w:left w:w="28" w:type="dxa"/>
          <w:bottom w:w="28" w:type="dxa"/>
          <w:right w:w="28" w:type="dxa"/>
        </w:tblCellMar>
      </w:tblPr>
      <w:tblGrid>
        <w:gridCol w:w="124"/>
        <w:gridCol w:w="256"/>
        <w:gridCol w:w="45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5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market price and volume fluctuations generally;</w:t>
            </w:r>
          </w:p>
        </w:tc>
      </w:tr>
    </w:tbl>
    <w:tbl>
      <w:tblPr>
        <w:tblW w:w="2616" w:type="dxa"/>
        <w:jc w:val="left"/>
        <w:tblInd w:w="0" w:type="dxa"/>
        <w:tblCellMar>
          <w:top w:w="28" w:type="dxa"/>
          <w:left w:w="28" w:type="dxa"/>
          <w:bottom w:w="28" w:type="dxa"/>
          <w:right w:w="28" w:type="dxa"/>
        </w:tblCellMar>
      </w:tblPr>
      <w:tblGrid>
        <w:gridCol w:w="124"/>
        <w:gridCol w:w="256"/>
        <w:gridCol w:w="22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2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developments;</w:t>
            </w:r>
          </w:p>
        </w:tc>
      </w:tr>
    </w:tbl>
    <w:tbl>
      <w:tblPr>
        <w:tblW w:w="5076" w:type="dxa"/>
        <w:jc w:val="left"/>
        <w:tblInd w:w="0" w:type="dxa"/>
        <w:tblCellMar>
          <w:top w:w="28" w:type="dxa"/>
          <w:left w:w="28" w:type="dxa"/>
          <w:bottom w:w="28" w:type="dxa"/>
          <w:right w:w="28" w:type="dxa"/>
        </w:tblCellMar>
      </w:tblPr>
      <w:tblGrid>
        <w:gridCol w:w="124"/>
        <w:gridCol w:w="256"/>
        <w:gridCol w:w="46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6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our quarterly or annual operating results;</w:t>
            </w:r>
          </w:p>
        </w:tc>
      </w:tr>
    </w:tbl>
    <w:tbl>
      <w:tblPr>
        <w:tblW w:w="3846" w:type="dxa"/>
        <w:jc w:val="left"/>
        <w:tblInd w:w="0" w:type="dxa"/>
        <w:tblCellMar>
          <w:top w:w="28" w:type="dxa"/>
          <w:left w:w="28" w:type="dxa"/>
          <w:bottom w:w="28" w:type="dxa"/>
          <w:right w:w="28" w:type="dxa"/>
        </w:tblCellMar>
      </w:tblPr>
      <w:tblGrid>
        <w:gridCol w:w="124"/>
        <w:gridCol w:w="256"/>
        <w:gridCol w:w="34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4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or departures of key personnel;</w:t>
            </w:r>
          </w:p>
        </w:tc>
      </w:tr>
    </w:tbl>
    <w:tbl>
      <w:tblPr>
        <w:tblW w:w="5166" w:type="dxa"/>
        <w:jc w:val="left"/>
        <w:tblInd w:w="0" w:type="dxa"/>
        <w:tblCellMar>
          <w:top w:w="28" w:type="dxa"/>
          <w:left w:w="28" w:type="dxa"/>
          <w:bottom w:w="28" w:type="dxa"/>
          <w:right w:w="28" w:type="dxa"/>
        </w:tblCellMar>
      </w:tblPr>
      <w:tblGrid>
        <w:gridCol w:w="124"/>
        <w:gridCol w:w="256"/>
        <w:gridCol w:w="47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7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of our Common Stock or other securities;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issuances of shares of Common Stock upon exercise or conversion of derivative securities, such as our outstanding Preferred Stock, Investor Notes, warrants and options.</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price at which our stockholders purchase shares of our Common Stock may not be indicative of the price that will prevail in the trading market. Our stockholders may be unable to sell their shares of Common Stock at or above such purchase price, which may result in substantial losses to such stockholders and which could include the complete loss of such stockholders’ investment. In the past, securities class action litigation has often been brought against a company following periods of stock price volatility. We may be the target of similar litigation in the future. Securities litigation could result in substantial costs and divert management’s attention and our resources away from our business. Any of the risks described above could adversely affect our sales and profitability and also the price of our Common Stock.</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market price for our Common Stock will be particularly volatile given our status as a relatively unknown company with a limited operating history and lack of profits, which could lead to wide fluctuations in our share price. Our stockholders may be unable to sell their Common Stock at or above their purchase price, which may result in substantial losses to such stockholders.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While there is a market for our Common Stock, our stock price in the future may be particularly volatile when compared to the shares of larger, more established companies with large public floats that trade on a national securities exchange. The volatility in our share price will be attributable to a number of factors. First, our Common Stock is, compared to the shares of such larger, more established companies, sporadically and thinly traded. As a consequence of this limited liquidity, the trading of relatively small quantities of shares by our stockholders may disproportionately influence the price of those shares in either direction. The price for our shares could decline precipitously in the event that a large number of shares of our Common Stock are sold on the market without commensurate demand. Secondly, we are a speculative or “risky” investment due to our limited operating history, lack of profitability, and uncertainty surrounding future market acceptance for our products. As a consequence of this enhanced risk, more risk-adverse investors may, under the fear of losing all or most of their investment in the event of negative news or lack of progress, be more inclined to sell their shares on the market more quickly and at greater discounts than would be the case with the stock of a larger, more established company with a large public float trading on a national securities exchange. Many of these factors are beyond our control and may decrease the market price of our Common Stock, regardless of our operating performance. We cannot make any predictions or projections as to what the prevailing market price for our Common Stock will be at any time.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FINRA sales practice requirements may also limit a stockholder’s ability to buy and sell our Common Stock, which could depress the price of our Common Stock.</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FINRA has adopted rules that require a broker-dealer to have reasonable grounds for believing that the investment is suitable for that customer before recommending an investment to a customer. Before recommending speculative low-priced securities to their non-institutional customers, broker-dealers must make reasonable efforts to obtain information about the customer’s financial status, tax status, investment objectives, and other information. Under interpretations of these rules, FINRA believes that there is a high probability that speculative low-priced securities will not be suitable for at least some customers. Thus, the FINRA requirements make it more difficult for broker-dealers to recommend that their customers buy our Common Stock, which may limit investors’ ability to buy and sell our shares of Common Stock, have an adverse effect on the market for our shares of Common Stock, and thereby depress the price per share of Common Stock.</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Because we hold a license to operate a cannabis business in Colorado and New Mexico, our stockholders may be required to make filings with the Colorado Marijuana Enforcement Division or the New Mexico Cannabis Control Division and we may be forced to redeem shares of our capital stock held by stockholders who are deemed “unsuitable” to be owners of our Company.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hold various licenses from the Colorado Marijuana Enforcement Division and the New Mexico Cannabis Control Division to operate a cannabis business in Colorado and New Mexico. As a result, beneficial owners with a 10% or greater interest are required to make filings with, and to be found suitable to be equity owners of a cannabis business in Colorado, by the Colorado Marijuana Enforcement Division. Our Bylaws provide that for as long as we hold (directly or indirectly) a license for a governmental agency to conduct our business, which license is conditioned upon some or all of our stockholders possessing certain qualifications, we may redeem any and all of our shares of capital stock to the extent necessary to prevent loss of such license or to reinstate such license. If we at any time determine, in our sole discretion, that one of our stockholders or an affiliate of a stockholder is unsuitable to be a direct or indirect equity owner of a cannabis business in Colorado or any other jurisdiction we may operate in where we are subject to other similar licensing or suitability requirements, we have the right, but not the obligation, to redeem such stockholder’s shares of capital stock at a redemption price described in Exhibit 4.1 to this Report. After redemption, a stockholder would only be allowed to own up to 9.99% of the Company. Company funds used to redeem an unsuitable stockholder will reduce funds available for operations and distributions. This redemption right may negatively impact potential investors’ willingness to invest in our Common Stock, which could negatively impact the trading price of our Common Stock. In addition, the provisions of the Articles of Incorporation related to the Preferred Stock and the Indenture provide for a similar redemption right in favor of the Company that is specific to the Preferred Stock and the Investor Notes if a holder of such securities or one of its affiliates is determined by an applicable state governmental authority to be unsuitable or disqualified from owning a direct or indirect interest in the Company.</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future results of operations may vary significantly, which could adversely affect the price of our Common Stock.</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It is possible that our quarterly and annual revenues and operating results may vary significantly in the future and that period-to-period comparisons of our revenues and operating results may not necessarily serve as meaningful indicators of or benchmarks for future performance. You should not rely on the results of any one quarter or year as an indication of our future performance. It is also possible that in some future quarters or years, our revenues and operating results will fall below our expectations or the expectations of market analysts and investors. If we do not meet these expectations, the price of our Common Stock may decline significantly.</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Preferred Stock, our right to issue additional preferred stock, our classified Board of Directors, the provisions of our Articles of Incorporation and Bylaws, and the concentration of Board appointment rights with a few insiders may delay or prevent a take-over that may not be in the best interests of our stockholders.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Preferred Stock and provisions of our Articles of Incorporation and Bylaws may be deemed to have anti-takeover effects, which include when and by whom special meetings of our stockholders may be called, and may delay, defer or prevent a takeover attempt.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existence and terms of our Preferred Stock and our Investor Notes, such as the ability of a majority of the holders of the Preferred Stock to require payment of a liquidation preference upon a change of control, the right of Note Holders to require the Company to repurchase for cash the Investor Notes in connection with a Change of Control (as defined in the Indenture), or the ability to convert shares of Preferred Stock and Investor Notes into Common Stock and the resulting changes in ownership interests of the Company, may prevent or impede a change of control transaction for the Company that could otherwise be in the best interests of the Company or its stockholders. Further, holders of Preferred Stock will be entitled to cast the number of votes equal to the number of whole shares of Common Stock into which the shares of Preferred Stock held are convertible as of the record date for determining stockholders entitled to vote on any matter presented to the Company’s stockholders for their action or consideration at any meeting (or by written consent in lieu of meeting), voting together with the holder of Common Stock as a single class. Therefore, holders of Preferred Stock have the ability to significantly influence the outcome on all matters requiring approval of our stockholders, including the election of directors and approval of a change of control transaction for the Company.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Further, our authorized capital consists of 250,000,000 shares of Common Stock and 10,000,000 shares of preferred stock, par value $0.001 per share. Our Board of Directors, without further vote by the stockholders, has the authority to issue shares of preferred stock and to determine the rights and preferences, price and restrictions, including but not limited to voting and dividend rights, of any such shares of preferred stock. The rights of the holders of Common Stock or Preferred Stock may be affected by the rights of holders of preferred stock that our Board of Directors may issue in the future.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we have a “classified” Board of Directors, which means that one-half of our directors are eligible for election each year. Therefore, if stockholders desire to change the composition of the Board of Directors, it may take at least two years to remove a majority of the existing directors or to change all directors. Having a classified Board of Directors may also, among other things, delay mergers, tender offers or other possible transactions that may be favored by some or a majority of stockholders, and may delay or frustrate stockholder action to change the then-current Board of Directors and management.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Certain members of our Board and principal stockholders also maintain the contractual right to nominate individuals to occupy eight of our nine director seats so long as they maintain certain agreed-upon ownership amounts, and our Board is required to recommend such nominees for election to the Board so long as the ownership requirements are met. This could frustrate our stockholders’ ability to nominate and successfully appoint qualified directors independent of management. The concentration of Board appointment rights in a small number of insiders could also create conflicts of interest that might result in actions not in the best interest of our stockholders if such conflicts are not sufficiently managed and assessed in accordance with sound corporate governance principles. </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management and principal stockholders could significantly influence or control matters requiring a stockholder vote, and other stockholders may not have the ability to influence corporate transactions.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Currently, management and our principal stockholders beneficially own a significant amount of our outstanding Common Stock and Preferred Stock. As a result, management and such principal stockholders have the ability to significantly influence the outcome of all matters requiring approval of our stockholders, including the election of directors and approval of significant corporate transactions. As of March 1, 2023, our executive officers and directors controlled more than a majority of the voting power of our capital stock, based on the number of shares of Common Stock and Preferred Stock outstanding as of such date or convertible into Common Stock within 60 days of such date. Therefore, management and our principal stockholders have the ability to significantly influence the outcome of all matters requiring approval of our stockholders, including the election of directors and approval of significant corporate transactions, such as a change of control transaction for the Company.</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classified as a “smaller reporting company,” and we cannot be certain if the reduced disclosure requirements applicable to smaller reporting companies will make our Common Stock and other securities less attractive to investors.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are classified as a “smaller reporting company” as defined in Item 10 of Regulation S-K. As such, we may take advantage of certain exemptions from various reporting requirements that are applicable to other public companies, including, but not limited to, not being required to comply with the auditor attestation requirements of Section 404 of the Sarbanes-Oxley Act and reduced disclosure obligations in our periodic reports and proxy statements. We cannot predict if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investors will find our Common Stock and other securities less attractive because we may rely on these exemptions. If some investors find our Common Stock or other securities less attractive as a result, there may be a less active trading market for our Common Stock and our stock price may be more volatile. Decreased disclosures in our SEC filings due to our status as a “smaller reporting company” may make it harder for investors to analyze our results of operations and financial prospects.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not paid dividends in the past and do not expect to pay dividends for the foreseeable future. Any return on investment may be limited to potential future appreciation in the value of our Common Stock.</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ability to pay dividends is restricted by the terms and provisions of our financing agreements, including but not limited to our Loan Agreement, the Indenture, and the provisions of our Articles of Incorporation related to our Preferred Stock. We currently intend to retain any future earnings to support the development and expansion of our business and do not anticipate paying cash dividends on our shares of Common Stock in the foreseeable future. Our payment of any future dividends will be at the discretion of our Board of Directors after taking into account various factors, including without limitation, our financial condition, operating results, cash needs, growth plans and the terms of any contractual provisions related to the payment of dividends that we may be a party to at the time. To the extent we do not pay dividends, our shares of Common Stock may be less valuable because a return on investment will only occur if and to the extent our stock price appreciates, for which there can be no guarantee. In addition, investors must rely on sales of their Common Stock after price appreciation as the only way to realize a return on their investment; if the price of our Common Stock does not appreciate, then there will be no return on investment. Investors seeking cash dividends should not purchase our Common Stock.</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Preferred Stock ranks senior to our Common Stock but junior to all of our existing and future liabilities in the event of a liquidation, winding up or dissolution of our business.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the event of liquidation, winding up or dissolution, our assets would be available to make payments to holders of our Preferred Stock only after all of our liabilities have been paid, and to holders of our Common Stock only after all of our liabilities have been paid and holder of our Preferred Stock have been paid. Our Preferred Stock ranks structurally senior to our Common Stock, but junior to all of our existing and future liabilities and those of our subsidiaries, such as our Loan Agreement and the Investor Notes, as well as the capital stock of our subsidiaries held by third parties and employees, whether now existing or created in the future, that issues shares or other equity interests to third parties or employees. In the event of bankruptcy, liquidation or winding up of the Company, there may not be sufficient assets remaining, after paying our and our subsidiaries’ liabilities, to pay any amounts to the holders of the Preferred Stock then outstanding, or, thereafter, to pay any amounts to the holders of the Common Stock then outstanding. Any liquidation, winding up or dissolution of the Company or of any of our wholly or partially-owned subsidiaries could have a material adverse effect on holders of the Preferred Stock or holders of the Common Stock.</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Relating to Information Technology, Data Privacy and Intellectual Property</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subject to risks related to our information technology systems, including the risk that we may be the subject of a cyber-attack and the risk that we may be in non-compliance with applicable privacy laws.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have entered into agreements with third parties for hardware, software, telecommunications and other information technology (“IT”), services in connection with our operations. Our operations depend, in part, on how well we and our vendors protect our networks, equipment, IT systems and software against damage from several threats, including, but not limited to, cable cuts, damage to physical plants, natural disasters, intentional damage and destruction, fire, power loss, hacking, computer viruses, vandalism, theft, malware, ransomware and phishing attacks. Any of these and other events could result in IT system failures, delays or increases in capital expenses. Our operations also depend on the timely maintenance, upgrade and replacement of networks, equipment, IT systems and software, as well as preemptive expenses to mitigate the risk of failures. The failure of IT systems or a component of IT systems could, depending on the nature of any such failure, adversely impact our reputation and have a material adverse effect on our prospects, business, financial condition and results of operations.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collect and store personal information about our consumers and are responsible for protecting that information from privacy breaches. Some of our consumers purchase our products for medical use. There are several laws protecting the confidentiality of certain patient health information and other personal information, including patient records, and restricting the use and disclosure of that protected information. In particular, in the U.S., the Privacy Act of 1974 (the “Privacy Act”), the Gramm-Leach-Bliley Act (the “GLBA”), the Health Insurance Portability and Accountability Act (“HIPAA”), and the Children’s Online Privacy Protection Act (“COPPA” and together with the Privacy Act, the GLBA, HIPAA, and COPPA the “U.S. Privacy Regulations”), the European Union’s General Data Protection Regulation (“GDPR”), the privacy rules under Canada’s Personal Information Protection and Electronics Documents Act (the “PIPEDA”), and similar laws in other jurisdictions, protect medical records and other personal health information by limiting their use and disclosure to the minimum level reasonably necessary to accomplish the intended purpose. A privacy breach may occur through an internal procedural or process failure, an IT malfunction or deliberate unauthorized intrusions. Theft of data for competitive purposes, particularly patient lists and preferences, is an ongoing risk whether perpetrated through employee collusion, negligence, or deliberate cyber-attack. Moreover, if we are found to be in violation of the U.S. Privacy Regulations, the GDPR, the PIPEDA, or other laws, including as a result of data theft and privacy breaches, we could be subject to sanctions and civil or criminal penalties, which could increase our liabilities and harm our reputation.</w:t>
      </w:r>
    </w:p>
    <w:p>
      <w:pPr>
        <w:pStyle w:val="TextBody"/>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cyber threats continue to evolve, we may be required to expend significant additional resources to continue to modify or enhance our protective measures or to investigate and remediate any information security vulnerabilities. While we have implemented security resources to protect our data security and information technology systems, such measures may not prevent such events. Significant disruption to our information technology system or breaches of data security could have a material adverse effect on our prospects, business, financial condition and results of operations.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may not be able to enforce our intellectual property as a result of our participation in the cannabis industry.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When entering into confidentially agreements with our employees, consultants, and corporate clients, we take what we believe are commercially reasonable steps to control access to and protect the distribution of our technologies, documentation, and other proprietary information. Despite efforts to protect our proprietary rights from unauthorized use or disclosure, parties may attempt to disclose, obtain, or use our products, solutions, or technologies. We cannot be certain that the steps we take will prevent misappropriation of our proprietary solutions or technologies. Further, this is particularly difficult in foreign countries where the laws or law enforcement may not provide as robust protection of the Company’s proprietary rights as compared to United States laws and law enforcement. As of the date of this report, we are shipping nutrients outside of the United States, but we do not currently conduct any operations outside of the United States or any territory thereof. The Company does not have current plans to expand its operations to foreign jurisdictions.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Because the manufacture, cultivation) sale, possession and use of cannabis is illegal under federal law, cannabis-related businesses may have restricted intellectual property rights particularly with respect to obtaining trademarks and enforcing patents. If we are unable to register or maintain our trademarks, or file for or enforce patents on any of our inventions, such an inability could materially affect our ability to protect our name and proprietary technologies. In addition, cannabis businesses may face court action by third parties under RICO. Our intellectual property rights could be impaired as a result of our cannabis-related business, and we could be named as a defendant in an action asserting a RICO violation.</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There can be no assurance that third parties will not assert claims of infringement against us.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Others may claim rights to the same technology or trade secrets we currently utilize or may utilize in the future.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From time to time, we may be subject to claims in the ordinary course of our business, including claims of alleged infringement of the trademarks, patents and other intellectual property rights of third parties by us. Any such claims, or any resultant litigation, should it occur, could subject us to significant liability for damages and could result in the invalidation of our contractual proprietary rights. In addition, even if we were to win any such litigation, such litigation could be time-consuming and expensive to defend and could result in the diversion of time and attention, any of which could have a material adverse effect on our prospects, business, financial condition and results of operations. Any claims or litigation may also result in limitations on our ability to use such trademarks, patents and other intellectual property unless we enter into arrangement with such third parties, which may be unavailable on commercially reasonable terms.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General Risk Factors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dependent upon our management and corporate support employees to continue our growth.</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There are no assurances we will be able to continue or sustain our growth. However, if we are able to continue and sustain our growth in a sustainable fashion, we will need to significantly expand our administrative facilities, which we believe is and will remain necessary to address potential market opportunities. Rapid growth will place a significant strain on our management, operational and financial resources. Our success is principally dependent on our competent management personnel and our corporate support staff for the operation of our business.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may not be able to hire or retain qualified staff. If qualified and skilled staff are not attracted and retained, growth of our business may be limited. The ability to provide high quality service will depend on attracting and retaining qualified staff, as well as professionals with experience relevant to our market, including marketing, technology, and general experience in the cannabis industry. There will be competition for personnel with these skill sets. Some technical job categories may experience severe shortages in the United States due to general economic conditions, the COVID-19 pandemic, lack of experience, and other similar constraints on the U.S. labor market.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ability to deliver quality services depends on our ability to manage and expand our marketing, operational and distribution systems, recruit additional qualified employees, and train, manage, and motivate both current and new employees. Failure to effectively manage our employees and labor resources would have a material adverse effect on our business.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general market conditions in the United States may have a significant impact on our business.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success of our business is affected by general economic and market conditions. We will remain susceptible to future economic recessions or downturns, and any significant adverse shift in general economic conditions, whether local, regional or national, could have a material adverse effect on our prospects, business, financial condition and results of operations. During such periods of adverse economic conditions, we may experience reduced demand for our products and services, which will result in, among other things, decreased revenues and financial losses. In addition, during periods of adverse economic conditions, we may have difficulty accessing financial markets or face increased funding costs, which could make it more difficult or impossible for us to obtain additional financing if needed.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 xml:space="preserve">We cannot ensure that we will always be able to maintain adequate internal controls.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Effective internal controls are necessary for us to provide reliable financial reports and to help prevent fraud. Although we will undertake several procedures and will implement a number of safeguards, in each case, in order to help ensure the reliability of our financial reports, including those imposed under U.S. securities law, we cannot be certain that such measures will ensure that we will always be able to maintain adequate internal controls over financial processes and disclosure. Failure to implement required new or improved controls, or difficulties encountered in their implementation, could harm our results of operations or cause us to fail to meet our reporting obligations. If we or our auditors discover a material weakness, the disclosure of that fact, even if quickly remedied, could reduce the market’s confidence in our consolidated financial statements and materially adversely affect the value or trading price of our securities, which could in turn impact our prospects, business, financial condition and results of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The estimates and judgments we make, or the assumptions on which we rely, in preparing our consolidated financial statements could prove inaccurate.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consolidated financial statements have been prepared in accordance with accounting principles generally accepted in the United States of America (“GAAP”). The preparation of these consolidated financial statements requires us to make estimates and judgments that affect the reported amounts of our assets, liabilities, revenues and expenses, the amounts of charges accrued by us and related disclosure of contingent assets and liabilities. We base our estimates on historical experience and on various other assumptions that we believe to be reasonable under the circumstances. We cannot assure, however, that our estimates, or the assumptions underlying them, will not change over time or otherwise prove inaccurate. Any potential litigation related to the estimates and judgments we make, or the assumptions on which we rely, in preparing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consolidated financial statements could have a material adverse effect on our financial results, harm our business, and cause our share price to decline.</w:t>
      </w:r>
    </w:p>
    <w:p>
      <w:pPr>
        <w:pStyle w:val="TextBody"/>
        <w:spacing w:before="360" w:after="0"/>
        <w:ind w:left="0" w:right="0" w:hanging="0"/>
        <w:rPr>
          <w:rFonts w:ascii="Times New Roman;Times;serif" w:hAnsi="Times New Roman;Times;serif"/>
          <w:b/>
          <w:i/>
          <w:sz w:val="20"/>
        </w:rPr>
      </w:pPr>
      <w:r>
        <w:rPr>
          <w:rFonts w:ascii="Times New Roman;Times;serif" w:hAnsi="Times New Roman;Times;serif"/>
          <w:b/>
          <w:i/>
          <w:sz w:val="20"/>
        </w:rPr>
        <w:t>Climate change could exacerbate certain of the risks inherent in our agricultural operations.</w:t>
      </w:r>
    </w:p>
    <w:p>
      <w:pPr>
        <w:pStyle w:val="TextBody"/>
        <w:spacing w:before="120" w:after="0"/>
        <w:ind w:left="0" w:right="0" w:hanging="0"/>
        <w:jc w:val="both"/>
        <w:rPr>
          <w:rFonts w:ascii="Times New Roman;Times;serif" w:hAnsi="Times New Roman;Times;serif"/>
          <w:sz w:val="20"/>
        </w:rPr>
      </w:pPr>
      <w:r>
        <w:rPr>
          <w:rFonts w:ascii="Times New Roman;Times;serif" w:hAnsi="Times New Roman;Times;serif"/>
          <w:sz w:val="20"/>
        </w:rPr>
        <w:t xml:space="preserve">Climate change could result in increasing frequency and severity of weather-related events, resource shortages, changes in rainfall and storm patterns and intensities, water shortages and changing temperatures, any of which can damage or destroy crops, resulting in us having no or limited cannabis to process. If we are unable to harvest cannabis through our proprietary cultivation operations, our ability to meet customer demand, generate sales, and maintain operations will be impacted. Climate change is most likely to disrupt our operations by impacting the availability and costs of materials and resources needed for production, and it could increase insurance, compliance, and other operating costs. </w:t>
      </w:r>
    </w:p>
    <w:p>
      <w:pPr>
        <w:pStyle w:val="TextBody"/>
        <w:spacing w:before="120" w:after="0"/>
        <w:ind w:left="0" w:right="0" w:hanging="0"/>
        <w:jc w:val="both"/>
        <w:rPr>
          <w:rFonts w:ascii="Times New Roman;Times;serif" w:hAnsi="Times New Roman;Times;serif"/>
          <w:sz w:val="20"/>
        </w:rPr>
      </w:pPr>
      <w:r>
        <w:rPr>
          <w:rFonts w:ascii="Times New Roman;Times;serif" w:hAnsi="Times New Roman;Times;serif"/>
          <w:sz w:val="20"/>
        </w:rPr>
        <w:t xml:space="preserve">While most of our cultivation operations are conducted indoors, we may be directly or indirectly exposed to climate change risk from natural disasters, changes in weather patterns and severe weather, which may result in physical damage to our cultivation and processing facilities, potentially requiring expenditures to respond during the event, to recover from the event, and to possibly modify existing or future infrastructure requirements to prevent recurrence. Such damage may result in disrupted operations, and it may be difficult for us to continue its business for a substantial period of time, which could materially adversely impact our business, financial condition or operating results and could cause the market value of our stock to decline. </w:t>
      </w:r>
    </w:p>
    <w:p>
      <w:pPr>
        <w:pStyle w:val="TextBody"/>
        <w:spacing w:before="120" w:after="0"/>
        <w:ind w:left="0" w:right="0" w:hanging="0"/>
        <w:jc w:val="both"/>
        <w:rPr>
          <w:rFonts w:ascii="Times New Roman;Times;serif" w:hAnsi="Times New Roman;Times;serif"/>
          <w:sz w:val="20"/>
        </w:rPr>
      </w:pPr>
      <w:r>
        <w:rPr>
          <w:rFonts w:ascii="Times New Roman;Times;serif" w:hAnsi="Times New Roman;Times;serif"/>
          <w:sz w:val="20"/>
        </w:rPr>
        <w:t>In addition, climate change has continued to attract the focus of governments, the scientific community and the general public as an important threat, given the emission of greenhouse gases and other activities continue to negatively impact the planet. We face the risk that our operations will be subject to government initiatives aimed at countering climate change, which could impose constraints on our operational flexibility or require additional expenses or infrastructure changes to comply with such initiatives.</w:t>
      </w:r>
    </w:p>
    <w:p>
      <w:pPr>
        <w:pStyle w:val="TextBody"/>
        <w:spacing w:before="120" w:after="0"/>
        <w:ind w:left="0" w:right="0" w:hanging="0"/>
        <w:jc w:val="both"/>
        <w:rPr/>
      </w:pPr>
      <w:r>
        <w:rPr/>
        <w: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Epidemics, pandemics, including the COVID-19 pandemic, and other health crises could adversely affect our business, financial condition and results of operations.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global outbreak of the novel strain of the coronavirus known as COVID-19 resulted in governments worldwide enacting emergency measures to combat the spread of the virus. These measures, which include the implementation of travel bans, self-imposed quarantine periods and social distancing, caused material disruption to businesses globally, resulting in an economic slowdown. Global equity markets have experienced significant volatility and weakness. Governments and central banks have reacted with significant monetary and fiscal interventions designed to stabilize economic conditions. The duration and impact of the COVID-19 outbreak is unknown at this time, as is the efficacy of the government and central bank interventions. It is not possible to reliably estimate the length and severity of these developments or their impact on our financial results and condition. Thus far, the COVID-19 pandemic has not had a material adverse effect on our business, financial condition and results of operations.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Nonetheless, our business could be materially and adversely affected by the risks, or the public perception of the risks, related to the COVID-19 pandemic. The risk of a pandemic, or public perception of such a risk, could cause customers to avoid public places, including our retail properties, and could cause temporary or long-term disruptions in our supply chains and/or delays in the delivery of our products. These risks could also adversely affect our customers’ financial condition, resulting in reduced spending for the products we sell. Moreover, any epidemic, pandemic, outbreak or other public health crisis, including COVID-19, could cause our employees to avoid public spaces, which could adversely affect our ability to adequately staff and manage our businesses. “Shelter-in-place” or other such orders by governmental entities could also disrupt our operations if employees who cannot work remotely are not able to report to work. Risks related to an epidemic, pandemic or other health crisis, such as COVID-19, could also lead to the complete or partial closure of one or more of our stores or other facilities. Although our dispensaries were considered essential services through the COVID-19 pandemic and therefore were allowed to remain operational, there can be no guarantee that our adult-use operations will continue to be allowed to remain open during a pandemic or other health crisis or that our retail dispensary operations would be deemed essential.</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ultimate extent of the impact of any epidemic, pandemic or other health crisis on our business, financial condition and results of operations will depend on future developments, which are highly uncertain and cannot be predicted, including new information that may emerge concerning the severity of such epidemic, pandemic or other health crisis and actions taken to contain or prevent its further spread, among others. These and other potential impacts of an epidemic, pandemic or other health crisis, such as COVID-19, could therefore materially and adversely affect our business, financial condition, growth strategies and results of operations.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may incur losses as a result of unforeseen or catastrophic events.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occurrence of unforeseen or catastrophic events such as terrorist attacks, social unrest, extreme terrestrial or solar weather events or other natural disasters, emergence or continuation of a pandemic (such as COVID-19), or other widespread health emergencies (or concerns over the possibility of such an emergency), could create economic and financial disruptions, which could lead to operational difficulties that could impair our ability to manage our business. We operate in a new and novel industry for which there is no precedent or historical data to indicate how the industry, or the Company, would be impacted by such an event.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Tax and accounting requirements may change in ways that are unforeseen to us and we may face difficulty or be unable to implement or comply with any such changes.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are subject to numerous tax and accounting requirements, and changes in existing accounting or taxation rules or practices, or varying interpretations of current rules or practices could have a significant adverse effect on our financial results, the manner in which we conduct our business or the marketability of any of our products. Our operations, and any expansion thereto, will require us to comply with the tax laws and regulations of multiple jurisdictions, which may vary substantially. Complying with the tax laws of these jurisdictions can be time consuming and expensive and could potentially subject us to penalties and fees in the future if we were to fail to comply.</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Due to our limited financial resources, litigation could negatively impact our financial condition even if such claims are without merit.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Litigation is used as a competitive tactic by both established companies seeking to protect their existing position in a given market and emerging companies attempting to gain access to a market. In such litigation, complaints may be filed on a variety of grounds, including but not limited to antitrust violations, breach of contract, trade secret, patent or copyright infringement, patent or copyright invalidity and unfair business practices. If we are forced to defend ourselves against such claims, whether or not meritorious, we are likely to incur substantial expense and diversion of management attention, which could result in market confusion and the reluctance of licensees and distributors to commit resources to our operations.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requirements of being a public company may strain our resources, divert management’s attention, and affect our ability to attract and retain executive management and qualified board members.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a public company, we are subject to the reporting requirements of the Exchange Act, the Sarbanes-Oxley Act of 2002, the Dodd-Frank Wall Street Reform and Consumer Protection Act, and other applicable securities rules and regulations. Compliance with these rules and regulations is costly, makes some activities more difficult, time-consuming or costly, and requires us to maintain and have available specialized systems and resources. The Exchange Act requires, among other things, that we file annual, quarterly and current periodic reports with respect to our business and operating results.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 We may need to hire more employees in the future or engage outside consultants to comply with these requirements, which will increase our operating costs and expenses.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addition, changing laws, regulations and standards relating to corporate governance and public disclosure are creating uncertainty for public companies, increasing legal and financial compliance costs and making some activities more time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Being a public company, rules and regulations may make it more expensive for us to obtain director and officer liability insurance. These factors could also make it more difficult for us to attract and retain qualified members of our Board of Directors, particularly to serve on our audit committee and compensation committee, and qualified executive officers. Also, our business and financial condition are visible to the public, which we believe may result in threatened or actual litigation, including by competitors and other third parties. If such claims are successful, our business and operating results could be adversely affected. Even if potential future claims do not result in litigation or are resolved in our favor, the time and resources necessary to resolve such claims could divert the attention and resources of management and adversely affect our business and operating results. </w:t>
      </w:r>
    </w:p>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sz w:val="20"/>
        </w:rPr>
      </w:pPr>
      <w:bookmarkStart w:id="20" w:name="ITEM1BUNRESOLVEDSTAFFCOMMENTS_669292"/>
      <w:bookmarkStart w:id="21" w:name="_10ad6ce6_38e3_4968_84e2_9e77727dc13b"/>
      <w:bookmarkEnd w:id="20"/>
      <w:bookmarkEnd w:id="21"/>
      <w:r>
        <w:rPr>
          <w:rFonts w:ascii="Times New Roman;Times;serif" w:hAnsi="Times New Roman;Times;serif"/>
          <w:b/>
          <w:i w:val="false"/>
          <w:caps w:val="false"/>
          <w:smallCaps w:val="false"/>
          <w:sz w:val="20"/>
        </w:rPr>
        <w:t>ITEM 1B.</w:t>
      </w:r>
      <w:r>
        <w:rPr>
          <w:rFonts w:ascii="Times New Roman;Times;serif" w:hAnsi="Times New Roman;Times;serif"/>
          <w:b/>
          <w:sz w:val="20"/>
        </w:rPr>
        <w:t>UNRESOLVED STAFF COMMENTS.</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bookmarkStart w:id="22" w:name="ITEM2PROPERTIES_884650"/>
      <w:bookmarkStart w:id="23" w:name="_6a297f1c_644f_4fba_82e9_b773cfd0efc0"/>
      <w:bookmarkEnd w:id="22"/>
      <w:bookmarkEnd w:id="23"/>
      <w:r>
        <w:rPr>
          <w:rFonts w:ascii="Times New Roman;Times;serif" w:hAnsi="Times New Roman;Times;serif"/>
          <w:b/>
          <w:i w:val="false"/>
          <w:caps w:val="false"/>
          <w:smallCaps w:val="false"/>
          <w:sz w:val="20"/>
        </w:rPr>
        <w:t>ITEM 2.</w:t>
      </w:r>
      <w:r>
        <w:rPr>
          <w:rFonts w:ascii="Times New Roman;Times;serif" w:hAnsi="Times New Roman;Times;serif"/>
          <w:b/>
          <w:sz w:val="20"/>
        </w:rPr>
        <w:t>PROPERTIES.</w:t>
      </w:r>
      <w:r>
        <w:rPr>
          <w:rFonts w:ascii="Times New Roman;Times;serif" w:hAnsi="Times New Roman;Times;serif"/>
          <w:sz w:val="20"/>
        </w:rPr>
        <w:t xml:space="preserve"> </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Company’s headquarters is located in Denver, Colorado. As of March 15, 2023, the Company leases 44 retail properties and nine wholesale properties pursuant to leases with terms varying from ten months to 11 years, and it owns one retail property and one wholesale property. </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following table sets forth the Company’s material properties within each reporting segment. </w:t>
      </w:r>
    </w:p>
    <w:p>
      <w:pPr>
        <w:pStyle w:val="TextBody"/>
        <w:spacing w:before="0" w:after="240"/>
        <w:ind w:left="0" w:right="0" w:hanging="0"/>
        <w:jc w:val="both"/>
        <w:rPr/>
      </w:pPr>
      <w:r>
        <w:rPr/>
        <w:t>​</w:t>
      </w:r>
    </w:p>
    <w:tbl>
      <w:tblPr>
        <w:tblW w:w="10205" w:type="dxa"/>
        <w:jc w:val="left"/>
        <w:tblInd w:w="0" w:type="dxa"/>
        <w:tblCellMar>
          <w:top w:w="0" w:type="dxa"/>
          <w:left w:w="0" w:type="dxa"/>
          <w:bottom w:w="0" w:type="dxa"/>
          <w:right w:w="0" w:type="dxa"/>
        </w:tblCellMar>
      </w:tblPr>
      <w:tblGrid>
        <w:gridCol w:w="2956"/>
        <w:gridCol w:w="4511"/>
        <w:gridCol w:w="1496"/>
        <w:gridCol w:w="1242"/>
      </w:tblGrid>
      <w:tr>
        <w:trPr/>
        <w:tc>
          <w:tcPr>
            <w:tcW w:w="2956" w:type="dxa"/>
            <w:tcBorders/>
            <w:shd w:fill="auto" w:val="clear"/>
            <w:vAlign w:val="center"/>
          </w:tcPr>
          <w:p>
            <w:pPr>
              <w:pStyle w:val="TableContents"/>
              <w:spacing w:before="0" w:after="0"/>
              <w:ind w:left="0" w:right="0" w:hanging="0"/>
              <w:rPr/>
            </w:pPr>
            <w:r>
              <w:rPr/>
              <w:t>​</w:t>
            </w:r>
          </w:p>
          <w:p>
            <w:pPr>
              <w:pStyle w:val="TableContents"/>
              <w:spacing w:before="0" w:after="0"/>
              <w:ind w:left="0" w:right="0" w:hanging="0"/>
              <w:rPr/>
            </w:pPr>
            <w:r>
              <w:rPr/>
              <w:t>​</w:t>
            </w:r>
          </w:p>
          <w:p>
            <w:pPr>
              <w:pStyle w:val="TableContents"/>
              <w:spacing w:before="0" w:after="0"/>
              <w:ind w:left="0" w:right="0" w:hanging="0"/>
              <w:rPr/>
            </w:pPr>
            <w:r>
              <w:rPr/>
              <w:t>​</w:t>
            </w:r>
          </w:p>
        </w:tc>
        <w:tc>
          <w:tcPr>
            <w:tcW w:w="4511" w:type="dxa"/>
            <w:tcBorders/>
            <w:shd w:fill="auto" w:val="clear"/>
            <w:vAlign w:val="center"/>
          </w:tcPr>
          <w:p>
            <w:pPr>
              <w:pStyle w:val="TableContents"/>
              <w:spacing w:before="0" w:after="283"/>
              <w:ind w:left="0" w:right="0" w:hanging="0"/>
              <w:rPr>
                <w:sz w:val="4"/>
                <w:szCs w:val="4"/>
              </w:rPr>
            </w:pPr>
            <w:r>
              <w:rPr>
                <w:sz w:val="4"/>
                <w:szCs w:val="4"/>
              </w:rPr>
            </w:r>
          </w:p>
        </w:tc>
        <w:tc>
          <w:tcPr>
            <w:tcW w:w="1496" w:type="dxa"/>
            <w:tcBorders/>
            <w:shd w:fill="auto" w:val="clear"/>
            <w:vAlign w:val="center"/>
          </w:tcPr>
          <w:p>
            <w:pPr>
              <w:pStyle w:val="TableContents"/>
              <w:spacing w:before="0" w:after="283"/>
              <w:ind w:left="0" w:right="0" w:hanging="0"/>
              <w:rPr>
                <w:sz w:val="4"/>
                <w:szCs w:val="4"/>
              </w:rPr>
            </w:pPr>
            <w:r>
              <w:rPr>
                <w:sz w:val="4"/>
                <w:szCs w:val="4"/>
              </w:rPr>
            </w:r>
          </w:p>
        </w:tc>
        <w:tc>
          <w:tcPr>
            <w:tcW w:w="1242" w:type="dxa"/>
            <w:tcBorders/>
            <w:shd w:fill="auto" w:val="clear"/>
            <w:vAlign w:val="center"/>
          </w:tcPr>
          <w:p>
            <w:pPr>
              <w:pStyle w:val="TableContents"/>
              <w:spacing w:before="0" w:after="283"/>
              <w:ind w:left="0" w:right="0" w:hanging="0"/>
              <w:rPr>
                <w:sz w:val="4"/>
                <w:szCs w:val="4"/>
              </w:rPr>
            </w:pPr>
            <w:r>
              <w:rPr>
                <w:sz w:val="4"/>
                <w:szCs w:val="4"/>
              </w:rPr>
            </w:r>
          </w:p>
        </w:tc>
      </w:tr>
      <w:tr>
        <w:trPr/>
        <w:tc>
          <w:tcPr>
            <w:tcW w:w="2956" w:type="dxa"/>
            <w:tcBorders/>
            <w:shd w:fill="auto" w:val="clear"/>
            <w:vAlign w:val="center"/>
          </w:tcPr>
          <w:p>
            <w:pPr>
              <w:pStyle w:val="TableContents"/>
              <w:spacing w:before="0" w:after="0"/>
              <w:ind w:left="0" w:right="0" w:hanging="0"/>
              <w:rPr/>
            </w:pPr>
            <w:r>
              <w:rPr/>
              <w:t>​</w:t>
            </w:r>
          </w:p>
          <w:p>
            <w:pPr>
              <w:pStyle w:val="TableContents"/>
              <w:spacing w:before="0" w:after="0"/>
              <w:ind w:left="0" w:right="0" w:hanging="0"/>
              <w:rPr/>
            </w:pPr>
            <w:r>
              <w:rPr/>
              <w:t>​</w:t>
            </w:r>
          </w:p>
          <w:p>
            <w:pPr>
              <w:pStyle w:val="TableContents"/>
              <w:spacing w:before="0" w:after="0"/>
              <w:ind w:left="0" w:right="0" w:hanging="0"/>
              <w:rPr/>
            </w:pPr>
            <w:r>
              <w:rPr/>
              <w:t>​</w:t>
            </w:r>
          </w:p>
        </w:tc>
        <w:tc>
          <w:tcPr>
            <w:tcW w:w="4511" w:type="dxa"/>
            <w:tcBorders/>
            <w:shd w:fill="auto" w:val="clear"/>
            <w:vAlign w:val="center"/>
          </w:tcPr>
          <w:p>
            <w:pPr>
              <w:pStyle w:val="TableContents"/>
              <w:spacing w:before="0" w:after="283"/>
              <w:ind w:left="0" w:right="0" w:hanging="0"/>
              <w:rPr>
                <w:sz w:val="4"/>
                <w:szCs w:val="4"/>
              </w:rPr>
            </w:pPr>
            <w:r>
              <w:rPr>
                <w:sz w:val="4"/>
                <w:szCs w:val="4"/>
              </w:rPr>
            </w:r>
          </w:p>
        </w:tc>
        <w:tc>
          <w:tcPr>
            <w:tcW w:w="1496" w:type="dxa"/>
            <w:tcBorders/>
            <w:shd w:fill="auto" w:val="clear"/>
            <w:vAlign w:val="center"/>
          </w:tcPr>
          <w:p>
            <w:pPr>
              <w:pStyle w:val="TableContents"/>
              <w:spacing w:before="0" w:after="283"/>
              <w:ind w:left="0" w:right="0" w:hanging="0"/>
              <w:rPr>
                <w:sz w:val="4"/>
                <w:szCs w:val="4"/>
              </w:rPr>
            </w:pPr>
            <w:r>
              <w:rPr>
                <w:sz w:val="4"/>
                <w:szCs w:val="4"/>
              </w:rPr>
            </w:r>
          </w:p>
        </w:tc>
        <w:tc>
          <w:tcPr>
            <w:tcW w:w="1242" w:type="dxa"/>
            <w:tcBorders/>
            <w:shd w:fill="auto" w:val="clear"/>
            <w:vAlign w:val="center"/>
          </w:tcPr>
          <w:p>
            <w:pPr>
              <w:pStyle w:val="TableContents"/>
              <w:spacing w:before="0" w:after="283"/>
              <w:ind w:left="0" w:right="0" w:hanging="0"/>
              <w:rPr>
                <w:sz w:val="4"/>
                <w:szCs w:val="4"/>
              </w:rPr>
            </w:pPr>
            <w:r>
              <w:rPr>
                <w:sz w:val="4"/>
                <w:szCs w:val="4"/>
              </w:rPr>
            </w:r>
          </w:p>
        </w:tc>
      </w:tr>
      <w:tr>
        <w:trPr/>
        <w:tc>
          <w:tcPr>
            <w:tcW w:w="2956"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Description</w:t>
            </w:r>
          </w:p>
        </w:tc>
        <w:tc>
          <w:tcPr>
            <w:tcW w:w="4511"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Location</w:t>
            </w:r>
          </w:p>
        </w:tc>
        <w:tc>
          <w:tcPr>
            <w:tcW w:w="1496"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Segment</w:t>
            </w:r>
          </w:p>
        </w:tc>
        <w:tc>
          <w:tcPr>
            <w:tcW w:w="1242"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Leased / Owned</w:t>
            </w:r>
          </w:p>
        </w:tc>
      </w:tr>
      <w:tr>
        <w:trPr/>
        <w:tc>
          <w:tcPr>
            <w:tcW w:w="10205" w:type="dxa"/>
            <w:gridSpan w:val="4"/>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Colorado</w:t>
            </w:r>
          </w:p>
        </w:tc>
      </w:tr>
      <w:tr>
        <w:trPr/>
        <w:tc>
          <w:tcPr>
            <w:tcW w:w="2956"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Corporate Headquarters</w:t>
            </w:r>
          </w:p>
        </w:tc>
        <w:tc>
          <w:tcPr>
            <w:tcW w:w="4511"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4880 Havana Street, Suite 201</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Denver, Colorado</w:t>
            </w:r>
          </w:p>
        </w:tc>
        <w:tc>
          <w:tcPr>
            <w:tcW w:w="1496"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w:t>
            </w:r>
          </w:p>
        </w:tc>
        <w:tc>
          <w:tcPr>
            <w:tcW w:w="1242"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Leased</w:t>
            </w:r>
          </w:p>
        </w:tc>
      </w:tr>
      <w:tr>
        <w:trPr/>
        <w:tc>
          <w:tcPr>
            <w:tcW w:w="2956"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Colorado Manufacturing</w:t>
            </w:r>
          </w:p>
        </w:tc>
        <w:tc>
          <w:tcPr>
            <w:tcW w:w="4511"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30899 Highway 50 East, Buildings A-D, Pueblo, Colorado</w:t>
            </w:r>
          </w:p>
        </w:tc>
        <w:tc>
          <w:tcPr>
            <w:tcW w:w="1496"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Wholesale, Retail</w:t>
            </w:r>
          </w:p>
        </w:tc>
        <w:tc>
          <w:tcPr>
            <w:tcW w:w="1242"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Leased</w:t>
            </w:r>
          </w:p>
        </w:tc>
      </w:tr>
      <w:tr>
        <w:trPr/>
        <w:tc>
          <w:tcPr>
            <w:tcW w:w="2956"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SCG Grow</w:t>
            </w:r>
          </w:p>
        </w:tc>
        <w:tc>
          <w:tcPr>
            <w:tcW w:w="4511"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853 Greenhorn Mountain Circle</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Rye, Colorado</w:t>
            </w:r>
          </w:p>
        </w:tc>
        <w:tc>
          <w:tcPr>
            <w:tcW w:w="1496"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Wholesale</w:t>
            </w:r>
          </w:p>
        </w:tc>
        <w:tc>
          <w:tcPr>
            <w:tcW w:w="1242"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Owned</w:t>
            </w:r>
          </w:p>
        </w:tc>
      </w:tr>
      <w:tr>
        <w:trPr/>
        <w:tc>
          <w:tcPr>
            <w:tcW w:w="2956"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Brow Grow</w:t>
            </w:r>
          </w:p>
        </w:tc>
        <w:tc>
          <w:tcPr>
            <w:tcW w:w="4511"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4715 N Colorado Blvd, Denver, Colorado</w:t>
            </w:r>
          </w:p>
        </w:tc>
        <w:tc>
          <w:tcPr>
            <w:tcW w:w="1496"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Wholesale</w:t>
            </w:r>
          </w:p>
        </w:tc>
        <w:tc>
          <w:tcPr>
            <w:tcW w:w="1242"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Leased</w:t>
            </w:r>
          </w:p>
        </w:tc>
      </w:tr>
      <w:tr>
        <w:trPr/>
        <w:tc>
          <w:tcPr>
            <w:tcW w:w="2956"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York Grow *</w:t>
            </w:r>
          </w:p>
        </w:tc>
        <w:tc>
          <w:tcPr>
            <w:tcW w:w="4511"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4228 N. York Street, Unit 101, Denver Colorado</w:t>
            </w:r>
          </w:p>
        </w:tc>
        <w:tc>
          <w:tcPr>
            <w:tcW w:w="1496"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Wholesale</w:t>
            </w:r>
          </w:p>
        </w:tc>
        <w:tc>
          <w:tcPr>
            <w:tcW w:w="1242"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Leased</w:t>
            </w:r>
          </w:p>
        </w:tc>
      </w:tr>
      <w:tr>
        <w:trPr/>
        <w:tc>
          <w:tcPr>
            <w:tcW w:w="2956"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Urban Grow</w:t>
            </w:r>
          </w:p>
        </w:tc>
        <w:tc>
          <w:tcPr>
            <w:tcW w:w="4511"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4850 Jackson Street</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Denver, Colorado</w:t>
            </w:r>
          </w:p>
        </w:tc>
        <w:tc>
          <w:tcPr>
            <w:tcW w:w="1496"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Wholesale</w:t>
            </w:r>
          </w:p>
        </w:tc>
        <w:tc>
          <w:tcPr>
            <w:tcW w:w="1242"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Leased</w:t>
            </w:r>
          </w:p>
        </w:tc>
      </w:tr>
      <w:tr>
        <w:trPr/>
        <w:tc>
          <w:tcPr>
            <w:tcW w:w="2956"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The Big Tomato</w:t>
            </w:r>
          </w:p>
        </w:tc>
        <w:tc>
          <w:tcPr>
            <w:tcW w:w="4511"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695 Billings Street, Units A-F, Aurora, Colorado</w:t>
            </w:r>
          </w:p>
        </w:tc>
        <w:tc>
          <w:tcPr>
            <w:tcW w:w="1496"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Wholesale</w:t>
            </w:r>
          </w:p>
        </w:tc>
        <w:tc>
          <w:tcPr>
            <w:tcW w:w="1242"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Leased</w:t>
            </w:r>
          </w:p>
        </w:tc>
      </w:tr>
      <w:tr>
        <w:trPr/>
        <w:tc>
          <w:tcPr>
            <w:tcW w:w="2956"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Star Buds Arapahoe</w:t>
            </w:r>
          </w:p>
        </w:tc>
        <w:tc>
          <w:tcPr>
            <w:tcW w:w="4511"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14655 E. Arapahoe Road, Aurora, Colorado</w:t>
            </w:r>
          </w:p>
        </w:tc>
        <w:tc>
          <w:tcPr>
            <w:tcW w:w="1496"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Retail</w:t>
            </w:r>
          </w:p>
        </w:tc>
        <w:tc>
          <w:tcPr>
            <w:tcW w:w="1242"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Leased</w:t>
            </w:r>
          </w:p>
        </w:tc>
      </w:tr>
      <w:tr>
        <w:trPr/>
        <w:tc>
          <w:tcPr>
            <w:tcW w:w="2956"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Emerald Fields Manitou</w:t>
            </w:r>
          </w:p>
        </w:tc>
        <w:tc>
          <w:tcPr>
            <w:tcW w:w="4511"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27 Manitou Avenue, Manitou Springs, Colorado </w:t>
            </w:r>
          </w:p>
        </w:tc>
        <w:tc>
          <w:tcPr>
            <w:tcW w:w="1496"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Retail</w:t>
            </w:r>
          </w:p>
        </w:tc>
        <w:tc>
          <w:tcPr>
            <w:tcW w:w="1242"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Owned</w:t>
            </w:r>
          </w:p>
        </w:tc>
      </w:tr>
      <w:tr>
        <w:trPr/>
        <w:tc>
          <w:tcPr>
            <w:tcW w:w="2956"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Star Buds Louisville</w:t>
            </w:r>
          </w:p>
        </w:tc>
        <w:tc>
          <w:tcPr>
            <w:tcW w:w="4511"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1156 W Dillon Road</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Louisville, Colorado</w:t>
            </w:r>
          </w:p>
        </w:tc>
        <w:tc>
          <w:tcPr>
            <w:tcW w:w="1496"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Retail</w:t>
            </w:r>
          </w:p>
        </w:tc>
        <w:tc>
          <w:tcPr>
            <w:tcW w:w="1242"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Leased</w:t>
            </w:r>
          </w:p>
        </w:tc>
      </w:tr>
      <w:tr>
        <w:trPr/>
        <w:tc>
          <w:tcPr>
            <w:tcW w:w="2956"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Star Buds Pecos</w:t>
            </w:r>
          </w:p>
        </w:tc>
        <w:tc>
          <w:tcPr>
            <w:tcW w:w="4511"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1451 Cortez Street</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Denver, Colorado</w:t>
            </w:r>
          </w:p>
        </w:tc>
        <w:tc>
          <w:tcPr>
            <w:tcW w:w="1496"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Retail</w:t>
            </w:r>
          </w:p>
        </w:tc>
        <w:tc>
          <w:tcPr>
            <w:tcW w:w="1242"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Leased</w:t>
            </w:r>
          </w:p>
        </w:tc>
      </w:tr>
      <w:tr>
        <w:trPr/>
        <w:tc>
          <w:tcPr>
            <w:tcW w:w="2956"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Star Buds Federal Heights</w:t>
            </w:r>
          </w:p>
        </w:tc>
        <w:tc>
          <w:tcPr>
            <w:tcW w:w="4511"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9000 N. Federal Blvd</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Westminster, Colorado</w:t>
            </w:r>
          </w:p>
        </w:tc>
        <w:tc>
          <w:tcPr>
            <w:tcW w:w="1496"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Retail</w:t>
            </w:r>
          </w:p>
        </w:tc>
        <w:tc>
          <w:tcPr>
            <w:tcW w:w="1242"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Leased</w:t>
            </w:r>
          </w:p>
        </w:tc>
      </w:tr>
      <w:tr>
        <w:trPr/>
        <w:tc>
          <w:tcPr>
            <w:tcW w:w="10205" w:type="dxa"/>
            <w:gridSpan w:val="4"/>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New Mexico</w:t>
            </w:r>
          </w:p>
        </w:tc>
      </w:tr>
      <w:tr>
        <w:trPr/>
        <w:tc>
          <w:tcPr>
            <w:tcW w:w="2956"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Mexico Corporate Headquarters</w:t>
            </w:r>
          </w:p>
        </w:tc>
        <w:tc>
          <w:tcPr>
            <w:tcW w:w="4511"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1920 Columbia Drive SE, Suite B, </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Albuquerque, New Mexico</w:t>
            </w:r>
          </w:p>
        </w:tc>
        <w:tc>
          <w:tcPr>
            <w:tcW w:w="1496"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w:t>
            </w:r>
          </w:p>
        </w:tc>
        <w:tc>
          <w:tcPr>
            <w:tcW w:w="1242"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Leased</w:t>
            </w:r>
          </w:p>
        </w:tc>
      </w:tr>
      <w:tr>
        <w:trPr/>
        <w:tc>
          <w:tcPr>
            <w:tcW w:w="2956"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Mexico Manufacturing</w:t>
            </w:r>
          </w:p>
        </w:tc>
        <w:tc>
          <w:tcPr>
            <w:tcW w:w="4511"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2434 Baylor Drive SE, Albuquerque, New Mexico</w:t>
            </w:r>
          </w:p>
        </w:tc>
        <w:tc>
          <w:tcPr>
            <w:tcW w:w="1496"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Wholesale</w:t>
            </w:r>
          </w:p>
        </w:tc>
        <w:tc>
          <w:tcPr>
            <w:tcW w:w="1242"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Leased</w:t>
            </w:r>
          </w:p>
        </w:tc>
      </w:tr>
      <w:tr>
        <w:trPr/>
        <w:tc>
          <w:tcPr>
            <w:tcW w:w="2956"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Edith Grow</w:t>
            </w:r>
          </w:p>
        </w:tc>
        <w:tc>
          <w:tcPr>
            <w:tcW w:w="4511"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8017 Edith Blvd NE, Albuquerque, New Mexico</w:t>
            </w:r>
          </w:p>
        </w:tc>
        <w:tc>
          <w:tcPr>
            <w:tcW w:w="1496"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Wholesale</w:t>
            </w:r>
          </w:p>
        </w:tc>
        <w:tc>
          <w:tcPr>
            <w:tcW w:w="1242"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Leased</w:t>
            </w:r>
          </w:p>
        </w:tc>
      </w:tr>
      <w:tr>
        <w:trPr/>
        <w:tc>
          <w:tcPr>
            <w:tcW w:w="2956"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Conchas Grow </w:t>
            </w:r>
          </w:p>
        </w:tc>
        <w:tc>
          <w:tcPr>
            <w:tcW w:w="4511"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501 Conchas Street SE, Albuquerque, New Mexico</w:t>
            </w:r>
          </w:p>
        </w:tc>
        <w:tc>
          <w:tcPr>
            <w:tcW w:w="1496"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Wholesale</w:t>
            </w:r>
          </w:p>
        </w:tc>
        <w:tc>
          <w:tcPr>
            <w:tcW w:w="1242"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Leased</w:t>
            </w:r>
          </w:p>
        </w:tc>
      </w:tr>
      <w:tr>
        <w:trPr/>
        <w:tc>
          <w:tcPr>
            <w:tcW w:w="2956"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Conchas Grow, Suite B</w:t>
            </w:r>
          </w:p>
        </w:tc>
        <w:tc>
          <w:tcPr>
            <w:tcW w:w="4511"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10021 Southern Avenue SE</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Albuquerque, New Mexico</w:t>
            </w:r>
          </w:p>
        </w:tc>
        <w:tc>
          <w:tcPr>
            <w:tcW w:w="1496"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Wholesale</w:t>
            </w:r>
          </w:p>
        </w:tc>
        <w:tc>
          <w:tcPr>
            <w:tcW w:w="1242"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Leased</w:t>
            </w:r>
          </w:p>
        </w:tc>
      </w:tr>
      <w:tr>
        <w:trPr/>
        <w:tc>
          <w:tcPr>
            <w:tcW w:w="2956"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Eubank Grow</w:t>
            </w:r>
          </w:p>
        </w:tc>
        <w:tc>
          <w:tcPr>
            <w:tcW w:w="4511"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301 Eubank Blvd SE, Albuquerque, New Mexico</w:t>
            </w:r>
          </w:p>
        </w:tc>
        <w:tc>
          <w:tcPr>
            <w:tcW w:w="1496"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Wholesale</w:t>
            </w:r>
          </w:p>
        </w:tc>
        <w:tc>
          <w:tcPr>
            <w:tcW w:w="1242"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Leased</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7909" w:type="dxa"/>
        <w:jc w:val="left"/>
        <w:tblInd w:w="0" w:type="dxa"/>
        <w:tblCellMar>
          <w:top w:w="0" w:type="dxa"/>
          <w:left w:w="0" w:type="dxa"/>
          <w:bottom w:w="0" w:type="dxa"/>
          <w:right w:w="0" w:type="dxa"/>
        </w:tblCellMar>
      </w:tblPr>
      <w:tblGrid>
        <w:gridCol w:w="2191"/>
        <w:gridCol w:w="4396"/>
        <w:gridCol w:w="601"/>
        <w:gridCol w:w="721"/>
      </w:tblGrid>
      <w:tr>
        <w:trPr/>
        <w:tc>
          <w:tcPr>
            <w:tcW w:w="2191" w:type="dxa"/>
            <w:tcBorders/>
            <w:shd w:fill="auto" w:val="clear"/>
            <w:vAlign w:val="center"/>
          </w:tcPr>
          <w:p>
            <w:pPr>
              <w:pStyle w:val="TableContents"/>
              <w:spacing w:before="0" w:after="283"/>
              <w:ind w:left="0" w:right="0" w:hanging="0"/>
              <w:rPr>
                <w:sz w:val="4"/>
                <w:szCs w:val="4"/>
              </w:rPr>
            </w:pPr>
            <w:r>
              <w:rPr>
                <w:sz w:val="4"/>
                <w:szCs w:val="4"/>
              </w:rPr>
            </w:r>
          </w:p>
        </w:tc>
        <w:tc>
          <w:tcPr>
            <w:tcW w:w="4396" w:type="dxa"/>
            <w:tcBorders/>
            <w:shd w:fill="auto" w:val="clear"/>
            <w:vAlign w:val="center"/>
          </w:tcPr>
          <w:p>
            <w:pPr>
              <w:pStyle w:val="TableContents"/>
              <w:spacing w:before="0" w:after="283"/>
              <w:ind w:left="0" w:right="0" w:hanging="0"/>
              <w:rPr>
                <w:sz w:val="4"/>
                <w:szCs w:val="4"/>
              </w:rPr>
            </w:pPr>
            <w:r>
              <w:rPr>
                <w:sz w:val="4"/>
                <w:szCs w:val="4"/>
              </w:rPr>
            </w:r>
          </w:p>
        </w:tc>
        <w:tc>
          <w:tcPr>
            <w:tcW w:w="601" w:type="dxa"/>
            <w:tcBorders/>
            <w:shd w:fill="auto" w:val="clear"/>
            <w:vAlign w:val="center"/>
          </w:tcPr>
          <w:p>
            <w:pPr>
              <w:pStyle w:val="TableContents"/>
              <w:spacing w:before="0" w:after="283"/>
              <w:ind w:left="0" w:right="0" w:hanging="0"/>
              <w:rPr>
                <w:sz w:val="4"/>
                <w:szCs w:val="4"/>
              </w:rPr>
            </w:pPr>
            <w:r>
              <w:rPr>
                <w:sz w:val="4"/>
                <w:szCs w:val="4"/>
              </w:rPr>
            </w:r>
          </w:p>
        </w:tc>
        <w:tc>
          <w:tcPr>
            <w:tcW w:w="721" w:type="dxa"/>
            <w:tcBorders/>
            <w:shd w:fill="auto" w:val="clear"/>
            <w:vAlign w:val="center"/>
          </w:tcPr>
          <w:p>
            <w:pPr>
              <w:pStyle w:val="TableContents"/>
              <w:spacing w:before="0" w:after="283"/>
              <w:ind w:left="0" w:right="0" w:hanging="0"/>
              <w:rPr>
                <w:sz w:val="4"/>
                <w:szCs w:val="4"/>
              </w:rPr>
            </w:pPr>
            <w:r>
              <w:rPr>
                <w:sz w:val="4"/>
                <w:szCs w:val="4"/>
              </w:rPr>
            </w:r>
          </w:p>
        </w:tc>
      </w:tr>
      <w:tr>
        <w:trPr/>
        <w:tc>
          <w:tcPr>
            <w:tcW w:w="2191"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 Greenleaf Midtown</w:t>
            </w:r>
          </w:p>
        </w:tc>
        <w:tc>
          <w:tcPr>
            <w:tcW w:w="4396"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4414 Menaul Blvd. NE, Suite A, </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Albuquerque, New Mexico</w:t>
            </w:r>
          </w:p>
        </w:tc>
        <w:tc>
          <w:tcPr>
            <w:tcW w:w="601"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Retail</w:t>
            </w:r>
          </w:p>
        </w:tc>
        <w:tc>
          <w:tcPr>
            <w:tcW w:w="721"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Leased</w:t>
            </w:r>
          </w:p>
        </w:tc>
      </w:tr>
      <w:tr>
        <w:trPr/>
        <w:tc>
          <w:tcPr>
            <w:tcW w:w="2191"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 Greenleaf West Side</w:t>
            </w:r>
          </w:p>
        </w:tc>
        <w:tc>
          <w:tcPr>
            <w:tcW w:w="4396"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5201 Ouray NW, Suite C, Albuquerque, New Mexico</w:t>
            </w:r>
          </w:p>
        </w:tc>
        <w:tc>
          <w:tcPr>
            <w:tcW w:w="601"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Retail</w:t>
            </w:r>
          </w:p>
        </w:tc>
        <w:tc>
          <w:tcPr>
            <w:tcW w:w="721"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Leased</w:t>
            </w:r>
          </w:p>
        </w:tc>
      </w:tr>
      <w:tr>
        <w:trPr/>
        <w:tc>
          <w:tcPr>
            <w:tcW w:w="2191"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 Greenleaf Cottonwood</w:t>
            </w:r>
          </w:p>
        </w:tc>
        <w:tc>
          <w:tcPr>
            <w:tcW w:w="4396"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10250 Cottonwood Park NW, Suite J, </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Albuquerque, New Mexico </w:t>
            </w:r>
          </w:p>
        </w:tc>
        <w:tc>
          <w:tcPr>
            <w:tcW w:w="601"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Retail</w:t>
            </w:r>
          </w:p>
        </w:tc>
        <w:tc>
          <w:tcPr>
            <w:tcW w:w="721"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Leased</w:t>
            </w:r>
          </w:p>
        </w:tc>
      </w:tr>
      <w:tr>
        <w:trPr/>
        <w:tc>
          <w:tcPr>
            <w:tcW w:w="2191"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 Greenleaf Las Cruces</w:t>
            </w:r>
          </w:p>
        </w:tc>
        <w:tc>
          <w:tcPr>
            <w:tcW w:w="4396"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2750 Mall Drive, </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Las Cruces, New Mexico</w:t>
            </w:r>
          </w:p>
        </w:tc>
        <w:tc>
          <w:tcPr>
            <w:tcW w:w="601"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Retail</w:t>
            </w:r>
          </w:p>
        </w:tc>
        <w:tc>
          <w:tcPr>
            <w:tcW w:w="721"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Leased</w:t>
            </w:r>
          </w:p>
        </w:tc>
      </w:tr>
      <w:tr>
        <w:trPr/>
        <w:tc>
          <w:tcPr>
            <w:tcW w:w="2191"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 Greenleaf Grants</w:t>
            </w:r>
          </w:p>
        </w:tc>
        <w:tc>
          <w:tcPr>
            <w:tcW w:w="4396"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899 E. Roosevelt Avenue</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Grants, New Mexico</w:t>
            </w:r>
          </w:p>
        </w:tc>
        <w:tc>
          <w:tcPr>
            <w:tcW w:w="601"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Retail</w:t>
            </w:r>
          </w:p>
        </w:tc>
        <w:tc>
          <w:tcPr>
            <w:tcW w:w="721"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Leased</w:t>
            </w:r>
          </w:p>
        </w:tc>
      </w:tr>
      <w:tr>
        <w:trPr/>
        <w:tc>
          <w:tcPr>
            <w:tcW w:w="2191"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 Greenleaf Nob Hill</w:t>
            </w:r>
          </w:p>
        </w:tc>
        <w:tc>
          <w:tcPr>
            <w:tcW w:w="4396"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4014 Central Avenue SE</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Albuquerque, New Mexico </w:t>
            </w:r>
          </w:p>
        </w:tc>
        <w:tc>
          <w:tcPr>
            <w:tcW w:w="601"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Retail</w:t>
            </w:r>
          </w:p>
        </w:tc>
        <w:tc>
          <w:tcPr>
            <w:tcW w:w="721"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Leased</w:t>
            </w:r>
          </w:p>
        </w:tc>
      </w:tr>
      <w:tr>
        <w:trPr/>
        <w:tc>
          <w:tcPr>
            <w:tcW w:w="2191"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 Greenleaf NE Heights</w:t>
            </w:r>
          </w:p>
        </w:tc>
        <w:tc>
          <w:tcPr>
            <w:tcW w:w="4396"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9821 Montgomery Blvd NE</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Albuquerque, New Mexico</w:t>
            </w:r>
          </w:p>
        </w:tc>
        <w:tc>
          <w:tcPr>
            <w:tcW w:w="601"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Retail</w:t>
            </w:r>
          </w:p>
        </w:tc>
        <w:tc>
          <w:tcPr>
            <w:tcW w:w="721"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Leased</w:t>
            </w:r>
          </w:p>
        </w:tc>
      </w:tr>
      <w:tr>
        <w:trPr/>
        <w:tc>
          <w:tcPr>
            <w:tcW w:w="2191"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 Greenleaf Roswell</w:t>
            </w:r>
          </w:p>
        </w:tc>
        <w:tc>
          <w:tcPr>
            <w:tcW w:w="4396"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4311 N Main Street, Suite B</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Roswell, New Mexico</w:t>
            </w:r>
          </w:p>
        </w:tc>
        <w:tc>
          <w:tcPr>
            <w:tcW w:w="601"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Retail</w:t>
            </w:r>
          </w:p>
        </w:tc>
        <w:tc>
          <w:tcPr>
            <w:tcW w:w="721" w:type="dxa"/>
            <w:tcBorders>
              <w:top w:val="single" w:sz="2" w:space="0" w:color="000000"/>
              <w:left w:val="single" w:sz="2" w:space="0" w:color="000000"/>
              <w:bottom w:val="single" w:sz="2" w:space="0" w:color="000000"/>
              <w:right w:val="single" w:sz="2" w:space="0" w:color="000000"/>
            </w:tcBorders>
            <w:shd w:fill="auto" w:val="clear"/>
            <w:tcMar>
              <w:top w:w="28" w:type="dxa"/>
              <w:left w:w="38" w:type="dxa"/>
              <w:bottom w:w="28" w:type="dxa"/>
              <w:right w:w="3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Leased</w:t>
            </w:r>
          </w:p>
        </w:tc>
      </w:tr>
    </w:tbl>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 As of March 1, 2023, the Company has ceased operations at this facility.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believes that its current leases will be sufficient for its existing needs to maintain current operations for the next 12 months. However, management anticipates entering into additional leases as the Company continues to execute on its growth strategy.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i/>
          <w:sz w:val="20"/>
        </w:rPr>
        <w:t>Properties Subject to an Encumbrance</w:t>
      </w:r>
      <w:r>
        <w:rPr>
          <w:rFonts w:ascii="Times New Roman;Times;serif" w:hAnsi="Times New Roman;Times;serif"/>
          <w:sz w:val="20"/>
        </w:rPr>
        <w:t xml:space="preserve">. The real property owned by SCG in Rye, Colorado, is subject to liens pursuant to the Loan Agreement. The real property owned by Emerald Fields Merger Sub, LLC in Manitou, Colorado, is subject to a first priority security interest in favor of the Indenture Collateral Agent for the benefit of the Note Investors pursuant to the Indenture. </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sz w:val="20"/>
        </w:rPr>
      </w:pPr>
      <w:bookmarkStart w:id="24" w:name="ITEM3LEGALPROCEEDINGS_745199"/>
      <w:bookmarkStart w:id="25" w:name="_522764c7_7c35_4d07_9660_92a29e3a81cf"/>
      <w:bookmarkEnd w:id="24"/>
      <w:bookmarkEnd w:id="25"/>
      <w:r>
        <w:rPr>
          <w:rFonts w:ascii="Times New Roman;Times;serif" w:hAnsi="Times New Roman;Times;serif"/>
          <w:b/>
          <w:i w:val="false"/>
          <w:caps w:val="false"/>
          <w:smallCaps w:val="false"/>
          <w:sz w:val="20"/>
        </w:rPr>
        <w:t>ITEM 3.</w:t>
      </w:r>
      <w:r>
        <w:rPr>
          <w:rFonts w:ascii="Times New Roman;Times;serif" w:hAnsi="Times New Roman;Times;serif"/>
          <w:b/>
          <w:sz w:val="20"/>
        </w:rPr>
        <w:t>LEGAL PROCEEDINGS.</w:t>
      </w:r>
      <w:r>
        <w:rPr>
          <w:rFonts w:ascii="Times New Roman;Times;serif" w:hAnsi="Times New Roman;Times;serif"/>
          <w:sz w:val="20"/>
        </w:rPr>
        <w:t xml:space="preserve"> </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June 7, 2019, the Company filed a complaint against ACC Industries Inc. and Building Management Company B, L.L.C., in state district court located in Clark County, Nevada, alleging, amongst other causes of action, breach of contract, conversion, and unjust enrichment and seeking general, special and punitive damages. On July 17, 2019, the parties stipulated to stay the case in favor of arbitration. On February 25, 2020 ACC Industries Inc. filed a counterclaim against the Company alleging breach of contract. The Company discovered new facts that lead it to believe that a related entity not previously named as a party to the arbitration, ACC Enterprises, LLC (“ACC”), should be brought in as a party to the arbitration. Based upon the new facts, the Company filed a motion to amend the complaint to add new claims and ACC as a party. On September 1, 2020, the arbitrator granted the Company’s motion and permitted the Company to amend the complaint to add ACC as a party. On September 1, 2020, the Company filed an amended complaint and added intentional misrepresentation, fraudulent inducement, civil conspiracy, aiding and abetting, successor liability and fraudulent concealment claims. The Company began arbitration proceedings on November 2, 2020. The Company completed arbitration in February 2021. On May 14, 2021, the Arbitrator entered an award in favor of the Company in the aggregate amount of $1,935,273, subject to an offset equal to $150,000, for a total net award of $1,785,273. After the arbitration award was entered, a receiver was appointed over ACC and its affiliates due to the death of the only owner who had a valid cannabis establishment registration agent card. An automatic litigation stay was entered upon the appointment of the receiver. During the receivership, ACC’s owners have had internal ownership disputes and ACC has had financial difficulties. The receiver has taken the position that ACC should be liquidated. On April 28, 2022, the receiver received approval from the court to liquidate ACC’s assets. On May 24, 2022, upon the completion of a bidding procedure for certain ACC assets, the court approved the sale of certain ACC assets to the only and prevailing bidder. The finality of that sale is in progress and near completion. On July 26, 2022, the court approved a creditors’ claim process. The Company complied with the claim process and is awaiting formal approval from the receiver. The Company believes its claim will be approved and will continue to participate in the receivership.  The Company will file a motion to terminate the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receivership and request the court distribute the proceeds obtained from the asset sale.  The Company is the largest creditor and believe the assets will be distributed pro rata.  The Company is not aware of the total amount of proceeds or the number of creditors who have perfected a claim against the proceeds.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July 6, 2018, the Company filed a complaint in the Eight Judicial Court, Clark County, Nevada against Vegas Valley Growers (“VVG”). In the complaint, the Company alleges breach by VVG of the Technologies License Agreement dated April 27, 2017 between the parties and seeks general, special and punitive damages in the amount of $3,876,850. On August 28, 2018, VVG filed an Answer and Counterclaim against the Company. On August 2, 2019, a jury found in favor of the Company and awarded the Company damages totaling $2,773,321 plus pre- and post-judgment interest and attorneys’ fees. In March 2020, VVG filed its opening appeal brief with the Nevada Supreme Court. The Company’s response brief was due on May 15, 2020. After VVG filed its opening brief in March 2020, the Company filed a Motion to Strike portions of the brief and record. On August 27, 2020, the court ordered VVG to supplement its brief and the record. On October 27, 2020, the Company, in a joint request with VVG, filed a motion to extend its time to file its answering brief. The Company filed its answering brief in January 2021. VVG’s reply brief was filed in March 2021. On July 23, 2021, the Nevada Supreme Court affirmed the trial court’s damage award but remanded the case to the trial court to properly calculate post-judgment interest. After the affirmance, VVG filed a petition for rehearing with the Nevada Supreme Court arguing it overlooked or misapprehended material facts in the record. The Company answered the rehearing petition arguing that it did not. On December 22, 2021, the Company received $3,577,200 for most of the outstanding receivable plus interest and legal fees. There remained an unpaid balance of $12,438 in long term accounts receivable as of December 31, 2021. A second disbursement was made in January 2022 in the amount of $362,698 which constituted accrued interest. The Company reached a resolution on the outstanding attorney’s fees owed to the Company, which VVG paid in full.  The Company filed a notice with the Court indicating that the attorney’s fees and all other monetary awards in the case had been paid in full, which was the end of the remaining issues in the legal proceeding.  The legal proceeding is now considered to be resolved and closed.</w:t>
      </w:r>
    </w:p>
    <w:p>
      <w:pPr>
        <w:pStyle w:val="TextBody"/>
        <w:spacing w:before="0" w:after="240"/>
        <w:ind w:left="0" w:right="0" w:hanging="0"/>
        <w:jc w:val="both"/>
        <w:rPr/>
      </w:pPr>
      <w:r>
        <w:rPr/>
        <w:t>​</w:t>
      </w:r>
    </w:p>
    <w:p>
      <w:pPr>
        <w:pStyle w:val="TextBody"/>
        <w:spacing w:before="0" w:after="240"/>
        <w:ind w:left="0" w:right="0" w:hanging="0"/>
        <w:rPr>
          <w:rFonts w:ascii="Times New Roman;Times;serif" w:hAnsi="Times New Roman;Times;serif"/>
          <w:b/>
          <w:sz w:val="20"/>
        </w:rPr>
      </w:pPr>
      <w:bookmarkStart w:id="26" w:name="ITEM4MINESAFETYDISCLOSURES_172937"/>
      <w:bookmarkStart w:id="27" w:name="_8d11b952_507c_4a96_b4fd_259f9c59258c"/>
      <w:bookmarkEnd w:id="26"/>
      <w:bookmarkEnd w:id="27"/>
      <w:r>
        <w:rPr>
          <w:rFonts w:ascii="Times New Roman;Times;serif" w:hAnsi="Times New Roman;Times;serif"/>
          <w:b/>
          <w:i w:val="false"/>
          <w:caps w:val="false"/>
          <w:smallCaps w:val="false"/>
          <w:sz w:val="20"/>
        </w:rPr>
        <w:t>ITEM 4.</w:t>
      </w:r>
      <w:r>
        <w:rPr>
          <w:rFonts w:ascii="Times New Roman;Times;serif" w:hAnsi="Times New Roman;Times;serif"/>
          <w:b/>
          <w:sz w:val="20"/>
        </w:rPr>
        <w:t>MINE SAFETY DISCLOSURES.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28" w:name="PARTII_641537"/>
      <w:bookmarkStart w:id="29" w:name="_c400a096_4973_4e50_9857_4a9ad244383a"/>
      <w:bookmarkEnd w:id="28"/>
      <w:bookmarkEnd w:id="29"/>
      <w:r>
        <w:rPr>
          <w:rFonts w:ascii="Times New Roman;Times;serif" w:hAnsi="Times New Roman;Times;serif"/>
          <w:b/>
          <w:sz w:val="20"/>
        </w:rPr>
        <w:t>PART II</w:t>
      </w:r>
    </w:p>
    <w:p>
      <w:pPr>
        <w:pStyle w:val="Normal"/>
        <w:spacing w:before="0" w:after="0"/>
        <w:rPr>
          <w:sz w:val="4"/>
          <w:szCs w:val="4"/>
        </w:rPr>
      </w:pPr>
      <w:r>
        <w:rPr>
          <w:sz w:val="4"/>
          <w:szCs w:val="4"/>
        </w:rPr>
      </w:r>
      <w:bookmarkStart w:id="30" w:name="ITEM5MARKETFORREGISTRANTSCOMMONEQUITYREL"/>
      <w:bookmarkStart w:id="31" w:name="ITEM5MARKETFORREGISTRANTSCOMMONEQUITYREL"/>
      <w:bookmarkEnd w:id="31"/>
    </w:p>
    <w:tbl>
      <w:tblPr>
        <w:tblW w:w="10205" w:type="dxa"/>
        <w:jc w:val="left"/>
        <w:tblInd w:w="0" w:type="dxa"/>
        <w:tblCellMar>
          <w:top w:w="0" w:type="dxa"/>
          <w:left w:w="0" w:type="dxa"/>
          <w:bottom w:w="0" w:type="dxa"/>
          <w:right w:w="0" w:type="dxa"/>
        </w:tblCellMar>
      </w:tblPr>
      <w:tblGrid>
        <w:gridCol w:w="826"/>
        <w:gridCol w:w="9379"/>
      </w:tblGrid>
      <w:tr>
        <w:trPr/>
        <w:tc>
          <w:tcPr>
            <w:tcW w:w="826" w:type="dxa"/>
            <w:tcBorders/>
            <w:shd w:fill="auto" w:val="clear"/>
            <w:vAlign w:val="center"/>
          </w:tcPr>
          <w:p>
            <w:pPr>
              <w:pStyle w:val="TableContents"/>
              <w:spacing w:before="0" w:after="200"/>
              <w:jc w:val="both"/>
              <w:rPr>
                <w:rFonts w:ascii="Times New Roman;Times;serif" w:hAnsi="Times New Roman;Times;serif"/>
                <w:b/>
                <w:sz w:val="20"/>
              </w:rPr>
            </w:pPr>
            <w:r>
              <w:rPr>
                <w:rFonts w:ascii="Times New Roman;Times;serif" w:hAnsi="Times New Roman;Times;serif"/>
                <w:b/>
                <w:sz w:val="20"/>
              </w:rPr>
              <w:t>ITEM 5.</w:t>
            </w:r>
          </w:p>
        </w:tc>
        <w:tc>
          <w:tcPr>
            <w:tcW w:w="9379" w:type="dxa"/>
            <w:tcBorders/>
            <w:shd w:fill="auto" w:val="clear"/>
            <w:vAlign w:val="center"/>
          </w:tcPr>
          <w:p>
            <w:pPr>
              <w:pStyle w:val="TableContents"/>
              <w:spacing w:before="0" w:after="200"/>
              <w:jc w:val="both"/>
              <w:rPr>
                <w:rFonts w:ascii="Times New Roman;Times;serif" w:hAnsi="Times New Roman;Times;serif"/>
                <w:b/>
                <w:sz w:val="20"/>
              </w:rPr>
            </w:pPr>
            <w:r>
              <w:rPr>
                <w:rFonts w:ascii="Times New Roman;Times;serif" w:hAnsi="Times New Roman;Times;serif"/>
                <w:b/>
                <w:sz w:val="20"/>
              </w:rPr>
              <w:t>MARKET FOR REGISTRANT’S COMMON EQUITY, RELATED STOCKHOLDER MATTERS AND ISSUER PURCHASES OF EQUITY SECURITIES.</w:t>
            </w:r>
          </w:p>
        </w:tc>
      </w:tr>
    </w:tbl>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MARKET INFORMATION</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We have one class of publicly traded stock, which is our Common Stock. Quotation of our Common Stock commenced on the OTCQB under the ticker symbol “MDCL” on or about January 25, 2016. On or about October 5, 2018, our Common Stock commenced quotation on the OTCQX under the same ticker symbol. On April 20, 2020, the Company rebranded and since then conducts its business under the trade name Schwazze. The corporate name of the Company continues to be Medicine Man Technologies, Inc. Effective April 21, 2020, the Company commenced trading under the OTC ticker symbol “SHWZ.” Our Common Stock is also listed for trading on the NEO exchange, a tier one Canadian stock exchange based in Toronto, Ontario, under the ticker symbol “SHWZ.”</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As of March 15, 2023, the closing bid price of our Common Stock on the OTCQX Best Market was $1.14. Any over-the-counter market quotations for our Common Stock reflect inter-dealer prices, without retail mark-up, mark-down or commission, and may not necessarily represent actual transactions.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Trading volume in our Common Stock varies from day to day. We believe we will continue to experience expansion over time as our revenues and profitability grow to sustainable levels. As a result, the trading price of our Common Stock is subject to significant fluctuations in both volume and pricing.</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HOLDERS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As of March 15, 2023, we had 122 holders of record of our Common Stock. The number of beneficial owners is substantially greater than the number of record holders because a portion of our common shares is held of record through brokerage firms in “street name.”</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STOCK TRANSFER AGENT</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The stock transfer agent for our Common Stock in the United States is Globex Transfer, LLC, 780 Deltona Boulevard, Suite 202, Deltona, Florida 32725, telephone number, including area code: (813) 344-4490.</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DIVIDENDS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has not declared or paid any cash dividends on its Common Stock, and the Company does not anticipate doing so in the foreseeable future. The Company’s ability to pay dividends is restricted by the terms and provisions of its financing agreements, including but not limited to its Loan Agreement, the Indenture, and the provisions of the Articles of Incorporation related to the Preferred Stock. The Company currently intends to retain future earnings, if any, to operate its business and support its growth strategies. Any future determination to pay dividends on the Common Stock will be at the discretion of the Company’s Board of Directors and will depend on the Company’s financial condition, results of operations, contractual restrictions, restrictions imposed by applicable law, capital requirements and other factors that the Company’s Board of Directors deems relevant. Dividends on the Preferred Stock are payable in kind in the form of an annual increase of the Preference Amount (as defined in the Articles of Incorporation), not cash.</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REPORTS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We are subject to certain reporting requirements and furnish annual financial reports to our stockholders, including financial statements audited by our independent accountants, and furnish unaudited quarterly financial reports in our quarterly reports filed electronically with the SEC. All reports and information filed by us can be found at the SEC website, www.sec.gov, as well as on our website, www.ir.schwazze.com.</w:t>
      </w:r>
    </w:p>
    <w:p>
      <w:pPr>
        <w:pStyle w:val="TextBody"/>
        <w:spacing w:before="0" w:after="0"/>
        <w:ind w:left="0" w:right="0" w:hanging="0"/>
        <w:rPr>
          <w:rFonts w:ascii="Times New Roman;Times;serif" w:hAnsi="Times New Roman;Times;serif"/>
          <w:b/>
          <w:sz w:val="20"/>
        </w:rPr>
      </w:pPr>
      <w:bookmarkStart w:id="32" w:name="ITEM6RESERVED_693122"/>
      <w:bookmarkStart w:id="33" w:name="_82e1154f_052b_422b_bb16_c7720f9f1b92"/>
      <w:bookmarkEnd w:id="32"/>
      <w:bookmarkEnd w:id="33"/>
      <w:r>
        <w:rPr>
          <w:rFonts w:ascii="Times New Roman;Times;serif" w:hAnsi="Times New Roman;Times;serif"/>
          <w:b/>
          <w:i w:val="false"/>
          <w:caps w:val="false"/>
          <w:smallCaps w:val="false"/>
          <w:sz w:val="20"/>
        </w:rPr>
        <w:t>ITEM 6.</w:t>
      </w:r>
      <w:r>
        <w:rPr>
          <w:rFonts w:ascii="Times New Roman;Times;serif" w:hAnsi="Times New Roman;Times;serif"/>
          <w:b/>
          <w:sz w:val="20"/>
        </w:rPr>
        <w:t>RESERVED.</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left"/>
        <w:rPr>
          <w:rFonts w:ascii="Times New Roman;Times;serif" w:hAnsi="Times New Roman;Times;serif"/>
          <w:b/>
          <w:sz w:val="20"/>
        </w:rPr>
      </w:pPr>
      <w:bookmarkStart w:id="34" w:name="ITEM7MANAGEMENTSDISCUSSIONANDANALYSISOFF"/>
      <w:bookmarkStart w:id="35" w:name="_7e4c5e55_e23f_40af_a151_983df803e82c"/>
      <w:bookmarkEnd w:id="34"/>
      <w:bookmarkEnd w:id="35"/>
      <w:r>
        <w:rPr>
          <w:rFonts w:ascii="Times New Roman;Times;serif" w:hAnsi="Times New Roman;Times;serif"/>
          <w:b/>
          <w:i w:val="false"/>
          <w:caps w:val="false"/>
          <w:smallCaps w:val="false"/>
          <w:sz w:val="20"/>
        </w:rPr>
        <w:t>ITEM 7.</w:t>
      </w:r>
      <w:r>
        <w:rPr>
          <w:rFonts w:ascii="Times New Roman;Times;serif" w:hAnsi="Times New Roman;Times;serif"/>
          <w:b/>
          <w:sz w:val="20"/>
        </w:rPr>
        <w:t xml:space="preserve">MANAGEMENT’S DISCUSSION AND ANALYSIS OF FINANCIAL CONDITION AND RESULTS OF OPERATIONS. </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You should read the following discussion and analysis of our financial condition and results of operations together with our accompanying consolidated financial statements and the related notes appearing elsewhere in this Report. In addition to historical information, this discussion and analysis contains forward-looking statements that involve risks, uncertainties and assumptions. Our actual results may differ materially from those discussed below. Factors that could cause or contribute to such differences include, but are not limited to, those discussed under “Item 1A. Risk Factors” and “Forward Looking Statements” included elsewhere in this Report.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OVERVIEW OF THE COMPANY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Established in 2014 and headquartered in Denver, Colorado, Medicine Man Technologies, Inc., is a vertically integrated cannabis company with experienced retail leadership and operations in Colorado and New Mexico. The Company is focused on building a premier, vertically-integrated cannabis company by taking its retail operating playbook to other states where it can develop a differentiated leadership position. The Company strives for a high-performance culture that combines customer-centric thinking and data science to test, measure, and drive decisions and outcomes. </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DEVELOPMENTS </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2022 Highlights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continued to execute its growth strategy during 2022 by completing a number of key acquisitions and further developing existing operations. Some of the Company’s achievements for the year include:</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Entry into the New Mexico market in February 2022 with the acquisition of ten R. Greenleaf retail dispensaries, four cultivation facilities, and one manufacturing facility from RGA prior to adult-use legalization taking effect in New Mexico;</w:t>
            </w:r>
          </w:p>
        </w:tc>
      </w:tr>
    </w:tbl>
    <w:tbl>
      <w:tblPr>
        <w:tblW w:w="7941" w:type="dxa"/>
        <w:jc w:val="left"/>
        <w:tblInd w:w="0" w:type="dxa"/>
        <w:tblCellMar>
          <w:top w:w="28" w:type="dxa"/>
          <w:left w:w="28" w:type="dxa"/>
          <w:bottom w:w="28" w:type="dxa"/>
          <w:right w:w="28" w:type="dxa"/>
        </w:tblCellMar>
      </w:tblPr>
      <w:tblGrid>
        <w:gridCol w:w="124"/>
        <w:gridCol w:w="256"/>
        <w:gridCol w:w="75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5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Expansion of retail footprint and cultivation capacity in Colorado with the acquisitions of: </w:t>
            </w:r>
          </w:p>
        </w:tc>
      </w:tr>
    </w:tbl>
    <w:tbl>
      <w:tblPr>
        <w:tblW w:w="8976" w:type="dxa"/>
        <w:jc w:val="left"/>
        <w:tblInd w:w="0" w:type="dxa"/>
        <w:tblCellMar>
          <w:top w:w="28" w:type="dxa"/>
          <w:left w:w="28" w:type="dxa"/>
          <w:bottom w:w="28" w:type="dxa"/>
          <w:right w:w="28" w:type="dxa"/>
        </w:tblCellMar>
      </w:tblPr>
      <w:tblGrid>
        <w:gridCol w:w="124"/>
        <w:gridCol w:w="226"/>
        <w:gridCol w:w="8626"/>
      </w:tblGrid>
      <w:tr>
        <w:trPr/>
        <w:tc>
          <w:tcPr>
            <w:tcW w:w="1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tcMar>
              <w:top w:w="0" w:type="dxa"/>
              <w:left w:w="0" w:type="dxa"/>
              <w:bottom w:w="0" w:type="dxa"/>
              <w:right w:w="0" w:type="dxa"/>
            </w:tcMar>
            <w:vAlign w:val="center"/>
          </w:tcPr>
          <w:p>
            <w:pPr>
              <w:pStyle w:val="TableContents"/>
              <w:spacing w:before="0" w:after="283"/>
              <w:rPr>
                <w:rFonts w:ascii="Courier New" w:hAnsi="Courier New"/>
                <w:sz w:val="20"/>
              </w:rPr>
            </w:pPr>
            <w:r>
              <w:rPr>
                <w:rFonts w:ascii="Courier New" w:hAnsi="Courier New"/>
                <w:sz w:val="20"/>
              </w:rPr>
              <w:t>o</w:t>
            </w:r>
          </w:p>
        </w:tc>
        <w:tc>
          <w:tcPr>
            <w:tcW w:w="86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Emerald Fields retail dispensaries located in Glendale, Colorado and Manitou, Colorado from MCG;</w:t>
            </w:r>
          </w:p>
        </w:tc>
      </w:tr>
    </w:tbl>
    <w:tbl>
      <w:tblPr>
        <w:tblW w:w="6261" w:type="dxa"/>
        <w:jc w:val="left"/>
        <w:tblInd w:w="0" w:type="dxa"/>
        <w:tblCellMar>
          <w:top w:w="28" w:type="dxa"/>
          <w:left w:w="28" w:type="dxa"/>
          <w:bottom w:w="28" w:type="dxa"/>
          <w:right w:w="28" w:type="dxa"/>
        </w:tblCellMar>
      </w:tblPr>
      <w:tblGrid>
        <w:gridCol w:w="124"/>
        <w:gridCol w:w="226"/>
        <w:gridCol w:w="5911"/>
      </w:tblGrid>
      <w:tr>
        <w:trPr/>
        <w:tc>
          <w:tcPr>
            <w:tcW w:w="1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tcMar>
              <w:top w:w="0" w:type="dxa"/>
              <w:left w:w="0" w:type="dxa"/>
              <w:bottom w:w="0" w:type="dxa"/>
              <w:right w:w="0" w:type="dxa"/>
            </w:tcMar>
            <w:vAlign w:val="center"/>
          </w:tcPr>
          <w:p>
            <w:pPr>
              <w:pStyle w:val="TableContents"/>
              <w:spacing w:before="0" w:after="283"/>
              <w:rPr>
                <w:rFonts w:ascii="Courier New" w:hAnsi="Courier New"/>
                <w:sz w:val="20"/>
              </w:rPr>
            </w:pPr>
            <w:r>
              <w:rPr>
                <w:rFonts w:ascii="Courier New" w:hAnsi="Courier New"/>
                <w:sz w:val="20"/>
              </w:rPr>
              <w:t>o</w:t>
            </w:r>
          </w:p>
        </w:tc>
        <w:tc>
          <w:tcPr>
            <w:tcW w:w="59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indoor cultivation facility located in Denver, Colorado from Brow;</w:t>
            </w:r>
          </w:p>
        </w:tc>
      </w:tr>
    </w:tbl>
    <w:tbl>
      <w:tblPr>
        <w:tblW w:w="7971" w:type="dxa"/>
        <w:jc w:val="left"/>
        <w:tblInd w:w="0" w:type="dxa"/>
        <w:tblCellMar>
          <w:top w:w="28" w:type="dxa"/>
          <w:left w:w="28" w:type="dxa"/>
          <w:bottom w:w="28" w:type="dxa"/>
          <w:right w:w="28" w:type="dxa"/>
        </w:tblCellMar>
      </w:tblPr>
      <w:tblGrid>
        <w:gridCol w:w="124"/>
        <w:gridCol w:w="226"/>
        <w:gridCol w:w="7621"/>
      </w:tblGrid>
      <w:tr>
        <w:trPr/>
        <w:tc>
          <w:tcPr>
            <w:tcW w:w="1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tcMar>
              <w:top w:w="0" w:type="dxa"/>
              <w:left w:w="0" w:type="dxa"/>
              <w:bottom w:w="0" w:type="dxa"/>
              <w:right w:w="0" w:type="dxa"/>
            </w:tcMar>
            <w:vAlign w:val="center"/>
          </w:tcPr>
          <w:p>
            <w:pPr>
              <w:pStyle w:val="TableContents"/>
              <w:spacing w:before="0" w:after="283"/>
              <w:rPr>
                <w:rFonts w:ascii="Courier New" w:hAnsi="Courier New"/>
                <w:sz w:val="20"/>
              </w:rPr>
            </w:pPr>
            <w:r>
              <w:rPr>
                <w:rFonts w:ascii="Courier New" w:hAnsi="Courier New"/>
                <w:sz w:val="20"/>
              </w:rPr>
              <w:t>o</w:t>
            </w:r>
          </w:p>
        </w:tc>
        <w:tc>
          <w:tcPr>
            <w:tcW w:w="76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two retail dispensaries located in Aurora, Colorado, and Denver, Colorado from Lightshade; </w:t>
            </w:r>
          </w:p>
        </w:tc>
      </w:tr>
    </w:tbl>
    <w:tbl>
      <w:tblPr>
        <w:tblW w:w="5961" w:type="dxa"/>
        <w:jc w:val="left"/>
        <w:tblInd w:w="0" w:type="dxa"/>
        <w:tblCellMar>
          <w:top w:w="28" w:type="dxa"/>
          <w:left w:w="28" w:type="dxa"/>
          <w:bottom w:w="28" w:type="dxa"/>
          <w:right w:w="28" w:type="dxa"/>
        </w:tblCellMar>
      </w:tblPr>
      <w:tblGrid>
        <w:gridCol w:w="124"/>
        <w:gridCol w:w="226"/>
        <w:gridCol w:w="5611"/>
      </w:tblGrid>
      <w:tr>
        <w:trPr/>
        <w:tc>
          <w:tcPr>
            <w:tcW w:w="1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tcMar>
              <w:top w:w="0" w:type="dxa"/>
              <w:left w:w="0" w:type="dxa"/>
              <w:bottom w:w="0" w:type="dxa"/>
              <w:right w:w="0" w:type="dxa"/>
            </w:tcMar>
            <w:vAlign w:val="center"/>
          </w:tcPr>
          <w:p>
            <w:pPr>
              <w:pStyle w:val="TableContents"/>
              <w:spacing w:before="0" w:after="283"/>
              <w:rPr>
                <w:rFonts w:ascii="Courier New" w:hAnsi="Courier New"/>
                <w:sz w:val="20"/>
              </w:rPr>
            </w:pPr>
            <w:r>
              <w:rPr>
                <w:rFonts w:ascii="Courier New" w:hAnsi="Courier New"/>
                <w:sz w:val="20"/>
              </w:rPr>
              <w:t>o</w:t>
            </w:r>
          </w:p>
        </w:tc>
        <w:tc>
          <w:tcPr>
            <w:tcW w:w="56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retail dispensaries located in Boulder, Colorado from Drift; and</w:t>
            </w:r>
          </w:p>
        </w:tc>
      </w:tr>
    </w:tbl>
    <w:tbl>
      <w:tblPr>
        <w:tblW w:w="9321" w:type="dxa"/>
        <w:jc w:val="left"/>
        <w:tblInd w:w="0" w:type="dxa"/>
        <w:tblCellMar>
          <w:top w:w="28" w:type="dxa"/>
          <w:left w:w="28" w:type="dxa"/>
          <w:bottom w:w="28" w:type="dxa"/>
          <w:right w:w="28" w:type="dxa"/>
        </w:tblCellMar>
      </w:tblPr>
      <w:tblGrid>
        <w:gridCol w:w="124"/>
        <w:gridCol w:w="226"/>
        <w:gridCol w:w="8971"/>
      </w:tblGrid>
      <w:tr>
        <w:trPr/>
        <w:tc>
          <w:tcPr>
            <w:tcW w:w="1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tcMar>
              <w:top w:w="0" w:type="dxa"/>
              <w:left w:w="0" w:type="dxa"/>
              <w:bottom w:w="0" w:type="dxa"/>
              <w:right w:w="0" w:type="dxa"/>
            </w:tcMar>
            <w:vAlign w:val="center"/>
          </w:tcPr>
          <w:p>
            <w:pPr>
              <w:pStyle w:val="TableContents"/>
              <w:spacing w:before="0" w:after="283"/>
              <w:rPr>
                <w:rFonts w:ascii="Courier New" w:hAnsi="Courier New"/>
                <w:sz w:val="20"/>
              </w:rPr>
            </w:pPr>
            <w:r>
              <w:rPr>
                <w:rFonts w:ascii="Courier New" w:hAnsi="Courier New"/>
                <w:sz w:val="20"/>
              </w:rPr>
              <w:t>o</w:t>
            </w:r>
          </w:p>
        </w:tc>
        <w:tc>
          <w:tcPr>
            <w:tcW w:w="89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retail dispensary and one indoor cultivation facility located in Denver, Colorado from Urban Dispensary.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Internal growth with six new store openings in New Mexico under the R. Greenleaf banner following the acquisition of R. Greenleaf;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Expansion of investment opportunity in the Company’s stock by listing its Common Stock on the NEO, a tier one Canadian stock exchange based in Toronto, Ontario;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brand development with promotion of its Purplebee’s and Autograph by Purplebee’s vape and distillate products and EDW pre-packaged flower products, as well as partnership with other industry participants for licensing and promotional rights of third-party brands, such as Lowell Herb Company and Mission Holdings.</w:t>
            </w:r>
          </w:p>
        </w:tc>
      </w:tr>
    </w:tbl>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val="false"/>
          <w:i/>
          <w:sz w:val="20"/>
        </w:rPr>
      </w:pPr>
      <w:r>
        <w:rPr>
          <w:rFonts w:ascii="Times New Roman;Times;serif" w:hAnsi="Times New Roman;Times;serif"/>
          <w:b w:val="false"/>
          <w:i/>
          <w:sz w:val="20"/>
        </w:rPr>
        <w:t>Recent Developments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January 25, 2023, the Company entered into an asset purchase agreement to acquire two adult-use recreational and medical dispensaries located in Fort Collins, Colorado and Garden City, Colorado. The Company anticipates consummating this acquisition upon receipt of all necessary state and local approvals.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opened two new stores in 2023 to date located in Albuquerque, New Mexico, and Carlsbad, New Mexico.</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RESULTS OF OPERATIONS – CONSOLIDATED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following table sets forth the Company’s selected consolidated financial results for the periods, and as of the dates, indicated. The (i) consolidated statements of operations for the years ended December 31, 2022 and 2021 and (ii) consolidated balance sheet as of December 31, 2022 and 2021 have been derived from and should be read in conjunction with the consolidated financial statements and accompanying notes presented in Item 8 of this report.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Company’s consolidated financial statements have been prepared in accordance with U.S. GAAP and on a going-concern basis that contemplates continuity of operations and realization of assets and liquidation of liabilities in ordinary course of business.</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consolidated financial statements across its businesses with operating segments consisting of (i) Retail, (ii) Wholesale, and (iii) Other.</w:t>
      </w:r>
    </w:p>
    <w:p>
      <w:pPr>
        <w:pStyle w:val="TextBody"/>
        <w:spacing w:before="0" w:after="240"/>
        <w:ind w:left="0" w:right="0" w:hanging="0"/>
        <w:jc w:val="both"/>
        <w:rPr/>
      </w:pPr>
      <w:r>
        <w:rPr/>
        <w:t>​</w:t>
      </w:r>
    </w:p>
    <w:tbl>
      <w:tblPr>
        <w:tblW w:w="10205" w:type="dxa"/>
        <w:jc w:val="left"/>
        <w:tblInd w:w="0" w:type="dxa"/>
        <w:tblCellMar>
          <w:top w:w="0" w:type="dxa"/>
          <w:left w:w="0" w:type="dxa"/>
          <w:bottom w:w="0" w:type="dxa"/>
          <w:right w:w="0" w:type="dxa"/>
        </w:tblCellMar>
      </w:tblPr>
      <w:tblGrid>
        <w:gridCol w:w="4010"/>
        <w:gridCol w:w="326"/>
        <w:gridCol w:w="211"/>
        <w:gridCol w:w="1150"/>
        <w:gridCol w:w="326"/>
        <w:gridCol w:w="211"/>
        <w:gridCol w:w="1141"/>
        <w:gridCol w:w="326"/>
        <w:gridCol w:w="211"/>
        <w:gridCol w:w="1132"/>
        <w:gridCol w:w="326"/>
        <w:gridCol w:w="517"/>
        <w:gridCol w:w="318"/>
      </w:tblGrid>
      <w:tr>
        <w:trPr/>
        <w:tc>
          <w:tcPr>
            <w:tcW w:w="401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546350" cy="175260"/>
                      <wp:effectExtent l="0" t="0" r="0" b="0"/>
                      <wp:wrapNone/>
                      <wp:docPr id="1" name="Frame1"/>
                      <a:graphic xmlns:a="http://schemas.openxmlformats.org/drawingml/2006/main">
                        <a:graphicData uri="http://schemas.microsoft.com/office/word/2010/wordprocessingShape">
                          <wps:wsp>
                            <wps:cNvSpPr txBox="1"/>
                            <wps:spPr>
                              <a:xfrm>
                                <a:off x="0" y="0"/>
                                <a:ext cx="25463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7010" cy="175260"/>
                      <wp:effectExtent l="0" t="0" r="0" b="0"/>
                      <wp:wrapNone/>
                      <wp:docPr id="2" name="Frame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33985" cy="175260"/>
                      <wp:effectExtent l="0" t="0" r="0" b="0"/>
                      <wp:wrapNone/>
                      <wp:docPr id="3" name="Frame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5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730250" cy="175260"/>
                      <wp:effectExtent l="0" t="0" r="0" b="0"/>
                      <wp:wrapNone/>
                      <wp:docPr id="4" name="Frame4"/>
                      <a:graphic xmlns:a="http://schemas.openxmlformats.org/drawingml/2006/main">
                        <a:graphicData uri="http://schemas.microsoft.com/office/word/2010/wordprocessingShape">
                          <wps:wsp>
                            <wps:cNvSpPr txBox="1"/>
                            <wps:spPr>
                              <a:xfrm>
                                <a:off x="0" y="0"/>
                                <a:ext cx="7302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33985" cy="175260"/>
                      <wp:effectExtent l="0" t="0" r="0" b="0"/>
                      <wp:wrapNone/>
                      <wp:docPr id="6" name="Frame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724535" cy="175260"/>
                      <wp:effectExtent l="0" t="0" r="0" b="0"/>
                      <wp:wrapNone/>
                      <wp:docPr id="7" name="Frame7"/>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8" name="Frame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33985" cy="175260"/>
                      <wp:effectExtent l="0" t="0" r="0" b="0"/>
                      <wp:wrapNone/>
                      <wp:docPr id="9" name="Frame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718820" cy="175260"/>
                      <wp:effectExtent l="0" t="0" r="0" b="0"/>
                      <wp:wrapNone/>
                      <wp:docPr id="10" name="Frame10"/>
                      <a:graphic xmlns:a="http://schemas.openxmlformats.org/drawingml/2006/main">
                        <a:graphicData uri="http://schemas.microsoft.com/office/word/2010/wordprocessingShape">
                          <wps:wsp>
                            <wps:cNvSpPr txBox="1"/>
                            <wps:spPr>
                              <a:xfrm>
                                <a:off x="0" y="0"/>
                                <a:ext cx="7188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07010" cy="175260"/>
                      <wp:effectExtent l="0" t="0" r="0" b="0"/>
                      <wp:wrapNone/>
                      <wp:docPr id="11" name="Frame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1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328295" cy="175260"/>
                      <wp:effectExtent l="0" t="0" r="0" b="0"/>
                      <wp:wrapNone/>
                      <wp:docPr id="12" name="Frame12"/>
                      <a:graphic xmlns:a="http://schemas.openxmlformats.org/drawingml/2006/main">
                        <a:graphicData uri="http://schemas.microsoft.com/office/word/2010/wordprocessingShape">
                          <wps:wsp>
                            <wps:cNvSpPr txBox="1"/>
                            <wps:spPr>
                              <a:xfrm>
                                <a:off x="0" y="0"/>
                                <a:ext cx="3282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1930" cy="175260"/>
                      <wp:effectExtent l="0" t="0" r="0" b="0"/>
                      <wp:wrapNone/>
                      <wp:docPr id="13" name="Frame13"/>
                      <a:graphic xmlns:a="http://schemas.openxmlformats.org/drawingml/2006/main">
                        <a:graphicData uri="http://schemas.microsoft.com/office/word/2010/wordprocessingShape">
                          <wps:wsp>
                            <wps:cNvSpPr txBox="1"/>
                            <wps:spPr>
                              <a:xfrm>
                                <a:off x="0" y="0"/>
                                <a:ext cx="2019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01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039"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Year Ended </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113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17" w:type="dxa"/>
            <w:tcBorders/>
            <w:shd w:fill="auto" w:val="clear"/>
            <w:vAlign w:val="center"/>
          </w:tcPr>
          <w:p>
            <w:pPr>
              <w:pStyle w:val="TableContents"/>
              <w:spacing w:before="0" w:after="0"/>
              <w:ind w:left="0" w:right="0" w:hanging="0"/>
              <w:jc w:val="center"/>
              <w:rPr/>
            </w:pPr>
            <w:r>
              <w:rPr/>
              <w:t>​</w:t>
            </w:r>
          </w:p>
        </w:tc>
        <w:tc>
          <w:tcPr>
            <w:tcW w:w="318" w:type="dxa"/>
            <w:tcBorders/>
            <w:shd w:fill="auto" w:val="clear"/>
            <w:vAlign w:val="center"/>
          </w:tcPr>
          <w:p>
            <w:pPr>
              <w:pStyle w:val="TableContents"/>
              <w:spacing w:before="0" w:after="0"/>
              <w:ind w:left="0" w:right="0" w:hanging="0"/>
              <w:rPr/>
            </w:pPr>
            <w:r>
              <w:rPr/>
              <w:t> </w:t>
            </w:r>
          </w:p>
        </w:tc>
      </w:tr>
      <w:tr>
        <w:trPr/>
        <w:tc>
          <w:tcPr>
            <w:tcW w:w="401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039"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shd w:fill="auto" w:val="clear"/>
            <w:vAlign w:val="center"/>
          </w:tcPr>
          <w:p>
            <w:pPr>
              <w:pStyle w:val="TableContents"/>
              <w:spacing w:before="0" w:after="0"/>
              <w:ind w:left="0" w:right="0" w:hanging="0"/>
              <w:jc w:val="center"/>
              <w:rPr/>
            </w:pPr>
            <w:r>
              <w:rPr/>
              <w:t>​</w:t>
            </w:r>
          </w:p>
        </w:tc>
        <w:tc>
          <w:tcPr>
            <w:tcW w:w="2186"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 vs 2021</w:t>
            </w:r>
          </w:p>
        </w:tc>
        <w:tc>
          <w:tcPr>
            <w:tcW w:w="318" w:type="dxa"/>
            <w:tcBorders/>
            <w:shd w:fill="auto" w:val="clear"/>
            <w:vAlign w:val="center"/>
          </w:tcPr>
          <w:p>
            <w:pPr>
              <w:pStyle w:val="TableContents"/>
              <w:spacing w:before="0" w:after="0"/>
              <w:ind w:left="0" w:right="0" w:hanging="0"/>
              <w:rPr/>
            </w:pPr>
            <w:r>
              <w:rPr/>
              <w:t>​</w:t>
            </w:r>
          </w:p>
        </w:tc>
      </w:tr>
      <w:tr>
        <w:trPr/>
        <w:tc>
          <w:tcPr>
            <w:tcW w:w="401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36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    </w:t>
            </w:r>
          </w:p>
        </w:tc>
        <w:tc>
          <w:tcPr>
            <w:tcW w:w="13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132"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shd w:fill="auto" w:val="clear"/>
            <w:vAlign w:val="center"/>
          </w:tcPr>
          <w:p>
            <w:pPr>
              <w:pStyle w:val="TableContents"/>
              <w:spacing w:before="0" w:after="0"/>
              <w:ind w:left="0" w:right="0" w:hanging="0"/>
              <w:jc w:val="center"/>
              <w:rPr/>
            </w:pPr>
            <w:r>
              <w:rPr/>
              <w:t>    </w:t>
            </w:r>
          </w:p>
        </w:tc>
        <w:tc>
          <w:tcPr>
            <w:tcW w:w="517"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8" w:type="dxa"/>
            <w:tcBorders/>
            <w:shd w:fill="auto" w:val="clear"/>
            <w:vAlign w:val="center"/>
          </w:tcPr>
          <w:p>
            <w:pPr>
              <w:pStyle w:val="TableContents"/>
              <w:spacing w:before="0" w:after="0"/>
              <w:ind w:left="0" w:right="0" w:hanging="0"/>
              <w:rPr/>
            </w:pPr>
            <w:r>
              <w:rPr/>
              <w:t> </w:t>
            </w:r>
          </w:p>
        </w:tc>
      </w:tr>
      <w:tr>
        <w:trPr/>
        <w:tc>
          <w:tcPr>
            <w:tcW w:w="401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revenue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5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159,379,219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108,420,239</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3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50,958,980</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51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1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01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cost of goods and services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5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74,349,421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59,066,545</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3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15,282,876</w:t>
            </w:r>
          </w:p>
        </w:tc>
        <w:tc>
          <w:tcPr>
            <w:tcW w:w="326" w:type="dxa"/>
            <w:tcBorders/>
            <w:shd w:fill="auto" w:val="clear"/>
            <w:vAlign w:val="center"/>
          </w:tcPr>
          <w:p>
            <w:pPr>
              <w:pStyle w:val="TableContents"/>
              <w:spacing w:before="0" w:after="0"/>
              <w:ind w:left="0" w:right="0" w:hanging="0"/>
              <w:jc w:val="right"/>
              <w:rPr/>
            </w:pPr>
            <w:r>
              <w:rPr/>
              <w:t>​</w:t>
            </w:r>
          </w:p>
        </w:tc>
        <w:tc>
          <w:tcPr>
            <w:tcW w:w="51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1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01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5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85,029,798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49,353,694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3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35,676,104</w:t>
            </w:r>
          </w:p>
        </w:tc>
        <w:tc>
          <w:tcPr>
            <w:tcW w:w="326" w:type="dxa"/>
            <w:tcBorders/>
            <w:shd w:fill="CCEEFF" w:val="clear"/>
            <w:vAlign w:val="center"/>
          </w:tcPr>
          <w:p>
            <w:pPr>
              <w:pStyle w:val="TableContents"/>
              <w:spacing w:before="0" w:after="0"/>
              <w:ind w:left="0" w:right="0" w:hanging="0"/>
              <w:jc w:val="right"/>
              <w:rPr/>
            </w:pPr>
            <w:r>
              <w:rPr/>
              <w:t>​</w:t>
            </w:r>
          </w:p>
        </w:tc>
        <w:tc>
          <w:tcPr>
            <w:tcW w:w="51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31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01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5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72,174,964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38,944,528</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3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33,230,436</w:t>
            </w:r>
          </w:p>
        </w:tc>
        <w:tc>
          <w:tcPr>
            <w:tcW w:w="326" w:type="dxa"/>
            <w:tcBorders/>
            <w:shd w:fill="auto" w:val="clear"/>
            <w:vAlign w:val="center"/>
          </w:tcPr>
          <w:p>
            <w:pPr>
              <w:pStyle w:val="TableContents"/>
              <w:spacing w:before="0" w:after="0"/>
              <w:ind w:left="0" w:right="0" w:hanging="0"/>
              <w:jc w:val="right"/>
              <w:rPr/>
            </w:pPr>
            <w:r>
              <w:rPr/>
              <w:t>​</w:t>
            </w:r>
          </w:p>
        </w:tc>
        <w:tc>
          <w:tcPr>
            <w:tcW w:w="51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1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01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(loss) from operations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5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12,854,834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10,409,166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3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2,445,668</w:t>
            </w:r>
          </w:p>
        </w:tc>
        <w:tc>
          <w:tcPr>
            <w:tcW w:w="326" w:type="dxa"/>
            <w:tcBorders/>
            <w:shd w:fill="CCEEFF" w:val="clear"/>
            <w:vAlign w:val="center"/>
          </w:tcPr>
          <w:p>
            <w:pPr>
              <w:pStyle w:val="TableContents"/>
              <w:spacing w:before="0" w:after="0"/>
              <w:ind w:left="0" w:right="0" w:hanging="0"/>
              <w:jc w:val="right"/>
              <w:rPr/>
            </w:pPr>
            <w:r>
              <w:rPr/>
              <w:t>​</w:t>
            </w:r>
          </w:p>
        </w:tc>
        <w:tc>
          <w:tcPr>
            <w:tcW w:w="51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1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01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other income (expense)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5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(16,424,385)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8,506,128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3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(24,930,513)</w:t>
            </w:r>
          </w:p>
        </w:tc>
        <w:tc>
          <w:tcPr>
            <w:tcW w:w="326" w:type="dxa"/>
            <w:tcBorders/>
            <w:shd w:fill="auto" w:val="clear"/>
            <w:vAlign w:val="center"/>
          </w:tcPr>
          <w:p>
            <w:pPr>
              <w:pStyle w:val="TableContents"/>
              <w:spacing w:before="0" w:after="0"/>
              <w:ind w:left="0" w:right="0" w:hanging="0"/>
              <w:jc w:val="right"/>
              <w:rPr/>
            </w:pPr>
            <w:r>
              <w:rPr/>
              <w:t>​</w:t>
            </w:r>
          </w:p>
        </w:tc>
        <w:tc>
          <w:tcPr>
            <w:tcW w:w="51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(293)</w:t>
            </w:r>
          </w:p>
        </w:tc>
        <w:tc>
          <w:tcPr>
            <w:tcW w:w="31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01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Provision for income taxes (benefit)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5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14,898,064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4,396,164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3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10,501,900</w:t>
            </w:r>
          </w:p>
        </w:tc>
        <w:tc>
          <w:tcPr>
            <w:tcW w:w="326" w:type="dxa"/>
            <w:tcBorders/>
            <w:shd w:fill="CCEEFF" w:val="clear"/>
            <w:vAlign w:val="center"/>
          </w:tcPr>
          <w:p>
            <w:pPr>
              <w:pStyle w:val="TableContents"/>
              <w:spacing w:before="0" w:after="0"/>
              <w:ind w:left="0" w:right="0" w:hanging="0"/>
              <w:jc w:val="right"/>
              <w:rPr/>
            </w:pPr>
            <w:r>
              <w:rPr/>
              <w:t>​</w:t>
            </w:r>
          </w:p>
        </w:tc>
        <w:tc>
          <w:tcPr>
            <w:tcW w:w="51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239</w:t>
            </w:r>
          </w:p>
        </w:tc>
        <w:tc>
          <w:tcPr>
            <w:tcW w:w="31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01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 (loss)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5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(18,467,615)</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14,519,130</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3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(32,986,745)</w:t>
            </w:r>
          </w:p>
        </w:tc>
        <w:tc>
          <w:tcPr>
            <w:tcW w:w="326" w:type="dxa"/>
            <w:tcBorders/>
            <w:shd w:fill="auto" w:val="clear"/>
            <w:vAlign w:val="center"/>
          </w:tcPr>
          <w:p>
            <w:pPr>
              <w:pStyle w:val="TableContents"/>
              <w:spacing w:before="0" w:after="0"/>
              <w:ind w:left="0" w:right="0" w:hanging="0"/>
              <w:jc w:val="right"/>
              <w:rPr/>
            </w:pPr>
            <w:r>
              <w:rPr/>
              <w:t>​</w:t>
            </w:r>
          </w:p>
        </w:tc>
        <w:tc>
          <w:tcPr>
            <w:tcW w:w="51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(227)</w:t>
            </w:r>
          </w:p>
        </w:tc>
        <w:tc>
          <w:tcPr>
            <w:tcW w:w="31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01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Earnings (loss) per share attributable to common shareholders - basic</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5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(0.49)</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3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(0.66)</w:t>
            </w:r>
          </w:p>
        </w:tc>
        <w:tc>
          <w:tcPr>
            <w:tcW w:w="326" w:type="dxa"/>
            <w:tcBorders/>
            <w:shd w:fill="CCEEFF" w:val="clear"/>
            <w:vAlign w:val="center"/>
          </w:tcPr>
          <w:p>
            <w:pPr>
              <w:pStyle w:val="TableContents"/>
              <w:spacing w:before="0" w:after="0"/>
              <w:ind w:left="0" w:right="0" w:hanging="0"/>
              <w:jc w:val="right"/>
              <w:rPr/>
            </w:pPr>
            <w:r>
              <w:rPr/>
              <w:t>​</w:t>
            </w:r>
          </w:p>
        </w:tc>
        <w:tc>
          <w:tcPr>
            <w:tcW w:w="51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(396)</w:t>
            </w:r>
          </w:p>
        </w:tc>
        <w:tc>
          <w:tcPr>
            <w:tcW w:w="31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01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Earnings (loss) per share attributable to common shareholders - diluted</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5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(0.49)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3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(0.43)</w:t>
            </w:r>
          </w:p>
        </w:tc>
        <w:tc>
          <w:tcPr>
            <w:tcW w:w="326" w:type="dxa"/>
            <w:tcBorders/>
            <w:shd w:fill="auto" w:val="clear"/>
            <w:vAlign w:val="center"/>
          </w:tcPr>
          <w:p>
            <w:pPr>
              <w:pStyle w:val="TableContents"/>
              <w:spacing w:before="0" w:after="0"/>
              <w:ind w:left="0" w:right="0" w:hanging="0"/>
              <w:jc w:val="right"/>
              <w:rPr/>
            </w:pPr>
            <w:r>
              <w:rPr/>
              <w:t>​</w:t>
            </w:r>
          </w:p>
        </w:tc>
        <w:tc>
          <w:tcPr>
            <w:tcW w:w="51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788</w:t>
            </w:r>
          </w:p>
        </w:tc>
        <w:tc>
          <w:tcPr>
            <w:tcW w:w="31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01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 average number of shares outstanding - basic</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5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53,637,003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43,339,092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132"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517" w:type="dxa"/>
            <w:tcBorders/>
            <w:shd w:fill="CCEEFF" w:val="clear"/>
            <w:vAlign w:val="center"/>
          </w:tcPr>
          <w:p>
            <w:pPr>
              <w:pStyle w:val="TableContents"/>
              <w:spacing w:before="0" w:after="0"/>
              <w:ind w:left="0" w:right="0" w:hanging="0"/>
              <w:rPr/>
            </w:pPr>
            <w:r>
              <w:rPr/>
              <w:t>​</w:t>
            </w:r>
          </w:p>
        </w:tc>
        <w:tc>
          <w:tcPr>
            <w:tcW w:w="318" w:type="dxa"/>
            <w:tcBorders/>
            <w:shd w:fill="CCEEFF" w:val="clear"/>
            <w:vAlign w:val="center"/>
          </w:tcPr>
          <w:p>
            <w:pPr>
              <w:pStyle w:val="TableContents"/>
              <w:spacing w:before="0" w:after="0"/>
              <w:ind w:left="0" w:right="0" w:hanging="0"/>
              <w:rPr/>
            </w:pPr>
            <w:r>
              <w:rPr/>
              <w:t>​</w:t>
            </w:r>
          </w:p>
        </w:tc>
      </w:tr>
      <w:tr>
        <w:trPr/>
        <w:tc>
          <w:tcPr>
            <w:tcW w:w="401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 average number of shares outstanding - diluted</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5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53,637,003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101,368,958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13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17" w:type="dxa"/>
            <w:tcBorders/>
            <w:shd w:fill="auto" w:val="clear"/>
            <w:vAlign w:val="center"/>
          </w:tcPr>
          <w:p>
            <w:pPr>
              <w:pStyle w:val="TableContents"/>
              <w:spacing w:before="0" w:after="0"/>
              <w:ind w:left="0" w:right="0" w:hanging="0"/>
              <w:rPr/>
            </w:pPr>
            <w:r>
              <w:rPr/>
              <w:t>​</w:t>
            </w:r>
          </w:p>
        </w:tc>
        <w:tc>
          <w:tcPr>
            <w:tcW w:w="318"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color w:val="FF0000"/>
        </w:rPr>
      </w:pPr>
      <w:r>
        <w:rPr>
          <w:color w:val="FF0000"/>
        </w:rPr>
        <w:t>​</w:t>
      </w:r>
    </w:p>
    <w:tbl>
      <w:tblPr>
        <w:tblW w:w="5382" w:type="dxa"/>
        <w:jc w:val="left"/>
        <w:tblInd w:w="0" w:type="dxa"/>
        <w:tblCellMar>
          <w:top w:w="0" w:type="dxa"/>
          <w:left w:w="0" w:type="dxa"/>
          <w:bottom w:w="0" w:type="dxa"/>
          <w:right w:w="0" w:type="dxa"/>
        </w:tblCellMar>
      </w:tblPr>
      <w:tblGrid>
        <w:gridCol w:w="1921"/>
        <w:gridCol w:w="326"/>
        <w:gridCol w:w="211"/>
        <w:gridCol w:w="1141"/>
        <w:gridCol w:w="326"/>
        <w:gridCol w:w="211"/>
        <w:gridCol w:w="1246"/>
      </w:tblGrid>
      <w:tr>
        <w:trPr/>
        <w:tc>
          <w:tcPr>
            <w:tcW w:w="19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219835" cy="175260"/>
                      <wp:effectExtent l="0" t="0" r="0" b="0"/>
                      <wp:wrapNone/>
                      <wp:docPr id="14" name="Frame14"/>
                      <a:graphic xmlns:a="http://schemas.openxmlformats.org/drawingml/2006/main">
                        <a:graphicData uri="http://schemas.microsoft.com/office/word/2010/wordprocessingShape">
                          <wps:wsp>
                            <wps:cNvSpPr txBox="1"/>
                            <wps:spPr>
                              <a:xfrm>
                                <a:off x="0" y="0"/>
                                <a:ext cx="1219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724535" cy="175260"/>
                      <wp:effectExtent l="0" t="0" r="0" b="0"/>
                      <wp:wrapNone/>
                      <wp:docPr id="17" name="Frame17"/>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8" name="Frame1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9" name="Frame1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791210" cy="175260"/>
                      <wp:effectExtent l="0" t="0" r="0" b="0"/>
                      <wp:wrapNone/>
                      <wp:docPr id="20" name="Frame20"/>
                      <a:graphic xmlns:a="http://schemas.openxmlformats.org/drawingml/2006/main">
                        <a:graphicData uri="http://schemas.microsoft.com/office/word/2010/wordprocessingShape">
                          <wps:wsp>
                            <wps:cNvSpPr txBox="1"/>
                            <wps:spPr>
                              <a:xfrm>
                                <a:off x="0" y="0"/>
                                <a:ext cx="791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9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313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Year Ended </w:t>
            </w:r>
          </w:p>
        </w:tc>
      </w:tr>
      <w:tr>
        <w:trPr/>
        <w:tc>
          <w:tcPr>
            <w:tcW w:w="19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13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9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2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19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322,882,733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285,030,792</w:t>
            </w:r>
          </w:p>
        </w:tc>
      </w:tr>
      <w:tr>
        <w:trPr/>
        <w:tc>
          <w:tcPr>
            <w:tcW w:w="19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Long-Term 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143,338,054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246" w:type="dxa"/>
            <w:tcBorders/>
            <w:shd w:fill="auto"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106,197,948</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mallCaps/>
          <w:sz w:val="20"/>
        </w:rPr>
      </w:pPr>
      <w:r>
        <w:rPr>
          <w:rFonts w:ascii="Times New Roman;Times;serif" w:hAnsi="Times New Roman;Times;serif"/>
          <w:b/>
          <w:smallCaps/>
          <w:sz w:val="20"/>
        </w:rPr>
        <w:t xml:space="preserve">Year Ended December 31, 2022 Compared to the Year Ended December 31, 2021 </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Revenue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Consolidated revenues for the year ended December 31, 2022, totaled $159,379,219, compared to revenues of $108,420,239</w:t>
      </w:r>
      <w:r>
        <w:rPr>
          <w:rFonts w:ascii="Times New Roman;Times;serif" w:hAnsi="Times New Roman;Times;serif"/>
          <w:color w:val="FF0000"/>
          <w:sz w:val="20"/>
        </w:rPr>
        <w:t xml:space="preserve"> </w:t>
      </w:r>
      <w:r>
        <w:rPr>
          <w:rFonts w:ascii="Times New Roman;Times;serif" w:hAnsi="Times New Roman;Times;serif"/>
          <w:sz w:val="20"/>
        </w:rPr>
        <w:t xml:space="preserve">representing an increase of $50,958,980, or 47%. This increase was influenced by a number of factors, including consummation of identified acquisitions, new store openings, entrance into the New Mexico market, and adult-use legalization taking effect in New Mexico in 2022. In 2022, the Company completed seven acquisitions and opened six new stores not related to acquisitions, which increased the Company’s retail presence from 18 dispensaries as of December 31, 2021 to 41 dispensaries as of December 31, 2022. Based on publicly available sales data, management estimates that overall cannabis sales in the New Mexico market increased approximately 75% as compared to 2021 sales as a result of increased adult-use recreational cannabis sales following its legalization in April 2022.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Cost of Goods and Services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Cost of goods and services for the year ended December 31, 2022, totaled $74,349,421 compared to cost of goods and services of $59,066,545</w:t>
      </w:r>
      <w:r>
        <w:rPr>
          <w:rFonts w:ascii="Times New Roman;Times;serif" w:hAnsi="Times New Roman;Times;serif"/>
          <w:color w:val="FF0000"/>
          <w:sz w:val="20"/>
        </w:rPr>
        <w:t xml:space="preserve"> </w:t>
      </w:r>
      <w:r>
        <w:rPr>
          <w:rFonts w:ascii="Times New Roman;Times;serif" w:hAnsi="Times New Roman;Times;serif"/>
          <w:sz w:val="20"/>
        </w:rPr>
        <w:t>for the year ended December 31, 2021, representing an increase of $15,282,876, or approximately 26%. This increase was due to the opening of six new stores in 2022, as well the consummation and integration of seven acquisition transactions. The Company also increased its cultivation capacity from two cultivation facilities as of December 31, 2021 to five cultivation facilities as of December 31, 2022, which inherently increased cost of goods and services.  </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Gross Profit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Gross profit for the year ended December 31, 2022 totaled $85,029,798 compared to gross profit of $49,353,694 for the year ended December 31, 2021, representing an increase of approximately 72%. The change in gross profit is driven by the factors that influenced revenue and cost of goods and services for 2022 discussed above. While the Company’s cost of goods and services expense increased in 2022, it increased at a lower rate than the Company’s consolidated revenue, which increased by 47% in 2022, as compared to an increase in cost of goods and services of 26% during 2022. This is due to increased vertical integration and improved internal cost of operations that pass through to retail margins along with operation synergies leveraging internal economies of scale in each state where the Company operates. </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Operating Expenses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Operating expenses for the year ended December 31, 2022, totaled $72,174,964, compared to operating expenses of $38,944,528 during the year ended December 31, 2021, representing an increase of $33,230,436 or approximately 85%. This increase was largely due to increased selling, general and administrative expenses, which includes certain one-time impairment charges for the year ended December 31, 2022, and increased salary expenses.  </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SG&amp;A</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increase in selling, general and administrative expenses (“SG&amp;A”) is predominantly attributable to expenses related to acquisition activity and increased overhead associated with entry into the New Mexico market. The Company consummated three acquisitions in 2021 as compared to seven acquisitions in 2022, and the Company was required to expend additional resources on non-reoccurring acquisition services in 2022 due to this increased activity. SG&amp;A related to acquisition activity totaled $6,822,000 for the year ended December 31, 2022, up from $2,779,000</w:t>
      </w:r>
      <w:r>
        <w:rPr>
          <w:rFonts w:ascii="Times New Roman;Times;serif" w:hAnsi="Times New Roman;Times;serif"/>
          <w:color w:val="FF0000"/>
          <w:sz w:val="20"/>
        </w:rPr>
        <w:t xml:space="preserve"> </w:t>
      </w:r>
      <w:r>
        <w:rPr>
          <w:rFonts w:ascii="Times New Roman;Times;serif" w:hAnsi="Times New Roman;Times;serif"/>
          <w:sz w:val="20"/>
        </w:rPr>
        <w:t xml:space="preserve">for the year ended December 31, 2021. Rent payments for Retail leases increased approximately 163% during 2022 as a result of acquisitions and new store openings, which also caused SG&amp;A to increase as compared to the prior period. </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Impairments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During 2022, the Company discontinued operations related to its consulting business, one cultivation facility in New Mexico acquired in the R. Greenleaf acquisition, and one cultivation facility in Colorado acquired in the Star Buds acquisitions. The Company had approximately $11.7 million of goodwill impairment, of which $3,708,226 is related to discontinued of its consulting practice in 2022, which is reported under other income (expense) section of the accompanying consolidated statement of comprehensive (loss) income as a loss on business disposition.  </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Salary and Labor Costs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Company’s workforce increased from 281 full-time employees as of December 31, 2021 to 658 full-time employees as of December 31, 2022, causing operating expenses for salary and compensation to increase as compared to the prior year. </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Other Income (Expense), Net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Other expense, net for the year ended December 31, 2022, totaled $16,424,385, compared to other income, net of $8,506,128 during the year ended December 31, 2021, representing an increase in expenses of $24,930,513, or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approximately 293%. The largest driver of this change was the increased interest obligations associated with the Investor Notes and the loss on disposition of assets, which was partially offset by the gain on derivative liability. Interest expenses related to the Investor Notes totaled $30,139,645, which includes $17,093,370 in cash interest. The non-cash portion of the interest totaled $13,046,275, which includes amortization of the debt discount and closing costs associated with the Investor Notes and $4,118,390 of interest that is paid as an accretion to the principal of the Investor Notes for the year ended December 31, 2022, as compared to accrued interest of $1,425,278 for the year ended December 31, 2021. Additionally, the Company recognized a loss on disposition of assets of $4,684,366 for the year ended December 31, 2022, which includes $3,708,226 of goodwill related to the discontinuation of the Company’s consulting business and $875,400 of intangible impairment also related to discontinued operations of a cultivation facility in Colorado. The remaining $100,740 of the loss recorded is related to other assets and liabilities written off for these discontinued operations. </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Net Income (Loss)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a result of the factors discussed above, we generated net loss for the year ended December 31, 2022, of $18,467,615, compared to net income of $14,519,130 during the year ended December 31, 2021. </w:t>
      </w:r>
    </w:p>
    <w:p>
      <w:pPr>
        <w:pStyle w:val="TextBody"/>
        <w:spacing w:before="0" w:after="0"/>
        <w:ind w:left="0" w:right="0" w:hanging="0"/>
        <w:rPr>
          <w:rFonts w:ascii="Times New Roman;Times;serif" w:hAnsi="Times New Roman;Times;serif"/>
          <w:b/>
          <w:smallCaps/>
          <w:sz w:val="20"/>
        </w:rPr>
      </w:pPr>
      <w:r>
        <w:rPr>
          <w:rFonts w:ascii="Times New Roman;Times;serif" w:hAnsi="Times New Roman;Times;serif"/>
          <w:b/>
          <w:smallCaps/>
          <w:sz w:val="20"/>
        </w:rPr>
        <w:t xml:space="preserve">Revenue by Segment </w:t>
      </w:r>
    </w:p>
    <w:p>
      <w:pPr>
        <w:pStyle w:val="TextBody"/>
        <w:spacing w:before="0" w:after="0"/>
        <w:ind w:left="0" w:right="0" w:hanging="0"/>
        <w:rPr/>
      </w:pPr>
      <w:r>
        <w:rPr/>
        <w:t>​</w:t>
      </w:r>
    </w:p>
    <w:tbl>
      <w:tblPr>
        <w:tblW w:w="7373" w:type="dxa"/>
        <w:jc w:val="left"/>
        <w:tblInd w:w="0" w:type="dxa"/>
        <w:tblCellMar>
          <w:top w:w="0" w:type="dxa"/>
          <w:left w:w="0" w:type="dxa"/>
          <w:bottom w:w="0" w:type="dxa"/>
          <w:right w:w="0" w:type="dxa"/>
        </w:tblCellMar>
      </w:tblPr>
      <w:tblGrid>
        <w:gridCol w:w="1246"/>
        <w:gridCol w:w="326"/>
        <w:gridCol w:w="211"/>
        <w:gridCol w:w="1141"/>
        <w:gridCol w:w="326"/>
        <w:gridCol w:w="211"/>
        <w:gridCol w:w="1141"/>
        <w:gridCol w:w="326"/>
        <w:gridCol w:w="211"/>
        <w:gridCol w:w="1156"/>
        <w:gridCol w:w="326"/>
        <w:gridCol w:w="436"/>
        <w:gridCol w:w="316"/>
      </w:tblGrid>
      <w:tr>
        <w:trPr/>
        <w:tc>
          <w:tcPr>
            <w:tcW w:w="12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791210" cy="175260"/>
                      <wp:effectExtent l="0" t="0" r="0" b="0"/>
                      <wp:wrapNone/>
                      <wp:docPr id="21" name="Frame21"/>
                      <a:graphic xmlns:a="http://schemas.openxmlformats.org/drawingml/2006/main">
                        <a:graphicData uri="http://schemas.microsoft.com/office/word/2010/wordprocessingShape">
                          <wps:wsp>
                            <wps:cNvSpPr txBox="1"/>
                            <wps:spPr>
                              <a:xfrm>
                                <a:off x="0" y="0"/>
                                <a:ext cx="791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3" name="Frame2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724535" cy="175260"/>
                      <wp:effectExtent l="0" t="0" r="0" b="0"/>
                      <wp:wrapNone/>
                      <wp:docPr id="24" name="Frame24"/>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7010" cy="175260"/>
                      <wp:effectExtent l="0" t="0" r="0" b="0"/>
                      <wp:wrapNone/>
                      <wp:docPr id="25" name="Frame2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3985" cy="175260"/>
                      <wp:effectExtent l="0" t="0" r="0" b="0"/>
                      <wp:wrapNone/>
                      <wp:docPr id="26" name="Frame2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724535" cy="175260"/>
                      <wp:effectExtent l="0" t="0" r="0" b="0"/>
                      <wp:wrapNone/>
                      <wp:docPr id="27" name="Frame27"/>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8" name="Frame2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3985" cy="175260"/>
                      <wp:effectExtent l="0" t="0" r="0" b="0"/>
                      <wp:wrapNone/>
                      <wp:docPr id="29" name="Frame2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734060" cy="175260"/>
                      <wp:effectExtent l="0" t="0" r="0" b="0"/>
                      <wp:wrapNone/>
                      <wp:docPr id="30" name="Frame30"/>
                      <a:graphic xmlns:a="http://schemas.openxmlformats.org/drawingml/2006/main">
                        <a:graphicData uri="http://schemas.microsoft.com/office/word/2010/wordprocessingShape">
                          <wps:wsp>
                            <wps:cNvSpPr txBox="1"/>
                            <wps:spPr>
                              <a:xfrm>
                                <a:off x="0" y="0"/>
                                <a:ext cx="734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31" name="Frame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76860" cy="175260"/>
                      <wp:effectExtent l="0" t="0" r="0" b="0"/>
                      <wp:wrapNone/>
                      <wp:docPr id="32" name="Frame32"/>
                      <a:graphic xmlns:a="http://schemas.openxmlformats.org/drawingml/2006/main">
                        <a:graphicData uri="http://schemas.microsoft.com/office/word/2010/wordprocessingShape">
                          <wps:wsp>
                            <wps:cNvSpPr txBox="1"/>
                            <wps:spPr>
                              <a:xfrm>
                                <a:off x="0" y="0"/>
                                <a:ext cx="276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0660" cy="175260"/>
                      <wp:effectExtent l="0" t="0" r="0" b="0"/>
                      <wp:wrapNone/>
                      <wp:docPr id="33" name="Frame33"/>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24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303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c>
          <w:tcPr>
            <w:tcW w:w="326" w:type="dxa"/>
            <w:tcBorders/>
            <w:shd w:fill="auto" w:val="clear"/>
            <w:vAlign w:val="center"/>
          </w:tcPr>
          <w:p>
            <w:pPr>
              <w:pStyle w:val="TableContents"/>
              <w:spacing w:before="0" w:after="0"/>
              <w:ind w:left="0" w:right="0" w:hanging="0"/>
              <w:jc w:val="center"/>
              <w:rPr/>
            </w:pPr>
            <w:r>
              <w:rPr/>
              <w:t>​</w:t>
            </w:r>
          </w:p>
        </w:tc>
        <w:tc>
          <w:tcPr>
            <w:tcW w:w="2129"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 vs 2021</w:t>
            </w:r>
          </w:p>
        </w:tc>
        <w:tc>
          <w:tcPr>
            <w:tcW w:w="316" w:type="dxa"/>
            <w:tcBorders/>
            <w:shd w:fill="auto" w:val="clear"/>
            <w:vAlign w:val="center"/>
          </w:tcPr>
          <w:p>
            <w:pPr>
              <w:pStyle w:val="TableContents"/>
              <w:spacing w:before="0" w:after="0"/>
              <w:ind w:left="0" w:right="0" w:hanging="0"/>
              <w:jc w:val="center"/>
              <w:rPr/>
            </w:pPr>
            <w:r>
              <w:rPr/>
              <w:t>​</w:t>
            </w:r>
          </w:p>
        </w:tc>
      </w:tr>
      <w:tr>
        <w:trPr/>
        <w:tc>
          <w:tcPr>
            <w:tcW w:w="124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3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    </w:t>
            </w:r>
          </w:p>
        </w:tc>
        <w:tc>
          <w:tcPr>
            <w:tcW w:w="13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    </w:t>
            </w:r>
          </w:p>
        </w:tc>
        <w:tc>
          <w:tcPr>
            <w:tcW w:w="136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shd w:fill="auto" w:val="clear"/>
            <w:vAlign w:val="center"/>
          </w:tcPr>
          <w:p>
            <w:pPr>
              <w:pStyle w:val="TableContents"/>
              <w:spacing w:before="0" w:after="0"/>
              <w:ind w:left="0" w:right="0" w:hanging="0"/>
              <w:jc w:val="center"/>
              <w:rPr/>
            </w:pPr>
            <w:r>
              <w:rPr/>
              <w:t>    </w:t>
            </w:r>
          </w:p>
        </w:tc>
        <w:tc>
          <w:tcPr>
            <w:tcW w:w="4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shd w:fill="auto" w:val="clear"/>
            <w:vAlign w:val="center"/>
          </w:tcPr>
          <w:p>
            <w:pPr>
              <w:pStyle w:val="TableContents"/>
              <w:spacing w:before="0" w:after="0"/>
              <w:ind w:left="0" w:right="0" w:hanging="0"/>
              <w:jc w:val="center"/>
              <w:rPr/>
            </w:pPr>
            <w:r>
              <w:rPr/>
              <w:t>​</w:t>
            </w:r>
          </w:p>
        </w:tc>
      </w:tr>
      <w:tr>
        <w:trPr/>
        <w:tc>
          <w:tcPr>
            <w:tcW w:w="12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Retail</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141,254,893</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73,761,010</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67,493,883</w:t>
            </w:r>
          </w:p>
        </w:tc>
        <w:tc>
          <w:tcPr>
            <w:tcW w:w="326" w:type="dxa"/>
            <w:tcBorders/>
            <w:shd w:fill="CCEEFF" w:val="clear"/>
            <w:vAlign w:val="center"/>
          </w:tcPr>
          <w:p>
            <w:pPr>
              <w:pStyle w:val="TableContents"/>
              <w:spacing w:before="0" w:after="0"/>
              <w:ind w:left="0" w:right="0" w:hanging="0"/>
              <w:rPr>
                <w:color w:val="FF0000"/>
              </w:rPr>
            </w:pPr>
            <w:r>
              <w:rPr>
                <w:color w:val="FF0000"/>
              </w:rPr>
              <w:t>​</w:t>
            </w:r>
          </w:p>
        </w:tc>
        <w:tc>
          <w:tcPr>
            <w:tcW w:w="4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12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Wholesale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17,819,938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34,434,091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(16,614,153)</w:t>
            </w:r>
          </w:p>
        </w:tc>
        <w:tc>
          <w:tcPr>
            <w:tcW w:w="326"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12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304,388</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225,138</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79,250</w:t>
            </w:r>
          </w:p>
        </w:tc>
        <w:tc>
          <w:tcPr>
            <w:tcW w:w="326" w:type="dxa"/>
            <w:tcBorders/>
            <w:shd w:fill="CCEEFF" w:val="clear"/>
            <w:vAlign w:val="center"/>
          </w:tcPr>
          <w:p>
            <w:pPr>
              <w:pStyle w:val="TableContents"/>
              <w:spacing w:before="0" w:after="0"/>
              <w:ind w:left="0" w:right="0" w:hanging="0"/>
              <w:jc w:val="right"/>
              <w:rPr/>
            </w:pPr>
            <w:r>
              <w:rPr/>
              <w:t>​</w:t>
            </w:r>
          </w:p>
        </w:tc>
        <w:tc>
          <w:tcPr>
            <w:tcW w:w="4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12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revenue</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159,379,219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108,420,239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50,958,980</w:t>
            </w:r>
          </w:p>
        </w:tc>
        <w:tc>
          <w:tcPr>
            <w:tcW w:w="326"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Retail revenues for the year ended December 31, 2022 were $141,254,893, an increase of $67,493,883 or 92%</w:t>
      </w:r>
      <w:r>
        <w:rPr>
          <w:rFonts w:ascii="Times New Roman;Times;serif" w:hAnsi="Times New Roman;Times;serif"/>
          <w:color w:val="FF0000"/>
          <w:sz w:val="20"/>
        </w:rPr>
        <w:t xml:space="preserve"> </w:t>
      </w:r>
      <w:r>
        <w:rPr>
          <w:rFonts w:ascii="Times New Roman;Times;serif" w:hAnsi="Times New Roman;Times;serif"/>
          <w:sz w:val="20"/>
        </w:rPr>
        <w:t>compared to the year ended December 31, 2021. The increase in Retail revenues was primarily driven the by acquisition of seven new dispensaries in Colorado, the Company’s acquisition of ten R. Greenleaf dispensaries in February 2022, the opening of six new stores independent of acquisitions, and the legalization of adult-use recreational cannabis sales coming into effect in New Mexico in April 2022. Prior to consummation of the acquisition to acquire R. Greenleaf, the Company did not have active operations in New Mexico.</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Revenues for the Wholesale segment were $17,819,938 for the year ended December 31, 2022, a decrease of $16,614,153 or 47%</w:t>
      </w:r>
      <w:r>
        <w:rPr>
          <w:rFonts w:ascii="Times New Roman;Times;serif" w:hAnsi="Times New Roman;Times;serif"/>
          <w:color w:val="FF0000"/>
          <w:sz w:val="20"/>
        </w:rPr>
        <w:t xml:space="preserve"> </w:t>
      </w:r>
      <w:r>
        <w:rPr>
          <w:rFonts w:ascii="Times New Roman;Times;serif" w:hAnsi="Times New Roman;Times;serif"/>
          <w:sz w:val="20"/>
        </w:rPr>
        <w:t>compared to December 31, 2021. Wholesale revenues decreased in 2022 as compared to 2021 due to over-supply and negative pricing pressure in the wholesale market.</w:t>
      </w:r>
      <w:r>
        <w:rPr>
          <w:rFonts w:ascii="Times New Roman;Times;serif" w:hAnsi="Times New Roman;Times;serif"/>
          <w:color w:val="FF0000"/>
          <w:sz w:val="20"/>
        </w:rPr>
        <w:t xml:space="preserve"> </w:t>
      </w:r>
      <w:r>
        <w:rPr>
          <w:rFonts w:ascii="Times New Roman;Times;serif" w:hAnsi="Times New Roman;Times;serif"/>
          <w:sz w:val="20"/>
        </w:rPr>
        <w:t>Based on published pricing data from the State of Colorado, the average price per pound of cannabis flower decreased from $1,220 per pound in 2021 to $706 per pound in 2022.  This is a year-over-year decrease of 42% in average retail price, which correlates directly to wholesale pricing.</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Other revenues were $304,388 for the year ended December 31, 2022, an increase of $79,250 or 35% compared to the year ended December 31, 2021. The increase in Other revenue was primarily driven by increased organizational promotional activity with retail vendors in an effort to increase store traffic. Management discontinued its historical licensing and consulting practices as the company prioritizes its strategic growth initiatives. As such, Other revenue is expected to be derived from promotional activities and other potential non-retail and wholesale activities rather than consulting-based services in future periods. </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DRIVERS OF RESULTS OF OPERATIONS</w:t>
      </w:r>
    </w:p>
    <w:p>
      <w:pPr>
        <w:pStyle w:val="TextBody"/>
        <w:spacing w:before="0" w:after="240"/>
        <w:ind w:left="0" w:right="0" w:hanging="0"/>
        <w:rPr>
          <w:rFonts w:ascii="Times New Roman;Times;serif" w:hAnsi="Times New Roman;Times;serif"/>
          <w:b w:val="false"/>
          <w:i/>
          <w:sz w:val="20"/>
        </w:rPr>
      </w:pPr>
      <w:r>
        <w:rPr>
          <w:rFonts w:ascii="Times New Roman;Times;serif" w:hAnsi="Times New Roman;Times;serif"/>
          <w:b w:val="false"/>
          <w:i/>
          <w:sz w:val="20"/>
        </w:rPr>
        <w:t>Revenue</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derives its revenue from three revenue streams: (i) Retail, which sells finished goods sourced internally and externally to the end consumer in retail stores; (ii) Wholesale, which is the cultivation of flower and biomass used internally and/or sold externally and the manufacturing of biomass into distillate for integration into internally and externally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developed products, such as edibles and internally developed products such as vapes and cartridges under the Purplebee’s brand; and (iii) Other, which includes other income and expenses, such as in-store advertising and corporate operations. </w:t>
      </w:r>
    </w:p>
    <w:p>
      <w:pPr>
        <w:pStyle w:val="TextBody"/>
        <w:spacing w:before="0" w:after="240"/>
        <w:ind w:left="0" w:right="0" w:hanging="0"/>
        <w:rPr>
          <w:rFonts w:ascii="Times New Roman;Times;serif" w:hAnsi="Times New Roman;Times;serif"/>
          <w:b w:val="false"/>
          <w:i/>
          <w:sz w:val="20"/>
        </w:rPr>
      </w:pPr>
      <w:r>
        <w:rPr>
          <w:rFonts w:ascii="Times New Roman;Times;serif" w:hAnsi="Times New Roman;Times;serif"/>
          <w:b w:val="false"/>
          <w:i/>
          <w:sz w:val="20"/>
        </w:rPr>
        <w:t>Gross Profit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Gross profit is revenue less cost of goods sold. Cost of goods sold includes costs directly attributable to product sales and includes amounts paid for finished goods such as flower, edibles, and concentrates, as well as manufacturing and cultivation labor, packaging cost and labor, supplies and overhead such as rent, utilities and other related costs. Cannabis costs are affected by market supply. Gross margin measures our gross profit as a percentage of revenue.</w:t>
      </w:r>
    </w:p>
    <w:p>
      <w:pPr>
        <w:pStyle w:val="TextBody"/>
        <w:spacing w:before="0" w:after="240"/>
        <w:ind w:left="0" w:right="0" w:hanging="0"/>
        <w:rPr>
          <w:rFonts w:ascii="Times New Roman;Times;serif" w:hAnsi="Times New Roman;Times;serif"/>
          <w:b w:val="false"/>
          <w:i/>
          <w:sz w:val="20"/>
        </w:rPr>
      </w:pPr>
      <w:r>
        <w:rPr>
          <w:rFonts w:ascii="Times New Roman;Times;serif" w:hAnsi="Times New Roman;Times;serif"/>
          <w:b w:val="false"/>
          <w:i/>
          <w:sz w:val="20"/>
        </w:rPr>
        <w:t>Total Operating Expenses</w:t>
      </w:r>
    </w:p>
    <w:p>
      <w:pPr>
        <w:pStyle w:val="TextBody"/>
        <w:pBdr/>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Total operating expenses other than the costs of goods sold consists of selling costs to support customer relations, marketing and branding activities. It also includes spend on corporate infrastructure required to support the Company’s ongoing business. </w:t>
      </w:r>
    </w:p>
    <w:p>
      <w:pPr>
        <w:pStyle w:val="TextBody"/>
        <w:pBdr/>
        <w:shd w:fill="FFFFFF" w:val="clear"/>
        <w:spacing w:before="0" w:after="0"/>
        <w:ind w:left="0" w:right="0" w:hanging="0"/>
        <w:rPr>
          <w:rFonts w:ascii="Times New Roman;Times;serif" w:hAnsi="Times New Roman;Times;serif"/>
          <w:i/>
          <w:sz w:val="20"/>
        </w:rPr>
      </w:pPr>
      <w:r>
        <w:rPr>
          <w:rFonts w:ascii="Times New Roman;Times;serif" w:hAnsi="Times New Roman;Times;serif"/>
          <w:i/>
          <w:sz w:val="20"/>
        </w:rPr>
        <w:t>Adjusted EBITDA</w:t>
      </w:r>
    </w:p>
    <w:p>
      <w:pPr>
        <w:pStyle w:val="TextBody"/>
        <w:pBdr/>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Adjusted EBITDA is derived from Operating Income, which is adjusted for one-time expenses including merger and acquisition and capital-raising costs, non-cash related compensation costs, goodwill impairment, costs related to discontinued operations, depreciation and amortization, and other one-time expenses. Adjusted EBITDA is a non-GAAP financial measure, please see the section entitled “Non-GAAP Measures” below.</w:t>
      </w:r>
    </w:p>
    <w:p>
      <w:pPr>
        <w:pStyle w:val="TextBody"/>
        <w:pBdr/>
        <w:shd w:fill="FFFFFF" w:val="clear"/>
        <w:spacing w:before="0" w:after="0"/>
        <w:ind w:left="0" w:right="0" w:hanging="0"/>
        <w:rPr>
          <w:rFonts w:ascii="Times New Roman;Times;serif" w:hAnsi="Times New Roman;Times;serif"/>
          <w:i/>
          <w:sz w:val="20"/>
        </w:rPr>
      </w:pPr>
      <w:r>
        <w:rPr>
          <w:rFonts w:ascii="Times New Roman;Times;serif" w:hAnsi="Times New Roman;Times;serif"/>
          <w:i/>
          <w:sz w:val="20"/>
        </w:rPr>
        <w:t>Average Basket Size</w:t>
      </w:r>
    </w:p>
    <w:p>
      <w:pPr>
        <w:pStyle w:val="TextBody"/>
        <w:pBdr/>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Average Basket Size is calculated based on the average dollar value of all total items purchased by a single customer during a single visit to one of the Company’s retail dispensary stores. Management monitors and utilizes Average Basket Size to assess consumer preferences and behavior, effectiveness of consistent reward and discount offerings, and product performance. Management believes this metric can be useful to investors for a better understanding of average customer spend and revenue across all Company retail dispensaries.</w:t>
      </w:r>
    </w:p>
    <w:p>
      <w:pPr>
        <w:pStyle w:val="TextBody"/>
        <w:pBdr/>
        <w:shd w:fill="FFFFFF" w:val="clear"/>
        <w:spacing w:before="0" w:after="0"/>
        <w:ind w:left="0" w:right="0" w:hanging="0"/>
        <w:rPr>
          <w:rFonts w:ascii="Times New Roman;Times;serif" w:hAnsi="Times New Roman;Times;serif"/>
          <w:i/>
          <w:sz w:val="20"/>
        </w:rPr>
      </w:pPr>
      <w:r>
        <w:rPr>
          <w:rFonts w:ascii="Times New Roman;Times;serif" w:hAnsi="Times New Roman;Times;serif"/>
          <w:i/>
          <w:sz w:val="20"/>
        </w:rPr>
        <w:t>Recorded Customer Visits</w:t>
      </w:r>
    </w:p>
    <w:p>
      <w:pPr>
        <w:pStyle w:val="TextBody"/>
        <w:pBdr/>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The Recorded Customer Visits metric reports the number of customers that have visited any of the Company’s retail dispensary stores and made a purchase. Customer visits are recorded at the time of purchase. If a customer makes multiple purchases in a day, each purchase is counted as an individual visit. Management uses Recorded Customer Visits to monitor and assess Company performance in the markets where it operates, consumer acceptance of the Company’s brand and products, customer retention, and store traffic. Recorded Customer Visits is a useful non-financial metric for investors to contextualize the Company’s assessment of overall market performance from a customer and sales perspective and evaluate consumer appetite for cannabis products.</w:t>
      </w:r>
    </w:p>
    <w:p>
      <w:pPr>
        <w:pStyle w:val="TextBody"/>
        <w:pBdr/>
        <w:shd w:fill="FFFFFF" w:val="clear"/>
        <w:spacing w:before="0" w:after="0"/>
        <w:ind w:left="0" w:right="0" w:hanging="0"/>
        <w:rPr>
          <w:rFonts w:ascii="Times New Roman;Times;serif" w:hAnsi="Times New Roman;Times;serif"/>
          <w:i/>
          <w:sz w:val="20"/>
        </w:rPr>
      </w:pPr>
      <w:r>
        <w:rPr>
          <w:rFonts w:ascii="Times New Roman;Times;serif" w:hAnsi="Times New Roman;Times;serif"/>
          <w:i/>
          <w:sz w:val="20"/>
        </w:rPr>
        <w:t>Same Store Sales and Stacked IDs</w:t>
      </w:r>
    </w:p>
    <w:p>
      <w:pPr>
        <w:pStyle w:val="TextBody"/>
        <w:shd w:fill="FFFFFF" w:val="clear"/>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utilizes Same Store Sales and Stacked Identical Store Sales (“Stacked IDs”) to evaluate and monitor organic sales of existing dispensaries. Management believes these metrics are useful for investors to assess management of our retail stores and to distinguish revenue and growth from operations from revenue and growth from acquisitions. Same Store Sales and Stacked IDs are both expressed as a percentage that indicates the relative increase or decrease to revenue for certain retail stores from the relevant previous reporting period. Same Store Sales are calculated by comparing revenue from sales for all dispensaries owned by the Company and open for operations for more than one year against the revenue from the sales for the same dispensaries for the previous year. Stacked IDs, which is derived from Same Store Sales, reflects Same Store Sales compared against the revenue from the sales of the same dispensaries for the previous two years. When the Company reports Same Store Sales and Stacked IDs for stores that it has not owned for more than one year, the comparison is made against validated sales data from prior owners of such stores provided to the Company upon acquisition. Consolidated Stacked IDs for 2022 were 7.9%.</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NON-GAAP MEASURES AND RECONCILLATION</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EBITDA and Adjusted EBITDA are non-GAAP measures and do not have standardized definitions under GAAP. The following information provides reconciliations for the supplemental non-GAAP financial measures, presented herein to the most directly comparable financial measures calculated and presented in accordance with GAAP. The Company has provided the non-GAAP financial measures, which are not calculated or presented in accordance with GAAP, as supplemental information and in addition to the financial measures that are calculated and presented in accordance with GAAP. These supplemental non-GAAP financial measures are presented because the Company believes it better explains the results of its core business. Management has evaluated the financial results both including and excluding the adjusted items and believe that the supplemental non-GAAP financial measures presented provide additional perspective and insight when analyzing the core operating performance of the business. These supplemental non-GAAP financial measures should not be considered superior to, as a substitute for or as an alternative to, and should be considered in conjunction with the GAAP financial measures presented.</w:t>
      </w:r>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b/>
          <w:sz w:val="20"/>
        </w:rPr>
        <w:t>Reconciliation:</w:t>
      </w:r>
      <w:r>
        <w:rPr>
          <w:rFonts w:ascii="Times New Roman;Times;serif" w:hAnsi="Times New Roman;Times;serif"/>
          <w:color w:val="FF0000"/>
          <w:sz w:val="20"/>
        </w:rPr>
        <w:t xml:space="preserve"> </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6634"/>
        <w:gridCol w:w="326"/>
        <w:gridCol w:w="211"/>
        <w:gridCol w:w="1152"/>
        <w:gridCol w:w="326"/>
        <w:gridCol w:w="211"/>
        <w:gridCol w:w="1152"/>
        <w:gridCol w:w="193"/>
      </w:tblGrid>
      <w:tr>
        <w:trPr/>
        <w:tc>
          <w:tcPr>
            <w:tcW w:w="66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4212590" cy="175260"/>
                      <wp:effectExtent l="0" t="0" r="0" b="0"/>
                      <wp:wrapNone/>
                      <wp:docPr id="34" name="Frame34"/>
                      <a:graphic xmlns:a="http://schemas.openxmlformats.org/drawingml/2006/main">
                        <a:graphicData uri="http://schemas.microsoft.com/office/word/2010/wordprocessingShape">
                          <wps:wsp>
                            <wps:cNvSpPr txBox="1"/>
                            <wps:spPr>
                              <a:xfrm>
                                <a:off x="0" y="0"/>
                                <a:ext cx="42125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5" name="Frame3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3985" cy="175260"/>
                      <wp:effectExtent l="0" t="0" r="0" b="0"/>
                      <wp:wrapNone/>
                      <wp:docPr id="36" name="Frame3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731520" cy="175260"/>
                      <wp:effectExtent l="0" t="0" r="0" b="0"/>
                      <wp:wrapNone/>
                      <wp:docPr id="37" name="Frame37"/>
                      <a:graphic xmlns:a="http://schemas.openxmlformats.org/drawingml/2006/main">
                        <a:graphicData uri="http://schemas.microsoft.com/office/word/2010/wordprocessingShape">
                          <wps:wsp>
                            <wps:cNvSpPr txBox="1"/>
                            <wps:spPr>
                              <a:xfrm>
                                <a:off x="0" y="0"/>
                                <a:ext cx="7315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8" name="Frame3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3985" cy="175260"/>
                      <wp:effectExtent l="0" t="0" r="0" b="0"/>
                      <wp:wrapNone/>
                      <wp:docPr id="39" name="Frame3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731520" cy="175260"/>
                      <wp:effectExtent l="0" t="0" r="0" b="0"/>
                      <wp:wrapNone/>
                      <wp:docPr id="40" name="Frame40"/>
                      <a:graphic xmlns:a="http://schemas.openxmlformats.org/drawingml/2006/main">
                        <a:graphicData uri="http://schemas.microsoft.com/office/word/2010/wordprocessingShape">
                          <wps:wsp>
                            <wps:cNvSpPr txBox="1"/>
                            <wps:spPr>
                              <a:xfrm>
                                <a:off x="0" y="0"/>
                                <a:ext cx="7315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22555" cy="175260"/>
                      <wp:effectExtent l="0" t="0" r="0" b="0"/>
                      <wp:wrapNone/>
                      <wp:docPr id="41" name="Frame41"/>
                      <a:graphic xmlns:a="http://schemas.openxmlformats.org/drawingml/2006/main">
                        <a:graphicData uri="http://schemas.microsoft.com/office/word/2010/wordprocessingShape">
                          <wps:wsp>
                            <wps:cNvSpPr txBox="1"/>
                            <wps:spPr>
                              <a:xfrm>
                                <a:off x="0" y="0"/>
                                <a:ext cx="1225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663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3052"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c>
          <w:tcPr>
            <w:tcW w:w="193" w:type="dxa"/>
            <w:tcBorders/>
            <w:shd w:fill="auto" w:val="clear"/>
            <w:vAlign w:val="center"/>
          </w:tcPr>
          <w:p>
            <w:pPr>
              <w:pStyle w:val="TableContents"/>
              <w:spacing w:before="0" w:after="1"/>
              <w:ind w:left="0" w:right="0" w:hanging="0"/>
              <w:rPr/>
            </w:pPr>
            <w:r>
              <w:rPr/>
              <w:t> </w:t>
            </w:r>
          </w:p>
        </w:tc>
      </w:tr>
      <w:tr>
        <w:trPr/>
        <w:tc>
          <w:tcPr>
            <w:tcW w:w="663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052"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93" w:type="dxa"/>
            <w:tcBorders/>
            <w:shd w:fill="auto" w:val="clear"/>
            <w:vAlign w:val="center"/>
          </w:tcPr>
          <w:p>
            <w:pPr>
              <w:pStyle w:val="TableContents"/>
              <w:spacing w:before="0" w:after="1"/>
              <w:ind w:left="0" w:right="0" w:hanging="0"/>
              <w:rPr/>
            </w:pPr>
            <w:r>
              <w:rPr/>
              <w:t> </w:t>
            </w:r>
          </w:p>
        </w:tc>
      </w:tr>
      <w:tr>
        <w:trPr/>
        <w:tc>
          <w:tcPr>
            <w:tcW w:w="663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363"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rPr/>
            </w:pPr>
            <w:r>
              <w:rPr/>
              <w:t>    </w:t>
            </w:r>
          </w:p>
        </w:tc>
        <w:tc>
          <w:tcPr>
            <w:tcW w:w="1363"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93" w:type="dxa"/>
            <w:tcBorders/>
            <w:shd w:fill="auto" w:val="clear"/>
            <w:vAlign w:val="center"/>
          </w:tcPr>
          <w:p>
            <w:pPr>
              <w:pStyle w:val="TableContents"/>
              <w:spacing w:before="0" w:after="1"/>
              <w:ind w:left="0" w:right="0" w:hanging="0"/>
              <w:rPr/>
            </w:pPr>
            <w:r>
              <w:rPr/>
              <w:t>​</w:t>
            </w:r>
          </w:p>
        </w:tc>
      </w:tr>
      <w:tr>
        <w:trPr/>
        <w:tc>
          <w:tcPr>
            <w:tcW w:w="6634"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Net income (loss)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1152"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(18,467,615)</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1152"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14,519,130</w:t>
            </w:r>
          </w:p>
        </w:tc>
        <w:tc>
          <w:tcPr>
            <w:tcW w:w="193" w:type="dxa"/>
            <w:tcBorders/>
            <w:shd w:fill="CCEEFF" w:val="clear"/>
            <w:vAlign w:val="center"/>
          </w:tcPr>
          <w:p>
            <w:pPr>
              <w:pStyle w:val="TableContents"/>
              <w:spacing w:before="0" w:after="1"/>
              <w:ind w:left="0" w:right="0" w:hanging="0"/>
              <w:rPr/>
            </w:pPr>
            <w:r>
              <w:rPr/>
              <w:t>​</w:t>
            </w:r>
          </w:p>
        </w:tc>
      </w:tr>
      <w:tr>
        <w:trPr/>
        <w:tc>
          <w:tcPr>
            <w:tcW w:w="663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Interest expense, net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15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30,139,645</w:t>
            </w:r>
          </w:p>
        </w:tc>
        <w:tc>
          <w:tcPr>
            <w:tcW w:w="32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rPr/>
            </w:pPr>
            <w:r>
              <w:rPr/>
              <w:t> </w:t>
            </w:r>
          </w:p>
        </w:tc>
        <w:tc>
          <w:tcPr>
            <w:tcW w:w="115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7,014,279</w:t>
            </w:r>
          </w:p>
        </w:tc>
        <w:tc>
          <w:tcPr>
            <w:tcW w:w="193" w:type="dxa"/>
            <w:tcBorders/>
            <w:shd w:fill="auto" w:val="clear"/>
            <w:vAlign w:val="center"/>
          </w:tcPr>
          <w:p>
            <w:pPr>
              <w:pStyle w:val="TableContents"/>
              <w:spacing w:before="0" w:after="1"/>
              <w:ind w:left="0" w:right="0" w:hanging="0"/>
              <w:rPr/>
            </w:pPr>
            <w:r>
              <w:rPr/>
              <w:t>​</w:t>
            </w:r>
          </w:p>
        </w:tc>
      </w:tr>
      <w:tr>
        <w:trPr/>
        <w:tc>
          <w:tcPr>
            <w:tcW w:w="663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Provision for income taxes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15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14,898,064</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 </w:t>
            </w:r>
          </w:p>
        </w:tc>
        <w:tc>
          <w:tcPr>
            <w:tcW w:w="115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4,396,164</w:t>
            </w:r>
          </w:p>
        </w:tc>
        <w:tc>
          <w:tcPr>
            <w:tcW w:w="193" w:type="dxa"/>
            <w:tcBorders/>
            <w:shd w:fill="CCEEFF" w:val="clear"/>
            <w:vAlign w:val="center"/>
          </w:tcPr>
          <w:p>
            <w:pPr>
              <w:pStyle w:val="TableContents"/>
              <w:spacing w:before="0" w:after="1"/>
              <w:ind w:left="0" w:right="0" w:hanging="0"/>
              <w:rPr/>
            </w:pPr>
            <w:r>
              <w:rPr/>
              <w:t>​</w:t>
            </w:r>
          </w:p>
        </w:tc>
      </w:tr>
      <w:tr>
        <w:trPr/>
        <w:tc>
          <w:tcPr>
            <w:tcW w:w="663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(income) expense, net of interest expense</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15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(13,715,260)</w:t>
            </w:r>
          </w:p>
        </w:tc>
        <w:tc>
          <w:tcPr>
            <w:tcW w:w="32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rPr/>
            </w:pPr>
            <w:r>
              <w:rPr/>
              <w:t> </w:t>
            </w:r>
          </w:p>
        </w:tc>
        <w:tc>
          <w:tcPr>
            <w:tcW w:w="115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(15,520,407)</w:t>
            </w:r>
          </w:p>
        </w:tc>
        <w:tc>
          <w:tcPr>
            <w:tcW w:w="193" w:type="dxa"/>
            <w:tcBorders/>
            <w:shd w:fill="auto" w:val="clear"/>
            <w:vAlign w:val="center"/>
          </w:tcPr>
          <w:p>
            <w:pPr>
              <w:pStyle w:val="TableContents"/>
              <w:spacing w:before="0" w:after="1"/>
              <w:ind w:left="0" w:right="0" w:hanging="0"/>
              <w:rPr/>
            </w:pPr>
            <w:r>
              <w:rPr/>
              <w:t>​</w:t>
            </w:r>
          </w:p>
        </w:tc>
      </w:tr>
      <w:tr>
        <w:trPr/>
        <w:tc>
          <w:tcPr>
            <w:tcW w:w="663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15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11,988,014</w:t>
            </w:r>
          </w:p>
        </w:tc>
        <w:tc>
          <w:tcPr>
            <w:tcW w:w="326" w:type="dxa"/>
            <w:tcBorders/>
            <w:shd w:fill="CCEEFF" w:val="clear"/>
            <w:vAlign w:val="center"/>
          </w:tcPr>
          <w:p>
            <w:pPr>
              <w:pStyle w:val="TableContents"/>
              <w:spacing w:before="0" w:after="1"/>
              <w:ind w:left="0" w:right="0" w:hanging="0"/>
              <w:rPr/>
            </w:pPr>
            <w:r>
              <w:rPr/>
              <w:t> </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15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8,576,865</w:t>
            </w:r>
          </w:p>
        </w:tc>
        <w:tc>
          <w:tcPr>
            <w:tcW w:w="193" w:type="dxa"/>
            <w:tcBorders/>
            <w:shd w:fill="CCEEFF" w:val="clear"/>
            <w:vAlign w:val="center"/>
          </w:tcPr>
          <w:p>
            <w:pPr>
              <w:pStyle w:val="TableContents"/>
              <w:spacing w:before="0" w:after="1"/>
              <w:ind w:left="0" w:right="0" w:hanging="0"/>
              <w:rPr/>
            </w:pPr>
            <w:r>
              <w:rPr/>
              <w:t>​</w:t>
            </w:r>
          </w:p>
        </w:tc>
      </w:tr>
      <w:tr>
        <w:trPr/>
        <w:tc>
          <w:tcPr>
            <w:tcW w:w="6634"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Earnings before interest, taxes, depreciation and amortization (EBITDA) (non-GAAP measure)</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115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24,842,848</w:t>
            </w:r>
          </w:p>
        </w:tc>
        <w:tc>
          <w:tcPr>
            <w:tcW w:w="326" w:type="dxa"/>
            <w:tcBorders/>
            <w:shd w:fill="auto" w:val="clear"/>
            <w:vAlign w:val="center"/>
          </w:tcPr>
          <w:p>
            <w:pPr>
              <w:pStyle w:val="TableContents"/>
              <w:spacing w:before="0" w:after="1"/>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115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18,986,031</w:t>
            </w:r>
          </w:p>
        </w:tc>
        <w:tc>
          <w:tcPr>
            <w:tcW w:w="193" w:type="dxa"/>
            <w:tcBorders/>
            <w:shd w:fill="auto" w:val="clear"/>
            <w:vAlign w:val="center"/>
          </w:tcPr>
          <w:p>
            <w:pPr>
              <w:pStyle w:val="TableContents"/>
              <w:spacing w:before="0" w:after="1"/>
              <w:ind w:left="0" w:right="0" w:hanging="0"/>
              <w:rPr/>
            </w:pPr>
            <w:r>
              <w:rPr/>
              <w:t>​</w:t>
            </w:r>
          </w:p>
        </w:tc>
      </w:tr>
      <w:tr>
        <w:trPr/>
        <w:tc>
          <w:tcPr>
            <w:tcW w:w="663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Non-cash stock compensation</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15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2,672,713</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 </w:t>
            </w:r>
          </w:p>
        </w:tc>
        <w:tc>
          <w:tcPr>
            <w:tcW w:w="115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5,037,879</w:t>
            </w:r>
          </w:p>
        </w:tc>
        <w:tc>
          <w:tcPr>
            <w:tcW w:w="193" w:type="dxa"/>
            <w:tcBorders/>
            <w:shd w:fill="CCEEFF" w:val="clear"/>
            <w:vAlign w:val="center"/>
          </w:tcPr>
          <w:p>
            <w:pPr>
              <w:pStyle w:val="TableContents"/>
              <w:spacing w:before="0" w:after="1"/>
              <w:ind w:left="0" w:right="0" w:hanging="0"/>
              <w:rPr/>
            </w:pPr>
            <w:r>
              <w:rPr/>
              <w:t>​</w:t>
            </w:r>
          </w:p>
        </w:tc>
      </w:tr>
      <w:tr>
        <w:trPr/>
        <w:tc>
          <w:tcPr>
            <w:tcW w:w="663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Deal related expenses (1)</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15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6,822,111</w:t>
            </w:r>
          </w:p>
        </w:tc>
        <w:tc>
          <w:tcPr>
            <w:tcW w:w="32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rPr/>
            </w:pPr>
            <w:r>
              <w:rPr/>
              <w:t> </w:t>
            </w:r>
          </w:p>
        </w:tc>
        <w:tc>
          <w:tcPr>
            <w:tcW w:w="115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2,779,151</w:t>
            </w:r>
          </w:p>
        </w:tc>
        <w:tc>
          <w:tcPr>
            <w:tcW w:w="193" w:type="dxa"/>
            <w:tcBorders/>
            <w:shd w:fill="auto" w:val="clear"/>
            <w:vAlign w:val="center"/>
          </w:tcPr>
          <w:p>
            <w:pPr>
              <w:pStyle w:val="TableContents"/>
              <w:spacing w:before="0" w:after="1"/>
              <w:ind w:left="0" w:right="0" w:hanging="0"/>
              <w:rPr/>
            </w:pPr>
            <w:r>
              <w:rPr/>
              <w:t>​</w:t>
            </w:r>
          </w:p>
        </w:tc>
      </w:tr>
      <w:tr>
        <w:trPr/>
        <w:tc>
          <w:tcPr>
            <w:tcW w:w="663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Capital raise related expenses (2)</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15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533,958</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 </w:t>
            </w:r>
          </w:p>
        </w:tc>
        <w:tc>
          <w:tcPr>
            <w:tcW w:w="115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1,512,565</w:t>
            </w:r>
          </w:p>
        </w:tc>
        <w:tc>
          <w:tcPr>
            <w:tcW w:w="193" w:type="dxa"/>
            <w:tcBorders/>
            <w:shd w:fill="CCEEFF" w:val="clear"/>
            <w:vAlign w:val="center"/>
          </w:tcPr>
          <w:p>
            <w:pPr>
              <w:pStyle w:val="TableContents"/>
              <w:spacing w:before="0" w:after="1"/>
              <w:ind w:left="0" w:right="0" w:hanging="0"/>
              <w:rPr/>
            </w:pPr>
            <w:r>
              <w:rPr/>
              <w:t>​</w:t>
            </w:r>
          </w:p>
        </w:tc>
      </w:tr>
      <w:tr>
        <w:trPr/>
        <w:tc>
          <w:tcPr>
            <w:tcW w:w="663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Inventory adjustment to fair market value for purchase accounting</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15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6,541,651</w:t>
            </w:r>
          </w:p>
        </w:tc>
        <w:tc>
          <w:tcPr>
            <w:tcW w:w="32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rPr/>
            </w:pPr>
            <w:r>
              <w:rPr/>
              <w:t> </w:t>
            </w:r>
          </w:p>
        </w:tc>
        <w:tc>
          <w:tcPr>
            <w:tcW w:w="115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2,164,686</w:t>
            </w:r>
          </w:p>
        </w:tc>
        <w:tc>
          <w:tcPr>
            <w:tcW w:w="193" w:type="dxa"/>
            <w:tcBorders/>
            <w:shd w:fill="auto" w:val="clear"/>
            <w:vAlign w:val="center"/>
          </w:tcPr>
          <w:p>
            <w:pPr>
              <w:pStyle w:val="TableContents"/>
              <w:spacing w:before="0" w:after="1"/>
              <w:ind w:left="0" w:right="0" w:hanging="0"/>
              <w:rPr/>
            </w:pPr>
            <w:r>
              <w:rPr/>
              <w:t>​</w:t>
            </w:r>
          </w:p>
        </w:tc>
      </w:tr>
      <w:tr>
        <w:trPr/>
        <w:tc>
          <w:tcPr>
            <w:tcW w:w="663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One-time cultivation asset impairment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15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329,210</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 </w:t>
            </w:r>
          </w:p>
        </w:tc>
        <w:tc>
          <w:tcPr>
            <w:tcW w:w="115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93" w:type="dxa"/>
            <w:tcBorders/>
            <w:shd w:fill="CCEEFF" w:val="clear"/>
            <w:vAlign w:val="center"/>
          </w:tcPr>
          <w:p>
            <w:pPr>
              <w:pStyle w:val="TableContents"/>
              <w:spacing w:before="0" w:after="1"/>
              <w:ind w:left="0" w:right="0" w:hanging="0"/>
              <w:rPr/>
            </w:pPr>
            <w:r>
              <w:rPr/>
              <w:t>​</w:t>
            </w:r>
          </w:p>
        </w:tc>
      </w:tr>
      <w:tr>
        <w:trPr/>
        <w:tc>
          <w:tcPr>
            <w:tcW w:w="663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One-time goodwill impairment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15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8,011,405</w:t>
            </w:r>
          </w:p>
        </w:tc>
        <w:tc>
          <w:tcPr>
            <w:tcW w:w="32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rPr/>
            </w:pPr>
            <w:r>
              <w:rPr/>
              <w:t> </w:t>
            </w:r>
          </w:p>
        </w:tc>
        <w:tc>
          <w:tcPr>
            <w:tcW w:w="115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93" w:type="dxa"/>
            <w:tcBorders/>
            <w:shd w:fill="auto" w:val="clear"/>
            <w:vAlign w:val="center"/>
          </w:tcPr>
          <w:p>
            <w:pPr>
              <w:pStyle w:val="TableContents"/>
              <w:spacing w:before="0" w:after="1"/>
              <w:ind w:left="0" w:right="0" w:hanging="0"/>
              <w:rPr/>
            </w:pPr>
            <w:r>
              <w:rPr/>
              <w:t>​</w:t>
            </w:r>
          </w:p>
        </w:tc>
      </w:tr>
      <w:tr>
        <w:trPr/>
        <w:tc>
          <w:tcPr>
            <w:tcW w:w="663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Severance</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15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334,910</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 </w:t>
            </w:r>
          </w:p>
        </w:tc>
        <w:tc>
          <w:tcPr>
            <w:tcW w:w="115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166,557</w:t>
            </w:r>
          </w:p>
        </w:tc>
        <w:tc>
          <w:tcPr>
            <w:tcW w:w="193" w:type="dxa"/>
            <w:tcBorders/>
            <w:shd w:fill="CCEEFF" w:val="clear"/>
            <w:vAlign w:val="center"/>
          </w:tcPr>
          <w:p>
            <w:pPr>
              <w:pStyle w:val="TableContents"/>
              <w:spacing w:before="0" w:after="1"/>
              <w:ind w:left="0" w:right="0" w:hanging="0"/>
              <w:rPr/>
            </w:pPr>
            <w:r>
              <w:rPr/>
              <w:t>​</w:t>
            </w:r>
          </w:p>
        </w:tc>
      </w:tr>
      <w:tr>
        <w:trPr/>
        <w:tc>
          <w:tcPr>
            <w:tcW w:w="663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Retention program expenses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15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rPr/>
            </w:pPr>
            <w:r>
              <w:rPr/>
              <w:t> </w:t>
            </w:r>
          </w:p>
        </w:tc>
        <w:tc>
          <w:tcPr>
            <w:tcW w:w="115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90,250</w:t>
            </w:r>
          </w:p>
        </w:tc>
        <w:tc>
          <w:tcPr>
            <w:tcW w:w="193" w:type="dxa"/>
            <w:tcBorders/>
            <w:shd w:fill="auto" w:val="clear"/>
            <w:vAlign w:val="center"/>
          </w:tcPr>
          <w:p>
            <w:pPr>
              <w:pStyle w:val="TableContents"/>
              <w:spacing w:before="0" w:after="1"/>
              <w:ind w:left="0" w:right="0" w:hanging="0"/>
              <w:rPr/>
            </w:pPr>
            <w:r>
              <w:rPr/>
              <w:t>​</w:t>
            </w:r>
          </w:p>
        </w:tc>
      </w:tr>
      <w:tr>
        <w:trPr/>
        <w:tc>
          <w:tcPr>
            <w:tcW w:w="663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Employee relocation expenses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15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15,360</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 </w:t>
            </w:r>
          </w:p>
        </w:tc>
        <w:tc>
          <w:tcPr>
            <w:tcW w:w="115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40,819</w:t>
            </w:r>
          </w:p>
        </w:tc>
        <w:tc>
          <w:tcPr>
            <w:tcW w:w="193" w:type="dxa"/>
            <w:tcBorders/>
            <w:shd w:fill="CCEEFF" w:val="clear"/>
            <w:vAlign w:val="center"/>
          </w:tcPr>
          <w:p>
            <w:pPr>
              <w:pStyle w:val="TableContents"/>
              <w:spacing w:before="0" w:after="1"/>
              <w:ind w:left="0" w:right="0" w:hanging="0"/>
              <w:rPr/>
            </w:pPr>
            <w:r>
              <w:rPr/>
              <w:t>​</w:t>
            </w:r>
          </w:p>
        </w:tc>
      </w:tr>
      <w:tr>
        <w:trPr/>
        <w:tc>
          <w:tcPr>
            <w:tcW w:w="663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non-recurring items (3)</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15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1,906,049</w:t>
            </w:r>
          </w:p>
        </w:tc>
        <w:tc>
          <w:tcPr>
            <w:tcW w:w="326" w:type="dxa"/>
            <w:tcBorders/>
            <w:shd w:fill="auto" w:val="clear"/>
            <w:vAlign w:val="center"/>
          </w:tcPr>
          <w:p>
            <w:pPr>
              <w:pStyle w:val="TableContents"/>
              <w:spacing w:before="0" w:after="1"/>
              <w:ind w:left="0" w:right="0" w:hanging="0"/>
              <w:jc w:val="right"/>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15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1,388,150</w:t>
            </w:r>
          </w:p>
        </w:tc>
        <w:tc>
          <w:tcPr>
            <w:tcW w:w="193" w:type="dxa"/>
            <w:tcBorders/>
            <w:shd w:fill="auto" w:val="clear"/>
            <w:vAlign w:val="center"/>
          </w:tcPr>
          <w:p>
            <w:pPr>
              <w:pStyle w:val="TableContents"/>
              <w:spacing w:before="0" w:after="1"/>
              <w:ind w:left="0" w:right="0" w:hanging="0"/>
              <w:rPr/>
            </w:pPr>
            <w:r>
              <w:rPr/>
              <w:t>​</w:t>
            </w:r>
          </w:p>
        </w:tc>
      </w:tr>
      <w:tr>
        <w:trPr/>
        <w:tc>
          <w:tcPr>
            <w:tcW w:w="6634"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Adjusted EBITDA (non-GAAP measure)</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115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52,010,215</w:t>
            </w:r>
          </w:p>
        </w:tc>
        <w:tc>
          <w:tcPr>
            <w:tcW w:w="326" w:type="dxa"/>
            <w:tcBorders/>
            <w:shd w:fill="CCEEFF" w:val="clear"/>
            <w:vAlign w:val="center"/>
          </w:tcPr>
          <w:p>
            <w:pPr>
              <w:pStyle w:val="TableContents"/>
              <w:spacing w:before="0" w:after="1"/>
              <w:ind w:left="0" w:right="0" w:hanging="0"/>
              <w:rPr/>
            </w:pPr>
            <w:r>
              <w:rPr/>
              <w:t> </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115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32,166,088</w:t>
            </w:r>
          </w:p>
        </w:tc>
        <w:tc>
          <w:tcPr>
            <w:tcW w:w="193" w:type="dxa"/>
            <w:tcBorders/>
            <w:shd w:fill="CCEEFF" w:val="clear"/>
            <w:vAlign w:val="center"/>
          </w:tcPr>
          <w:p>
            <w:pPr>
              <w:pStyle w:val="TableContents"/>
              <w:spacing w:before="0" w:after="1"/>
              <w:ind w:left="0" w:right="0" w:hanging="0"/>
              <w:rPr/>
            </w:pPr>
            <w:r>
              <w:rPr/>
              <w:t>​</w:t>
            </w:r>
          </w:p>
        </w:tc>
      </w:tr>
      <w:tr>
        <w:trPr/>
        <w:tc>
          <w:tcPr>
            <w:tcW w:w="663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15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152" w:type="dxa"/>
            <w:tcBorders/>
            <w:shd w:fill="auto" w:val="clear"/>
            <w:vAlign w:val="center"/>
          </w:tcPr>
          <w:p>
            <w:pPr>
              <w:pStyle w:val="TableContents"/>
              <w:spacing w:before="0" w:after="1"/>
              <w:ind w:left="0" w:right="0" w:hanging="0"/>
              <w:rPr/>
            </w:pPr>
            <w:r>
              <w:rPr/>
              <w:t>​</w:t>
            </w:r>
          </w:p>
        </w:tc>
        <w:tc>
          <w:tcPr>
            <w:tcW w:w="193" w:type="dxa"/>
            <w:tcBorders/>
            <w:shd w:fill="auto" w:val="clear"/>
            <w:vAlign w:val="center"/>
          </w:tcPr>
          <w:p>
            <w:pPr>
              <w:pStyle w:val="TableContents"/>
              <w:spacing w:before="0" w:after="1"/>
              <w:ind w:left="0" w:right="0" w:hanging="0"/>
              <w:rPr/>
            </w:pPr>
            <w:r>
              <w:rPr/>
              <w:t>​</w:t>
            </w:r>
          </w:p>
        </w:tc>
      </w:tr>
      <w:tr>
        <w:trPr/>
        <w:tc>
          <w:tcPr>
            <w:tcW w:w="663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15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159,379,219</w:t>
            </w:r>
          </w:p>
        </w:tc>
        <w:tc>
          <w:tcPr>
            <w:tcW w:w="326" w:type="dxa"/>
            <w:tcBorders/>
            <w:shd w:fill="CCEEFF" w:val="clear"/>
            <w:vAlign w:val="center"/>
          </w:tcPr>
          <w:p>
            <w:pPr>
              <w:pStyle w:val="TableContents"/>
              <w:spacing w:before="0" w:after="1"/>
              <w:ind w:left="0" w:right="0" w:hanging="0"/>
              <w:jc w:val="right"/>
              <w:rPr/>
            </w:pPr>
            <w:r>
              <w:rPr/>
              <w:t>​</w:t>
            </w:r>
          </w:p>
        </w:tc>
        <w:tc>
          <w:tcPr>
            <w:tcW w:w="211" w:type="dxa"/>
            <w:tcBorders/>
            <w:shd w:fill="CCEEFF" w:val="clear"/>
            <w:vAlign w:val="center"/>
          </w:tcPr>
          <w:p>
            <w:pPr>
              <w:pStyle w:val="TableContents"/>
              <w:spacing w:before="0" w:after="1"/>
              <w:ind w:left="0" w:right="0" w:hanging="0"/>
              <w:rPr/>
            </w:pPr>
            <w:r>
              <w:rPr/>
              <w:t>​</w:t>
            </w:r>
          </w:p>
        </w:tc>
        <w:tc>
          <w:tcPr>
            <w:tcW w:w="115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108,420,239</w:t>
            </w:r>
          </w:p>
        </w:tc>
        <w:tc>
          <w:tcPr>
            <w:tcW w:w="193" w:type="dxa"/>
            <w:tcBorders/>
            <w:shd w:fill="CCEEFF" w:val="clear"/>
            <w:vAlign w:val="center"/>
          </w:tcPr>
          <w:p>
            <w:pPr>
              <w:pStyle w:val="TableContents"/>
              <w:spacing w:before="0" w:after="1"/>
              <w:ind w:left="0" w:right="0" w:hanging="0"/>
              <w:rPr/>
            </w:pPr>
            <w:r>
              <w:rPr/>
              <w:t>​</w:t>
            </w:r>
          </w:p>
        </w:tc>
      </w:tr>
      <w:tr>
        <w:trPr/>
        <w:tc>
          <w:tcPr>
            <w:tcW w:w="6634" w:type="dxa"/>
            <w:tcBorders/>
            <w:shd w:fill="auto" w:val="clear"/>
            <w:vAlign w:val="center"/>
          </w:tcPr>
          <w:p>
            <w:pPr>
              <w:pStyle w:val="TableContents"/>
              <w:spacing w:before="0" w:after="1"/>
              <w:ind w:left="0" w:right="0" w:hanging="0"/>
              <w:rPr>
                <w:rFonts w:ascii="Times New Roman;Times;serif" w:hAnsi="Times New Roman;Times;serif"/>
                <w:i/>
                <w:sz w:val="20"/>
              </w:rPr>
            </w:pPr>
            <w:r>
              <w:rPr>
                <w:rFonts w:ascii="Times New Roman;Times;serif" w:hAnsi="Times New Roman;Times;serif"/>
                <w:i/>
                <w:sz w:val="20"/>
              </w:rPr>
              <w:t>Adjusted EBITDA as a Percentage of Revenue</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152" w:type="dxa"/>
            <w:tcBorders/>
            <w:shd w:fill="auto" w:val="clear"/>
            <w:vAlign w:val="center"/>
          </w:tcPr>
          <w:p>
            <w:pPr>
              <w:pStyle w:val="TableContents"/>
              <w:spacing w:before="0" w:after="1"/>
              <w:ind w:left="0" w:right="0" w:hanging="0"/>
              <w:jc w:val="right"/>
              <w:rPr>
                <w:rFonts w:ascii="Times New Roman;Times;serif" w:hAnsi="Times New Roman;Times;serif"/>
                <w:i/>
                <w:sz w:val="20"/>
              </w:rPr>
            </w:pPr>
            <w:r>
              <w:rPr>
                <w:rFonts w:ascii="Times New Roman;Times;serif" w:hAnsi="Times New Roman;Times;serif"/>
                <w:i/>
                <w:sz w:val="20"/>
              </w:rPr>
              <w:t>32.6%</w:t>
            </w:r>
          </w:p>
        </w:tc>
        <w:tc>
          <w:tcPr>
            <w:tcW w:w="326" w:type="dxa"/>
            <w:tcBorders/>
            <w:shd w:fill="auto" w:val="clear"/>
            <w:vAlign w:val="center"/>
          </w:tcPr>
          <w:p>
            <w:pPr>
              <w:pStyle w:val="TableContents"/>
              <w:spacing w:before="0" w:after="1"/>
              <w:ind w:left="0" w:right="0" w:hanging="0"/>
              <w:jc w:val="right"/>
              <w:rPr/>
            </w:pPr>
            <w:r>
              <w:rPr/>
              <w:t>​</w:t>
            </w:r>
          </w:p>
        </w:tc>
        <w:tc>
          <w:tcPr>
            <w:tcW w:w="211" w:type="dxa"/>
            <w:tcBorders/>
            <w:shd w:fill="auto" w:val="clear"/>
            <w:vAlign w:val="center"/>
          </w:tcPr>
          <w:p>
            <w:pPr>
              <w:pStyle w:val="TableContents"/>
              <w:spacing w:before="0" w:after="1"/>
              <w:ind w:left="0" w:right="0" w:hanging="0"/>
              <w:rPr/>
            </w:pPr>
            <w:r>
              <w:rPr/>
              <w:t>​</w:t>
            </w:r>
          </w:p>
        </w:tc>
        <w:tc>
          <w:tcPr>
            <w:tcW w:w="1152" w:type="dxa"/>
            <w:tcBorders/>
            <w:shd w:fill="auto" w:val="clear"/>
            <w:vAlign w:val="center"/>
          </w:tcPr>
          <w:p>
            <w:pPr>
              <w:pStyle w:val="TableContents"/>
              <w:spacing w:before="0" w:after="1"/>
              <w:ind w:left="0" w:right="0" w:hanging="0"/>
              <w:jc w:val="right"/>
              <w:rPr>
                <w:rFonts w:ascii="Times New Roman;Times;serif" w:hAnsi="Times New Roman;Times;serif"/>
                <w:i/>
                <w:sz w:val="20"/>
              </w:rPr>
            </w:pPr>
            <w:r>
              <w:rPr>
                <w:rFonts w:ascii="Times New Roman;Times;serif" w:hAnsi="Times New Roman;Times;serif"/>
                <w:i/>
                <w:sz w:val="20"/>
              </w:rPr>
              <w:t>29.7%</w:t>
            </w:r>
          </w:p>
        </w:tc>
        <w:tc>
          <w:tcPr>
            <w:tcW w:w="193" w:type="dxa"/>
            <w:tcBorders/>
            <w:shd w:fill="auto" w:val="clear"/>
            <w:vAlign w:val="center"/>
          </w:tcPr>
          <w:p>
            <w:pPr>
              <w:pStyle w:val="TableContents"/>
              <w:spacing w:before="0" w:after="1"/>
              <w:ind w:left="0" w:right="0" w:hanging="0"/>
              <w:rPr/>
            </w:pPr>
            <w:r>
              <w:rPr/>
              <w:t>​</w:t>
            </w:r>
          </w:p>
        </w:tc>
      </w:tr>
    </w:tbl>
    <w:p>
      <w:pPr>
        <w:pStyle w:val="TextBody"/>
        <w:spacing w:before="0" w:after="240"/>
        <w:ind w:left="0" w:right="0" w:hanging="0"/>
        <w:rPr>
          <w:color w:val="FF0000"/>
        </w:rPr>
      </w:pPr>
      <w:r>
        <w:rPr>
          <w:color w:val="FF0000"/>
        </w:rPr>
        <w:t>​</w:t>
      </w:r>
    </w:p>
    <w:tbl>
      <w:tblPr>
        <w:tblW w:w="10205" w:type="dxa"/>
        <w:jc w:val="left"/>
        <w:tblInd w:w="0" w:type="dxa"/>
        <w:tblCellMar>
          <w:top w:w="0" w:type="dxa"/>
          <w:left w:w="0" w:type="dxa"/>
          <w:bottom w:w="0" w:type="dxa"/>
          <w:right w:w="0" w:type="dxa"/>
        </w:tblCellMar>
      </w:tblPr>
      <w:tblGrid>
        <w:gridCol w:w="336"/>
        <w:gridCol w:w="9869"/>
      </w:tblGrid>
      <w:tr>
        <w:trPr/>
        <w:tc>
          <w:tcPr>
            <w:tcW w:w="33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869"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 related expenses include external legal fees, accounting fees, bank fees, and internal resources associated with acquisition transactions.</w:t>
            </w:r>
          </w:p>
        </w:tc>
      </w:tr>
    </w:tbl>
    <w:tbl>
      <w:tblPr>
        <w:tblW w:w="9977" w:type="dxa"/>
        <w:jc w:val="left"/>
        <w:tblInd w:w="0" w:type="dxa"/>
        <w:tblCellMar>
          <w:top w:w="0" w:type="dxa"/>
          <w:left w:w="0" w:type="dxa"/>
          <w:bottom w:w="0" w:type="dxa"/>
          <w:right w:w="0" w:type="dxa"/>
        </w:tblCellMar>
      </w:tblPr>
      <w:tblGrid>
        <w:gridCol w:w="346"/>
        <w:gridCol w:w="9631"/>
      </w:tblGrid>
      <w:tr>
        <w:trPr/>
        <w:tc>
          <w:tcPr>
            <w:tcW w:w="3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63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raise related expenses include fees and expenses associated with the Investor Notes issued in December 2021.</w:t>
            </w:r>
          </w:p>
        </w:tc>
      </w:tr>
    </w:tbl>
    <w:tbl>
      <w:tblPr>
        <w:tblW w:w="10205" w:type="dxa"/>
        <w:jc w:val="left"/>
        <w:tblInd w:w="0" w:type="dxa"/>
        <w:tblCellMar>
          <w:top w:w="0" w:type="dxa"/>
          <w:left w:w="0" w:type="dxa"/>
          <w:bottom w:w="0" w:type="dxa"/>
          <w:right w:w="0" w:type="dxa"/>
        </w:tblCellMar>
      </w:tblPr>
      <w:tblGrid>
        <w:gridCol w:w="332"/>
        <w:gridCol w:w="9873"/>
      </w:tblGrid>
      <w:tr>
        <w:trPr/>
        <w:tc>
          <w:tcPr>
            <w:tcW w:w="33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987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non-recurring expenses include utilities and rent for facilities not used in current operations and finder’s fees for executive employment searches.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 xml:space="preserve">LIQUIDITY AND CAPITAL RESOURCES </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Overview</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2022 and December 31, 2021, the Company had cash and cash equivalents of $38,949,253 and $106,400,216, respectively to meet its current obligations. The Company had negative operating working capital of $14,595,528</w:t>
      </w:r>
      <w:r>
        <w:rPr>
          <w:rFonts w:ascii="Times New Roman;Times;serif" w:hAnsi="Times New Roman;Times;serif"/>
          <w:color w:val="FF0000"/>
          <w:sz w:val="20"/>
        </w:rPr>
        <w:t xml:space="preserve"> </w:t>
      </w:r>
      <w:r>
        <w:rPr>
          <w:rFonts w:ascii="Times New Roman;Times;serif" w:hAnsi="Times New Roman;Times;serif"/>
          <w:sz w:val="20"/>
        </w:rPr>
        <w:t xml:space="preserve">as of December 31, 2022, an increase of $12,662,059 as compared to December 31, 2021. The decrease in operating working capital is primarily driven by the use of cash for the Company’s growth and to satisfy debt obligations. During 2022, the Company paid a total of approximately $62.4 million in cash for acquisitions, and it entered into nine new real property leases, each of which tended to negatively impact operating working capital.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December 31, 2022 and December 31, 2021, the Company had total current liabilities of $47,420,826 and $45,263,179, respectively. Current liabilities increased from 2021 due to overall expansion and growth. Accounts payable, accrued expenses, and lease liabilities increased by 206%, 84%, and 135%, respectively, as compared to the prior period in large part due to new store openings, acquisition integration, and operational development such as expansions, improvements, and remodels of existing facilities. The overall decrease in current liabilities is attributable to the change is derivative liabilities, which is influenced by the Company’s stock price and other market conditions outside of the Company’s control.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is an early-stage growth company, generating cash from operational revenue and capital raises. </w:t>
      </w:r>
      <w:r>
        <w:rPr>
          <w:rFonts w:ascii="Times New Roman;Times;serif" w:hAnsi="Times New Roman;Times;serif"/>
          <w:sz w:val="20"/>
          <w:highlight w:val="white"/>
        </w:rPr>
        <w:t xml:space="preserve">The Company predominantly relies on internal capital that is generated through operational revenue and any other internal sources of liquidity to meet its short-term and certain long-term capital demands. Management believes the Company’s current projected growth and revenue from operation of preexisting and newly acquired assets will be sufficient to meet its current obligations as they become due. The Company also relies on a combination of internal and external capital to meet its long-term obligations, with internal liquidity sourced from operational revenue and external financing acquired from various sources, including commercial loan arrangements, capital raises and private placement transactions, and cash from the Investor Notes. Management believes this combination of internal cash generated from operations and external liquidity will be sufficient to meet the Company’s long-term obligations; however, it is possible the Company will seek additional external financing to meet capital needs in the future. The Company maintains the unused portion of the funds received from the Investor Notes for future acquisitions and execution of its strategic growth initiatives. </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Trends Impacting Liquidity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While management believes that the Company has sufficient liquidity to support its capital needs, certain factors may positively or negatively impact the Company’s liquidity and financing opportunities.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 xml:space="preserve">Due to our participation in the cannabis industry and the regulatory framework governing cannabis in the United States, our debt and loan arrangements are sometimes subject to higher interest rates than are market for other industries, which has an unfavorable impact on our liquidity and capital resources. We also tend to incur higher banking fees and rates than businesses in other industries. Additionally, the cash requirements to service our debt obligations increase with the passage of time due to interest accrual, which increases constraints on our capital resources and tends to reduce liquidity in the amount of such accruals. We currently anticipate meeting these cash requirements from operating revenue and cash on hand. While participation in the cannabis industry tends to negatively impact certain aspects of capital resources more than other industries, this could change in the future with changes to federal law. If the federal government enacts laws permitting the banking and financial industries to engage with the cannabis industry, such as passage of the SAFE Banking Act, which passed in the House of Representatives in 2022 but did not pass in the U.S. Senate, the Company anticipates that this could have a positive impact on the Company’s liquidity because it will open up financing and refinancing opportunities not otherwise widely available to cannabis companies at this time due to the current regulatory landscape.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 xml:space="preserve">One of our strategic goals is to grow our business through acquisitions, which also tends to negatively impact liquidity during periods when we consummate an identified acquisition. We expect to continue executing this strategy in future periods, meeting such capital requirements in connection therewith from both internal capital and external financing (including unused funds from the Investor Notes), which will decrease liquidity.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highlight w:val="white"/>
        </w:rPr>
        <w:t xml:space="preserve">The wholesale cannabis market has experienced downward pricing pressure from over-supply of certain cannabis products in the market, which has affected retail margins in certain periods and will likely impact the relationship between cost and revenue if and/or when supply is constrained. </w:t>
      </w:r>
      <w:r>
        <w:rPr>
          <w:rFonts w:ascii="Times New Roman;Times;serif" w:hAnsi="Times New Roman;Times;serif"/>
          <w:sz w:val="20"/>
        </w:rPr>
        <w:t>However, we maintain the ability to shift between external sales and internal use or transfer of our wholesale products due to vertical integration based on market conditions, which may mitigate some of the negative impacts of wholesale market downturns. Wholesale pricing can affect margins positively or negatively depending on market conditions, but profit as a percentage of revenue tends to have an inverse relationship with market pricing conditions. Wholesale pricing increases could reduce retail margins and also generate positive profitability in the wholesale segment, and vice versa. The Company anticipates that the wholesale market will likely remain depressed relative to previous recent years, which can negatively impact the Company’s overall liquidity.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highlight w:val="white"/>
        </w:rPr>
        <w:t>Increasing inflation may also negatively impact our liquidity, as our cost of goods and services may increase without corresponding increases to revenue. Inflation increases could also impact our incremental borrowing rate and ability to obtain external financing on similar terms as previous financing arrangements. Increasing inflation and general economic downturn in the United States could also negatively impact revenue to the extent such factors affect consumer behavior.</w:t>
      </w:r>
      <w:r>
        <w:rPr>
          <w:rFonts w:ascii="Times New Roman;Times;serif" w:hAnsi="Times New Roman;Times;serif"/>
          <w:sz w:val="20"/>
        </w:rPr>
        <w:t xml:space="preserve"> </w:t>
      </w:r>
      <w:r>
        <w:rPr>
          <w:rFonts w:ascii="Times New Roman;Times;serif" w:hAnsi="Times New Roman;Times;serif"/>
          <w:sz w:val="20"/>
          <w:highlight w:val="white"/>
        </w:rPr>
        <w:t xml:space="preserve">Additional factors or trends that have impacted or could potentially impact liquidity in future periods include general economic conditions such as market saturation, inflation, and general economic downturn. </w:t>
      </w:r>
    </w:p>
    <w:p>
      <w:pPr>
        <w:pStyle w:val="TextBody"/>
        <w:spacing w:before="0" w:after="240"/>
        <w:ind w:left="0" w:right="0" w:hanging="0"/>
        <w:rPr>
          <w:rFonts w:ascii="Times New Roman;Times;serif" w:hAnsi="Times New Roman;Times;serif"/>
          <w:b/>
          <w:smallCaps/>
          <w:sz w:val="20"/>
        </w:rPr>
      </w:pPr>
      <w:r>
        <w:rPr>
          <w:rFonts w:ascii="Times New Roman;Times;serif" w:hAnsi="Times New Roman;Times;serif"/>
          <w:b/>
          <w:smallCaps/>
          <w:sz w:val="20"/>
        </w:rPr>
        <w:t xml:space="preserve">Cash Flows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Net cash provided by (used in) operating, investing and financing activities for the years ended December 31, 2022, and 2021 were as follows: </w:t>
      </w:r>
    </w:p>
    <w:p>
      <w:pPr>
        <w:pStyle w:val="TextBody"/>
        <w:spacing w:before="0" w:after="0"/>
        <w:ind w:left="0" w:right="0" w:hanging="0"/>
        <w:rPr/>
      </w:pPr>
      <w:r>
        <w:rPr/>
        <w:t>​</w:t>
      </w:r>
    </w:p>
    <w:tbl>
      <w:tblPr>
        <w:tblW w:w="7223" w:type="dxa"/>
        <w:jc w:val="left"/>
        <w:tblInd w:w="0" w:type="dxa"/>
        <w:tblCellMar>
          <w:top w:w="0" w:type="dxa"/>
          <w:left w:w="0" w:type="dxa"/>
          <w:bottom w:w="0" w:type="dxa"/>
          <w:right w:w="0" w:type="dxa"/>
        </w:tblCellMar>
      </w:tblPr>
      <w:tblGrid>
        <w:gridCol w:w="3466"/>
        <w:gridCol w:w="326"/>
        <w:gridCol w:w="211"/>
        <w:gridCol w:w="1156"/>
        <w:gridCol w:w="326"/>
        <w:gridCol w:w="211"/>
        <w:gridCol w:w="1156"/>
        <w:gridCol w:w="371"/>
      </w:tblGrid>
      <w:tr>
        <w:trPr/>
        <w:tc>
          <w:tcPr>
            <w:tcW w:w="3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200910" cy="175260"/>
                      <wp:effectExtent l="0" t="0" r="0" b="0"/>
                      <wp:wrapNone/>
                      <wp:docPr id="42" name="Frame42"/>
                      <a:graphic xmlns:a="http://schemas.openxmlformats.org/drawingml/2006/main">
                        <a:graphicData uri="http://schemas.microsoft.com/office/word/2010/wordprocessingShape">
                          <wps:wsp>
                            <wps:cNvSpPr txBox="1"/>
                            <wps:spPr>
                              <a:xfrm>
                                <a:off x="0" y="0"/>
                                <a:ext cx="2200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43" name="Frame4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33985" cy="175260"/>
                      <wp:effectExtent l="0" t="0" r="0" b="0"/>
                      <wp:wrapNone/>
                      <wp:docPr id="44" name="Frame4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734060" cy="175260"/>
                      <wp:effectExtent l="0" t="0" r="0" b="0"/>
                      <wp:wrapNone/>
                      <wp:docPr id="45" name="Frame45"/>
                      <a:graphic xmlns:a="http://schemas.openxmlformats.org/drawingml/2006/main">
                        <a:graphicData uri="http://schemas.microsoft.com/office/word/2010/wordprocessingShape">
                          <wps:wsp>
                            <wps:cNvSpPr txBox="1"/>
                            <wps:spPr>
                              <a:xfrm>
                                <a:off x="0" y="0"/>
                                <a:ext cx="7340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46" name="Frame4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33985" cy="175260"/>
                      <wp:effectExtent l="0" t="0" r="0" b="0"/>
                      <wp:wrapNone/>
                      <wp:docPr id="47" name="Frame4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734060" cy="175260"/>
                      <wp:effectExtent l="0" t="0" r="0" b="0"/>
                      <wp:wrapNone/>
                      <wp:docPr id="48" name="Frame48"/>
                      <a:graphic xmlns:a="http://schemas.openxmlformats.org/drawingml/2006/main">
                        <a:graphicData uri="http://schemas.microsoft.com/office/word/2010/wordprocessingShape">
                          <wps:wsp>
                            <wps:cNvSpPr txBox="1"/>
                            <wps:spPr>
                              <a:xfrm>
                                <a:off x="0" y="0"/>
                                <a:ext cx="7340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35585" cy="175260"/>
                      <wp:effectExtent l="0" t="0" r="0" b="0"/>
                      <wp:wrapNone/>
                      <wp:docPr id="49" name="Frame49"/>
                      <a:graphic xmlns:a="http://schemas.openxmlformats.org/drawingml/2006/main">
                        <a:graphicData uri="http://schemas.microsoft.com/office/word/2010/wordprocessingShape">
                          <wps:wsp>
                            <wps:cNvSpPr txBox="1"/>
                            <wps:spPr>
                              <a:xfrm>
                                <a:off x="0" y="0"/>
                                <a:ext cx="235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4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060"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Periods Ended December 31, </w:t>
            </w:r>
          </w:p>
        </w:tc>
        <w:tc>
          <w:tcPr>
            <w:tcW w:w="371" w:type="dxa"/>
            <w:tcBorders/>
            <w:shd w:fill="auto" w:val="clear"/>
            <w:vAlign w:val="center"/>
          </w:tcPr>
          <w:p>
            <w:pPr>
              <w:pStyle w:val="TableContents"/>
              <w:spacing w:before="0" w:after="1"/>
              <w:ind w:left="0" w:right="0" w:hanging="0"/>
              <w:jc w:val="center"/>
              <w:rPr/>
            </w:pPr>
            <w:r>
              <w:rPr/>
              <w:t>​</w:t>
            </w:r>
          </w:p>
        </w:tc>
      </w:tr>
      <w:tr>
        <w:trPr/>
        <w:tc>
          <w:tcPr>
            <w:tcW w:w="34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36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rPr/>
            </w:pPr>
            <w:r>
              <w:rPr/>
              <w:t>    </w:t>
            </w:r>
          </w:p>
        </w:tc>
        <w:tc>
          <w:tcPr>
            <w:tcW w:w="136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71" w:type="dxa"/>
            <w:tcBorders/>
            <w:shd w:fill="auto" w:val="clear"/>
            <w:vAlign w:val="center"/>
          </w:tcPr>
          <w:p>
            <w:pPr>
              <w:pStyle w:val="TableContents"/>
              <w:spacing w:before="0" w:after="1"/>
              <w:ind w:left="0" w:right="0" w:hanging="0"/>
              <w:jc w:val="center"/>
              <w:rPr/>
            </w:pPr>
            <w:r>
              <w:rPr/>
              <w:t>    </w:t>
            </w:r>
          </w:p>
        </w:tc>
      </w:tr>
      <w:tr>
        <w:trPr/>
        <w:tc>
          <w:tcPr>
            <w:tcW w:w="34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cash provided by operating activities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11,356,512</w:t>
            </w:r>
          </w:p>
        </w:tc>
        <w:tc>
          <w:tcPr>
            <w:tcW w:w="326" w:type="dxa"/>
            <w:tcBorders/>
            <w:shd w:fill="CCEEFF" w:val="clear"/>
            <w:vAlign w:val="center"/>
          </w:tcPr>
          <w:p>
            <w:pPr>
              <w:pStyle w:val="TableContents"/>
              <w:spacing w:before="0" w:after="1"/>
              <w:ind w:left="0" w:right="0" w:hanging="0"/>
              <w:rPr>
                <w:color w:val="FF0000"/>
              </w:rPr>
            </w:pPr>
            <w:r>
              <w:rPr>
                <w:color w:val="FF0000"/>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8,397,712</w:t>
            </w:r>
          </w:p>
        </w:tc>
        <w:tc>
          <w:tcPr>
            <w:tcW w:w="371" w:type="dxa"/>
            <w:tcBorders/>
            <w:shd w:fill="CCEEFF" w:val="clear"/>
            <w:vAlign w:val="center"/>
          </w:tcPr>
          <w:p>
            <w:pPr>
              <w:pStyle w:val="TableContents"/>
              <w:spacing w:before="0" w:after="1"/>
              <w:ind w:left="0" w:right="0" w:hanging="0"/>
              <w:rPr>
                <w:color w:val="FF0000"/>
              </w:rPr>
            </w:pPr>
            <w:r>
              <w:rPr>
                <w:color w:val="FF0000"/>
              </w:rPr>
              <w:t>​</w:t>
            </w:r>
          </w:p>
        </w:tc>
      </w:tr>
      <w:tr>
        <w:trPr/>
        <w:tc>
          <w:tcPr>
            <w:tcW w:w="34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1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(79,184,371)</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1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(81,163,754)</w:t>
            </w:r>
          </w:p>
        </w:tc>
        <w:tc>
          <w:tcPr>
            <w:tcW w:w="371" w:type="dxa"/>
            <w:tcBorders/>
            <w:shd w:fill="auto" w:val="clear"/>
            <w:vAlign w:val="center"/>
          </w:tcPr>
          <w:p>
            <w:pPr>
              <w:pStyle w:val="TableContents"/>
              <w:spacing w:before="0" w:after="1"/>
              <w:ind w:left="0" w:right="0" w:hanging="0"/>
              <w:rPr/>
            </w:pPr>
            <w:r>
              <w:rPr/>
              <w:t>​</w:t>
            </w:r>
          </w:p>
        </w:tc>
      </w:tr>
      <w:tr>
        <w:trPr/>
        <w:tc>
          <w:tcPr>
            <w:tcW w:w="34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1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376,895</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1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177,935,023</w:t>
            </w:r>
          </w:p>
        </w:tc>
        <w:tc>
          <w:tcPr>
            <w:tcW w:w="371" w:type="dxa"/>
            <w:tcBorders/>
            <w:shd w:fill="CCEEFF" w:val="clear"/>
            <w:vAlign w:val="center"/>
          </w:tcPr>
          <w:p>
            <w:pPr>
              <w:pStyle w:val="TableContents"/>
              <w:spacing w:before="0" w:after="1"/>
              <w:ind w:left="0" w:right="0" w:hanging="0"/>
              <w:rPr/>
            </w:pPr>
            <w:r>
              <w:rPr/>
              <w:t>​</w:t>
            </w:r>
          </w:p>
        </w:tc>
      </w:tr>
    </w:tbl>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Operating activities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During 2022, the Company had approximately $11.4 million of net cash provided by operating activities, compared to net cash provided by operating activities of $8.4 million in 2021, representing an overall increase in cash provided by operating activities of approximately $3 million when compared to the prior period. The increase in cash flow from operations was driven by improved focus on working capital throughout 2022 as the size of the overall business increased when compared to 2021.</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Investing activities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Cash used in investing activities decreased by approximately $1.98 million in 2022 as compared to the prior year. Cash used in investing activities is driven by acquisition activity, purchases of property, plant and equipment for existing entities, and strategic investment opportunities. The slight decrease in cash used in investing activities was driven by a shift in structure of acquisition consideration, using less cash in closing deals in favor of more stock consideration.  While the number of acquisition transactions increased in 2022 when compared to 2021, the overall cash consideration for these transactions was less in 2022.</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Financing activities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Cash provided from financing activities decreased by approximately $177.6 million as compared to the prior year, which is largely due to cash from the Investor Notes, the seller notes, and the Loan Agreement, all of which resulted in cash inflows in 2021.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mallCaps/>
          <w:sz w:val="20"/>
        </w:rPr>
      </w:pPr>
      <w:r>
        <w:rPr>
          <w:rFonts w:ascii="Times New Roman;Times;serif" w:hAnsi="Times New Roman;Times;serif"/>
          <w:b/>
          <w:smallCaps/>
          <w:sz w:val="20"/>
        </w:rPr>
        <w:t>Description of Indebtedness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i/>
          <w:sz w:val="20"/>
        </w:rPr>
        <w:t>Loan Agreement</w:t>
      </w:r>
      <w:r>
        <w:rPr>
          <w:rFonts w:ascii="Times New Roman;Times;serif" w:hAnsi="Times New Roman;Times;serif"/>
          <w:sz w:val="20"/>
        </w:rPr>
        <w:t>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February 26, 2021, the Company entered into the Loan Agreement with Altmore. Upon execution of the Loan Agreement, the Company received $10,000,000 of loan proceeds. In connection with the Company’s acquisition of SCG, the Company received an additional $5,000,000 of loan proceeds under the Loan Agreement. The term loan incurs 15% interest per annum, payable quarterly on March 1, June 1, September 1, and December 1 of each year. The Company will be required to make principal payments beginning on June 1, 2023 in the amount of $750,000, payable quarterly with the remainder of the principal due upon maturity on February 26, 2025. The Company’s obligations under the Loan Agreement are secured by the Altmore Collateral.</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Under the terms of the loan, the Company must comply with certain restrictions and covenants. These include customary events of default and various financial covenants including, maintaining (i) a consolidated fixed charge coverage ratio of at least 1.3 at the end of each fiscal quarter beginning in the first quarter of 2022, and (ii) a minimum of $3,000,000 in a deposit account in which the lender has a security interest. As of December 31, 2022, the Company was in compliance with the requirements described above. </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Seller Notes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part of the acquisition of the Star Buds assets, the Company entered into a deferred payment arrangement with the sellers in an aggregate amount of $44,250,000, also referred to in this report as “seller note(s)”. The seller notes incur 12% interest per annum, payable on the first of every month through November 2025. Principal payments are due in accordance with the following schedule: $13,901,759 on December 17, 2025, $3,474,519 on February 3, 2026, and $26,873,722 on March 2, 2026. The seller notes are secured by the Star Buds Collateral.</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Investor Notes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3, 2021, the Company and the Subsidiary Guarantors entered into the Note Purchase Agreement with 31 accredited investors pursuant to which the Company agreed to issue and sell to the investors 13% senior secured convertible notes due December 7, 2026 in an aggregate principal amount of $95,000,000 for an aggregate purchase price of $93,100,000 (reflecting an original issue discount of $1,900,000, or 2%) in the private placement. On December 7, 2021, the Company consummated the private placement and issued and sold the Investor Notes. The Company received net proceeds of approximately $92,000,000 at the closing, after deducting a commission to the placement agent and estimated offering expenses associated with the private placement payable by the Company.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Investor Notes were issued pursuant to an Indenture, dated December 7, 2021, among the Company, the Subsidiary Guarantors, Ankura Trust Company, LLC as trustee and Chicago Atlantic Admin, LLC as collateral agent for the Investor Note holders. The Investor Notes will mature five years after issuance unless earlier repurchased, redeemed, or converted. The Investor Notes bear interest at 13% per year paid quarterly commencing March 31, 2022 in cash for an amount equal to the amount payable on such date as if the Investor Notes were subject to an annual interest rate of 9%, with the remainder of the accrued interest payable as an increase to the principal amount of the Investor Notes. The proceeds from the Investor Notes are required to be used to fund previously identified acquisitions and other growth initiatives. The principal is due December 7, 2026. The Company’s obligations under the Indenture and the Investor Notes are secured by (i) a junior security interest in the Altmore Collateral and the Star Buds Collateral, and (ii) a first priority security interest in all assets owned by the Company and the Subsidiary Guarantors on or after December 7, 2021.</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highlight w:val="white"/>
        </w:rPr>
        <w:t>Under the Indenture,</w:t>
      </w:r>
      <w:r>
        <w:rPr>
          <w:rFonts w:ascii="Times New Roman;Times;serif" w:hAnsi="Times New Roman;Times;serif"/>
          <w:sz w:val="20"/>
        </w:rPr>
        <w:t xml:space="preserve"> the Company must comply with certain restrictions and covenants. These include customary events of default and various financial covenants, including maintaining (i) a consolidated fixed charge coverage ratio of no less than 1.30 to 1.00 at the end of each fiscal quarter, and (ii) a minimum of $10,000,000 (in aggregate) in deposit accounts in which the Indenture Collateral Agent has a security interest. As of December 31, 2022, the Company was in compliance with the requirements described above.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val="false"/>
          <w:i/>
          <w:sz w:val="20"/>
        </w:rPr>
      </w:pPr>
      <w:r>
        <w:rPr>
          <w:rFonts w:ascii="Times New Roman;Times;serif" w:hAnsi="Times New Roman;Times;serif"/>
          <w:b w:val="false"/>
          <w:i/>
          <w:sz w:val="20"/>
        </w:rPr>
        <w:t xml:space="preserve">Nuevo Note </w:t>
      </w:r>
    </w:p>
    <w:p>
      <w:pPr>
        <w:pStyle w:val="TextBody"/>
        <w:spacing w:before="0" w:after="240"/>
        <w:ind w:left="0" w:right="0" w:hanging="0"/>
        <w:jc w:val="both"/>
        <w:rPr>
          <w:rFonts w:ascii="Times New Roman;Times;serif" w:hAnsi="Times New Roman;Times;serif"/>
          <w:b w:val="false"/>
          <w:sz w:val="20"/>
          <w:highlight w:val="white"/>
        </w:rPr>
      </w:pPr>
      <w:r>
        <w:rPr>
          <w:rFonts w:ascii="Times New Roman;Times;serif" w:hAnsi="Times New Roman;Times;serif"/>
          <w:b w:val="false"/>
          <w:sz w:val="20"/>
          <w:highlight w:val="white"/>
        </w:rPr>
        <w:t>As part of the acquisition under the Nuevo Purchase Agreement, Nuevo Holding, LLC, a wholly-owned subsidiary of the Company, issued the Nuevo Note to RGA requiring the Company to make payments on an aggregate amount of $17,000,000. The deferred Nuevo Note incurs 5% interest per year, payable on the first of each month. The principal is due February 7, 2025. The Nuevo Note is unsecured.</w:t>
      </w:r>
    </w:p>
    <w:p>
      <w:pPr>
        <w:pStyle w:val="TextBody"/>
        <w:spacing w:before="0" w:after="240"/>
        <w:ind w:left="0" w:right="0" w:hanging="0"/>
        <w:rPr>
          <w:rFonts w:ascii="Times New Roman;Times;serif" w:hAnsi="Times New Roman;Times;serif"/>
          <w:b/>
          <w:smallCaps/>
          <w:sz w:val="20"/>
        </w:rPr>
      </w:pPr>
      <w:r>
        <w:rPr>
          <w:rFonts w:ascii="Times New Roman;Times;serif" w:hAnsi="Times New Roman;Times;serif"/>
          <w:b/>
          <w:smallCaps/>
          <w:sz w:val="20"/>
        </w:rPr>
        <w:t>Contractual Cash Obligations and Other Commitments and Contingencies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Material contractual obligations arising in the normal course of business primarily consist of debt and interest related payments, lease obligations, and purchase price obligations for acquisitions. Management believes that cash flows from operations will be sufficient to satisfy our capital expenditures, debt services, working capital needs, and other contractual obligations for the next twelve months. We may need to obtain additional external financing to meet our material long-term obligations, and management believes the Company will need additional financing to continue execution of its growth strategy in future periods.</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following table quantifies the Company’s material future contractual obligation as of December 31, 2022: </w:t>
      </w:r>
    </w:p>
    <w:tbl>
      <w:tblPr>
        <w:tblW w:w="13059" w:type="dxa"/>
        <w:jc w:val="left"/>
        <w:tblInd w:w="0" w:type="dxa"/>
        <w:tblCellMar>
          <w:top w:w="0" w:type="dxa"/>
          <w:left w:w="0" w:type="dxa"/>
          <w:bottom w:w="0" w:type="dxa"/>
          <w:right w:w="0" w:type="dxa"/>
        </w:tblCellMar>
      </w:tblPr>
      <w:tblGrid>
        <w:gridCol w:w="1156"/>
        <w:gridCol w:w="326"/>
        <w:gridCol w:w="394"/>
        <w:gridCol w:w="437"/>
        <w:gridCol w:w="704"/>
        <w:gridCol w:w="162"/>
        <w:gridCol w:w="80"/>
        <w:gridCol w:w="307"/>
        <w:gridCol w:w="336"/>
        <w:gridCol w:w="700"/>
        <w:gridCol w:w="162"/>
        <w:gridCol w:w="80"/>
        <w:gridCol w:w="307"/>
        <w:gridCol w:w="336"/>
        <w:gridCol w:w="700"/>
        <w:gridCol w:w="162"/>
        <w:gridCol w:w="80"/>
        <w:gridCol w:w="307"/>
        <w:gridCol w:w="336"/>
        <w:gridCol w:w="700"/>
        <w:gridCol w:w="162"/>
        <w:gridCol w:w="80"/>
        <w:gridCol w:w="307"/>
        <w:gridCol w:w="370"/>
        <w:gridCol w:w="771"/>
        <w:gridCol w:w="162"/>
        <w:gridCol w:w="80"/>
        <w:gridCol w:w="307"/>
        <w:gridCol w:w="301"/>
        <w:gridCol w:w="630"/>
        <w:gridCol w:w="162"/>
        <w:gridCol w:w="168"/>
        <w:gridCol w:w="646"/>
        <w:gridCol w:w="360"/>
        <w:gridCol w:w="781"/>
      </w:tblGrid>
      <w:tr>
        <w:trPr/>
        <w:tc>
          <w:tcPr>
            <w:tcW w:w="11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94" w:type="dxa"/>
            <w:tcBorders/>
            <w:shd w:fill="auto" w:val="clear"/>
            <w:vAlign w:val="center"/>
          </w:tcPr>
          <w:p>
            <w:pPr>
              <w:pStyle w:val="TableContents"/>
              <w:spacing w:before="0" w:after="0"/>
              <w:ind w:left="0" w:right="0" w:hanging="0"/>
              <w:rPr/>
            </w:pPr>
            <w:r>
              <w:rPr/>
              <w:t>​</w:t>
            </w:r>
          </w:p>
        </w:tc>
        <w:tc>
          <w:tcPr>
            <w:tcW w:w="1141" w:type="dxa"/>
            <w:gridSpan w:val="2"/>
            <w:tcBorders/>
            <w:shd w:fill="auto" w:val="clear"/>
            <w:vAlign w:val="center"/>
          </w:tcPr>
          <w:p>
            <w:pPr>
              <w:pStyle w:val="TableContents"/>
              <w:spacing w:before="0" w:after="0"/>
              <w:ind w:left="0" w:right="0" w:hanging="0"/>
              <w:rPr/>
            </w:pPr>
            <w:r>
              <w:rPr/>
              <w:t>​</w:t>
            </w:r>
          </w:p>
        </w:tc>
        <w:tc>
          <w:tcPr>
            <w:tcW w:w="242" w:type="dxa"/>
            <w:gridSpan w:val="2"/>
            <w:tcBorders/>
            <w:shd w:fill="auto" w:val="clear"/>
            <w:vAlign w:val="center"/>
          </w:tcPr>
          <w:p>
            <w:pPr>
              <w:pStyle w:val="TableContents"/>
              <w:spacing w:before="0" w:after="0"/>
              <w:ind w:left="0" w:right="0" w:hanging="0"/>
              <w:rPr/>
            </w:pPr>
            <w:r>
              <w:rPr/>
              <w:t>​</w:t>
            </w:r>
          </w:p>
        </w:tc>
        <w:tc>
          <w:tcPr>
            <w:tcW w:w="307" w:type="dxa"/>
            <w:tcBorders/>
            <w:shd w:fill="auto" w:val="clear"/>
            <w:vAlign w:val="center"/>
          </w:tcPr>
          <w:p>
            <w:pPr>
              <w:pStyle w:val="TableContents"/>
              <w:spacing w:before="0" w:after="0"/>
              <w:ind w:left="0" w:right="0" w:hanging="0"/>
              <w:rPr/>
            </w:pPr>
            <w:r>
              <w:rPr/>
              <w:t>​</w:t>
            </w:r>
          </w:p>
        </w:tc>
        <w:tc>
          <w:tcPr>
            <w:tcW w:w="1036" w:type="dxa"/>
            <w:gridSpan w:val="2"/>
            <w:tcBorders/>
            <w:shd w:fill="auto" w:val="clear"/>
            <w:vAlign w:val="center"/>
          </w:tcPr>
          <w:p>
            <w:pPr>
              <w:pStyle w:val="TableContents"/>
              <w:spacing w:before="0" w:after="0"/>
              <w:ind w:left="0" w:right="0" w:hanging="0"/>
              <w:rPr/>
            </w:pPr>
            <w:r>
              <w:rPr/>
              <w:t>​</w:t>
            </w:r>
          </w:p>
        </w:tc>
        <w:tc>
          <w:tcPr>
            <w:tcW w:w="242" w:type="dxa"/>
            <w:gridSpan w:val="2"/>
            <w:tcBorders/>
            <w:shd w:fill="auto" w:val="clear"/>
            <w:vAlign w:val="center"/>
          </w:tcPr>
          <w:p>
            <w:pPr>
              <w:pStyle w:val="TableContents"/>
              <w:spacing w:before="0" w:after="0"/>
              <w:ind w:left="0" w:right="0" w:hanging="0"/>
              <w:rPr/>
            </w:pPr>
            <w:r>
              <w:rPr/>
              <w:t>​</w:t>
            </w:r>
          </w:p>
        </w:tc>
        <w:tc>
          <w:tcPr>
            <w:tcW w:w="307" w:type="dxa"/>
            <w:tcBorders/>
            <w:shd w:fill="auto" w:val="clear"/>
            <w:vAlign w:val="center"/>
          </w:tcPr>
          <w:p>
            <w:pPr>
              <w:pStyle w:val="TableContents"/>
              <w:spacing w:before="0" w:after="0"/>
              <w:ind w:left="0" w:right="0" w:hanging="0"/>
              <w:rPr/>
            </w:pPr>
            <w:r>
              <w:rPr/>
              <w:t>​</w:t>
            </w:r>
          </w:p>
        </w:tc>
        <w:tc>
          <w:tcPr>
            <w:tcW w:w="1036" w:type="dxa"/>
            <w:gridSpan w:val="2"/>
            <w:tcBorders/>
            <w:shd w:fill="auto" w:val="clear"/>
            <w:vAlign w:val="center"/>
          </w:tcPr>
          <w:p>
            <w:pPr>
              <w:pStyle w:val="TableContents"/>
              <w:spacing w:before="0" w:after="0"/>
              <w:ind w:left="0" w:right="0" w:hanging="0"/>
              <w:rPr/>
            </w:pPr>
            <w:r>
              <w:rPr/>
              <w:t>​</w:t>
            </w:r>
          </w:p>
        </w:tc>
        <w:tc>
          <w:tcPr>
            <w:tcW w:w="242" w:type="dxa"/>
            <w:gridSpan w:val="2"/>
            <w:tcBorders/>
            <w:shd w:fill="auto" w:val="clear"/>
            <w:vAlign w:val="center"/>
          </w:tcPr>
          <w:p>
            <w:pPr>
              <w:pStyle w:val="TableContents"/>
              <w:spacing w:before="0" w:after="0"/>
              <w:ind w:left="0" w:right="0" w:hanging="0"/>
              <w:rPr/>
            </w:pPr>
            <w:r>
              <w:rPr/>
              <w:t>​</w:t>
            </w:r>
          </w:p>
        </w:tc>
        <w:tc>
          <w:tcPr>
            <w:tcW w:w="307" w:type="dxa"/>
            <w:tcBorders/>
            <w:shd w:fill="auto" w:val="clear"/>
            <w:vAlign w:val="center"/>
          </w:tcPr>
          <w:p>
            <w:pPr>
              <w:pStyle w:val="TableContents"/>
              <w:spacing w:before="0" w:after="0"/>
              <w:ind w:left="0" w:right="0" w:hanging="0"/>
              <w:rPr/>
            </w:pPr>
            <w:r>
              <w:rPr/>
              <w:t>​</w:t>
            </w:r>
          </w:p>
        </w:tc>
        <w:tc>
          <w:tcPr>
            <w:tcW w:w="1036" w:type="dxa"/>
            <w:gridSpan w:val="2"/>
            <w:tcBorders/>
            <w:shd w:fill="auto" w:val="clear"/>
            <w:vAlign w:val="center"/>
          </w:tcPr>
          <w:p>
            <w:pPr>
              <w:pStyle w:val="TableContents"/>
              <w:spacing w:before="0" w:after="0"/>
              <w:ind w:left="0" w:right="0" w:hanging="0"/>
              <w:rPr/>
            </w:pPr>
            <w:r>
              <w:rPr/>
              <w:t>​</w:t>
            </w:r>
          </w:p>
        </w:tc>
        <w:tc>
          <w:tcPr>
            <w:tcW w:w="242" w:type="dxa"/>
            <w:gridSpan w:val="2"/>
            <w:tcBorders/>
            <w:shd w:fill="auto" w:val="clear"/>
            <w:vAlign w:val="center"/>
          </w:tcPr>
          <w:p>
            <w:pPr>
              <w:pStyle w:val="TableContents"/>
              <w:spacing w:before="0" w:after="0"/>
              <w:ind w:left="0" w:right="0" w:hanging="0"/>
              <w:rPr/>
            </w:pPr>
            <w:r>
              <w:rPr/>
              <w:t>​</w:t>
            </w:r>
          </w:p>
        </w:tc>
        <w:tc>
          <w:tcPr>
            <w:tcW w:w="307" w:type="dxa"/>
            <w:tcBorders/>
            <w:shd w:fill="auto" w:val="clear"/>
            <w:vAlign w:val="center"/>
          </w:tcPr>
          <w:p>
            <w:pPr>
              <w:pStyle w:val="TableContents"/>
              <w:spacing w:before="0" w:after="0"/>
              <w:ind w:left="0" w:right="0" w:hanging="0"/>
              <w:rPr/>
            </w:pPr>
            <w:r>
              <w:rPr/>
              <w:t>​</w:t>
            </w:r>
          </w:p>
        </w:tc>
        <w:tc>
          <w:tcPr>
            <w:tcW w:w="1141" w:type="dxa"/>
            <w:gridSpan w:val="2"/>
            <w:tcBorders/>
            <w:shd w:fill="auto" w:val="clear"/>
            <w:vAlign w:val="center"/>
          </w:tcPr>
          <w:p>
            <w:pPr>
              <w:pStyle w:val="TableContents"/>
              <w:spacing w:before="0" w:after="0"/>
              <w:ind w:left="0" w:right="0" w:hanging="0"/>
              <w:rPr/>
            </w:pPr>
            <w:r>
              <w:rPr/>
              <w:t>​</w:t>
            </w:r>
          </w:p>
        </w:tc>
        <w:tc>
          <w:tcPr>
            <w:tcW w:w="242" w:type="dxa"/>
            <w:gridSpan w:val="2"/>
            <w:tcBorders/>
            <w:shd w:fill="auto" w:val="clear"/>
            <w:vAlign w:val="center"/>
          </w:tcPr>
          <w:p>
            <w:pPr>
              <w:pStyle w:val="TableContents"/>
              <w:spacing w:before="0" w:after="0"/>
              <w:ind w:left="0" w:right="0" w:hanging="0"/>
              <w:rPr/>
            </w:pPr>
            <w:r>
              <w:rPr/>
              <w:t>​</w:t>
            </w:r>
          </w:p>
        </w:tc>
        <w:tc>
          <w:tcPr>
            <w:tcW w:w="307" w:type="dxa"/>
            <w:tcBorders/>
            <w:shd w:fill="auto" w:val="clear"/>
            <w:vAlign w:val="center"/>
          </w:tcPr>
          <w:p>
            <w:pPr>
              <w:pStyle w:val="TableContents"/>
              <w:spacing w:before="0" w:after="0"/>
              <w:ind w:left="0" w:right="0" w:hanging="0"/>
              <w:rPr/>
            </w:pPr>
            <w:r>
              <w:rPr/>
              <w:t>​</w:t>
            </w:r>
          </w:p>
        </w:tc>
        <w:tc>
          <w:tcPr>
            <w:tcW w:w="931" w:type="dxa"/>
            <w:gridSpan w:val="2"/>
            <w:tcBorders/>
            <w:shd w:fill="auto" w:val="clear"/>
            <w:vAlign w:val="center"/>
          </w:tcPr>
          <w:p>
            <w:pPr>
              <w:pStyle w:val="TableContents"/>
              <w:spacing w:before="0" w:after="0"/>
              <w:ind w:left="0" w:right="0" w:hanging="0"/>
              <w:rPr/>
            </w:pPr>
            <w:r>
              <w:rPr/>
              <w:t>​</w:t>
            </w:r>
          </w:p>
        </w:tc>
        <w:tc>
          <w:tcPr>
            <w:tcW w:w="330" w:type="dxa"/>
            <w:gridSpan w:val="2"/>
            <w:tcBorders/>
            <w:shd w:fill="auto" w:val="clear"/>
            <w:vAlign w:val="center"/>
          </w:tcPr>
          <w:p>
            <w:pPr>
              <w:pStyle w:val="TableContents"/>
              <w:spacing w:before="0" w:after="0"/>
              <w:ind w:left="0" w:right="0" w:hanging="0"/>
              <w:rPr/>
            </w:pPr>
            <w:r>
              <w:rPr/>
              <w:t>​</w:t>
            </w:r>
          </w:p>
        </w:tc>
        <w:tc>
          <w:tcPr>
            <w:tcW w:w="646" w:type="dxa"/>
            <w:tcBorders/>
            <w:shd w:fill="auto" w:val="clear"/>
            <w:vAlign w:val="center"/>
          </w:tcPr>
          <w:p>
            <w:pPr>
              <w:pStyle w:val="TableContents"/>
              <w:spacing w:before="0" w:after="0"/>
              <w:ind w:left="0" w:right="0" w:hanging="0"/>
              <w:rPr/>
            </w:pPr>
            <w:r>
              <w:rPr/>
              <w:t>​</w:t>
            </w:r>
          </w:p>
        </w:tc>
        <w:tc>
          <w:tcPr>
            <w:tcW w:w="1141" w:type="dxa"/>
            <w:gridSpan w:val="2"/>
            <w:tcBorders/>
            <w:shd w:fill="auto" w:val="clear"/>
            <w:vAlign w:val="center"/>
          </w:tcPr>
          <w:p>
            <w:pPr>
              <w:pStyle w:val="TableContents"/>
              <w:spacing w:before="0" w:after="0"/>
              <w:ind w:left="0" w:right="0" w:hanging="0"/>
              <w:rPr/>
            </w:pPr>
            <w:r>
              <w:rPr/>
              <w:t>​</w:t>
            </w:r>
          </w:p>
        </w:tc>
      </w:tr>
      <w:tr>
        <w:trPr/>
        <w:tc>
          <w:tcPr>
            <w:tcW w:w="11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83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866" w:type="dxa"/>
            <w:gridSpan w:val="2"/>
            <w:tcBorders/>
            <w:shd w:fill="auto" w:val="clear"/>
            <w:vAlign w:val="center"/>
          </w:tcPr>
          <w:p>
            <w:pPr>
              <w:pStyle w:val="TableContents"/>
              <w:spacing w:before="0" w:after="0"/>
              <w:ind w:left="0" w:right="0" w:hanging="0"/>
              <w:jc w:val="center"/>
              <w:rPr/>
            </w:pPr>
            <w:r>
              <w:rPr/>
              <w:t>    </w:t>
            </w:r>
          </w:p>
        </w:tc>
        <w:tc>
          <w:tcPr>
            <w:tcW w:w="72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862" w:type="dxa"/>
            <w:gridSpan w:val="2"/>
            <w:tcBorders/>
            <w:shd w:fill="auto" w:val="clear"/>
            <w:vAlign w:val="center"/>
          </w:tcPr>
          <w:p>
            <w:pPr>
              <w:pStyle w:val="TableContents"/>
              <w:spacing w:before="0" w:after="0"/>
              <w:ind w:left="0" w:right="0" w:hanging="0"/>
              <w:jc w:val="center"/>
              <w:rPr/>
            </w:pPr>
            <w:r>
              <w:rPr/>
              <w:t>    </w:t>
            </w:r>
          </w:p>
        </w:tc>
        <w:tc>
          <w:tcPr>
            <w:tcW w:w="72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862" w:type="dxa"/>
            <w:gridSpan w:val="2"/>
            <w:tcBorders/>
            <w:shd w:fill="auto" w:val="clear"/>
            <w:vAlign w:val="center"/>
          </w:tcPr>
          <w:p>
            <w:pPr>
              <w:pStyle w:val="TableContents"/>
              <w:spacing w:before="0" w:after="0"/>
              <w:ind w:left="0" w:right="0" w:hanging="0"/>
              <w:jc w:val="center"/>
              <w:rPr/>
            </w:pPr>
            <w:r>
              <w:rPr/>
              <w:t>    </w:t>
            </w:r>
          </w:p>
        </w:tc>
        <w:tc>
          <w:tcPr>
            <w:tcW w:w="72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862" w:type="dxa"/>
            <w:gridSpan w:val="2"/>
            <w:tcBorders/>
            <w:shd w:fill="auto" w:val="clear"/>
            <w:vAlign w:val="center"/>
          </w:tcPr>
          <w:p>
            <w:pPr>
              <w:pStyle w:val="TableContents"/>
              <w:spacing w:before="0" w:after="0"/>
              <w:ind w:left="0" w:right="0" w:hanging="0"/>
              <w:jc w:val="center"/>
              <w:rPr/>
            </w:pPr>
            <w:r>
              <w:rPr/>
              <w:t>    </w:t>
            </w:r>
          </w:p>
        </w:tc>
        <w:tc>
          <w:tcPr>
            <w:tcW w:w="757"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933" w:type="dxa"/>
            <w:gridSpan w:val="2"/>
            <w:tcBorders/>
            <w:shd w:fill="auto" w:val="clear"/>
            <w:vAlign w:val="center"/>
          </w:tcPr>
          <w:p>
            <w:pPr>
              <w:pStyle w:val="TableContents"/>
              <w:spacing w:before="0" w:after="0"/>
              <w:ind w:left="0" w:right="0" w:hanging="0"/>
              <w:jc w:val="center"/>
              <w:rPr/>
            </w:pPr>
            <w:r>
              <w:rPr/>
              <w:t>    </w:t>
            </w:r>
          </w:p>
        </w:tc>
        <w:tc>
          <w:tcPr>
            <w:tcW w:w="68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2027</w:t>
            </w:r>
          </w:p>
        </w:tc>
        <w:tc>
          <w:tcPr>
            <w:tcW w:w="792" w:type="dxa"/>
            <w:gridSpan w:val="2"/>
            <w:tcBorders/>
            <w:shd w:fill="auto" w:val="clear"/>
            <w:vAlign w:val="center"/>
          </w:tcPr>
          <w:p>
            <w:pPr>
              <w:pStyle w:val="TableContents"/>
              <w:spacing w:before="0" w:after="0"/>
              <w:ind w:left="0" w:right="0" w:hanging="0"/>
              <w:jc w:val="center"/>
              <w:rPr/>
            </w:pPr>
            <w:r>
              <w:rPr/>
              <w:t>    </w:t>
            </w:r>
          </w:p>
        </w:tc>
        <w:tc>
          <w:tcPr>
            <w:tcW w:w="1174"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Thereafter</w:t>
            </w:r>
          </w:p>
        </w:tc>
        <w:tc>
          <w:tcPr>
            <w:tcW w:w="781"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11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Notes Payable (</w:t>
            </w:r>
            <w:r>
              <w:rPr>
                <w:rFonts w:ascii="Times New Roman;Times;serif" w:hAnsi="Times New Roman;Times;serif"/>
                <w:i/>
                <w:sz w:val="20"/>
              </w:rPr>
              <w:t>a</w:t>
            </w:r>
            <w:r>
              <w:rPr>
                <w:rFonts w:ascii="Times New Roman;Times;serif" w:hAnsi="Times New Roman;Times;serif"/>
                <w:sz w:val="20"/>
              </w:rPr>
              <w:t>)</w:t>
            </w:r>
          </w:p>
        </w:tc>
        <w:tc>
          <w:tcPr>
            <w:tcW w:w="326" w:type="dxa"/>
            <w:tcBorders/>
            <w:shd w:fill="CCEEFF" w:val="clear"/>
            <w:vAlign w:val="center"/>
          </w:tcPr>
          <w:p>
            <w:pPr>
              <w:pStyle w:val="TableContents"/>
              <w:spacing w:before="0" w:after="0"/>
              <w:ind w:left="0" w:right="0" w:hanging="0"/>
              <w:rPr/>
            </w:pPr>
            <w:r>
              <w:rPr/>
              <w:t>​</w:t>
            </w:r>
          </w:p>
        </w:tc>
        <w:tc>
          <w:tcPr>
            <w:tcW w:w="39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gridSpan w:val="2"/>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175,368,391</w:t>
            </w:r>
          </w:p>
        </w:tc>
        <w:tc>
          <w:tcPr>
            <w:tcW w:w="242" w:type="dxa"/>
            <w:gridSpan w:val="2"/>
            <w:tcBorders/>
            <w:shd w:fill="CCEEFF" w:val="clear"/>
            <w:vAlign w:val="center"/>
          </w:tcPr>
          <w:p>
            <w:pPr>
              <w:pStyle w:val="TableContents"/>
              <w:spacing w:before="0" w:after="0"/>
              <w:ind w:left="0" w:right="0" w:hanging="0"/>
              <w:rPr/>
            </w:pPr>
            <w:r>
              <w:rPr/>
              <w:t>​</w:t>
            </w:r>
          </w:p>
        </w:tc>
        <w:tc>
          <w:tcPr>
            <w:tcW w:w="30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gridSpan w:val="2"/>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2,250,000</w:t>
            </w:r>
          </w:p>
        </w:tc>
        <w:tc>
          <w:tcPr>
            <w:tcW w:w="242" w:type="dxa"/>
            <w:gridSpan w:val="2"/>
            <w:tcBorders/>
            <w:shd w:fill="CCEEFF" w:val="clear"/>
            <w:vAlign w:val="center"/>
          </w:tcPr>
          <w:p>
            <w:pPr>
              <w:pStyle w:val="TableContents"/>
              <w:spacing w:before="0" w:after="0"/>
              <w:ind w:left="0" w:right="0" w:hanging="0"/>
              <w:rPr/>
            </w:pPr>
            <w:r>
              <w:rPr/>
              <w:t>​</w:t>
            </w:r>
          </w:p>
        </w:tc>
        <w:tc>
          <w:tcPr>
            <w:tcW w:w="30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gridSpan w:val="2"/>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3,000,000</w:t>
            </w:r>
          </w:p>
        </w:tc>
        <w:tc>
          <w:tcPr>
            <w:tcW w:w="242" w:type="dxa"/>
            <w:gridSpan w:val="2"/>
            <w:tcBorders/>
            <w:shd w:fill="CCEEFF" w:val="clear"/>
            <w:vAlign w:val="center"/>
          </w:tcPr>
          <w:p>
            <w:pPr>
              <w:pStyle w:val="TableContents"/>
              <w:spacing w:before="0" w:after="0"/>
              <w:ind w:left="0" w:right="0" w:hanging="0"/>
              <w:rPr/>
            </w:pPr>
            <w:r>
              <w:rPr/>
              <w:t>​</w:t>
            </w:r>
          </w:p>
        </w:tc>
        <w:tc>
          <w:tcPr>
            <w:tcW w:w="30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gridSpan w:val="2"/>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40,651,759</w:t>
            </w:r>
          </w:p>
        </w:tc>
        <w:tc>
          <w:tcPr>
            <w:tcW w:w="242" w:type="dxa"/>
            <w:gridSpan w:val="2"/>
            <w:tcBorders/>
            <w:shd w:fill="CCEEFF" w:val="clear"/>
            <w:vAlign w:val="center"/>
          </w:tcPr>
          <w:p>
            <w:pPr>
              <w:pStyle w:val="TableContents"/>
              <w:spacing w:before="0" w:after="0"/>
              <w:ind w:left="0" w:right="0" w:hanging="0"/>
              <w:rPr/>
            </w:pPr>
            <w:r>
              <w:rPr/>
              <w:t>​</w:t>
            </w:r>
          </w:p>
        </w:tc>
        <w:tc>
          <w:tcPr>
            <w:tcW w:w="30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gridSpan w:val="2"/>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129,466,632</w:t>
            </w:r>
          </w:p>
        </w:tc>
        <w:tc>
          <w:tcPr>
            <w:tcW w:w="242" w:type="dxa"/>
            <w:gridSpan w:val="2"/>
            <w:tcBorders/>
            <w:shd w:fill="CCEEFF" w:val="clear"/>
            <w:vAlign w:val="center"/>
          </w:tcPr>
          <w:p>
            <w:pPr>
              <w:pStyle w:val="TableContents"/>
              <w:spacing w:before="0" w:after="0"/>
              <w:ind w:left="0" w:right="0" w:hanging="0"/>
              <w:rPr/>
            </w:pPr>
            <w:r>
              <w:rPr/>
              <w:t>​</w:t>
            </w:r>
          </w:p>
        </w:tc>
        <w:tc>
          <w:tcPr>
            <w:tcW w:w="30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gridSpan w:val="2"/>
            <w:tcBorders/>
            <w:shd w:fill="CCEEFF" w:val="clear"/>
            <w:vAlign w:val="center"/>
          </w:tcPr>
          <w:p>
            <w:pPr>
              <w:pStyle w:val="TableContents"/>
              <w:spacing w:before="0" w:after="0"/>
              <w:ind w:left="0" w:right="0" w:hanging="0"/>
              <w:jc w:val="right"/>
              <w:rPr/>
            </w:pPr>
            <w:r>
              <w:rPr/>
              <w:t>—</w:t>
            </w:r>
          </w:p>
        </w:tc>
        <w:tc>
          <w:tcPr>
            <w:tcW w:w="330" w:type="dxa"/>
            <w:gridSpan w:val="2"/>
            <w:tcBorders/>
            <w:shd w:fill="CCEEFF" w:val="clear"/>
            <w:vAlign w:val="center"/>
          </w:tcPr>
          <w:p>
            <w:pPr>
              <w:pStyle w:val="TableContents"/>
              <w:spacing w:before="0" w:after="0"/>
              <w:ind w:left="0" w:right="0" w:hanging="0"/>
              <w:rPr/>
            </w:pPr>
            <w:r>
              <w:rPr/>
              <w:t>​</w:t>
            </w:r>
          </w:p>
        </w:tc>
        <w:tc>
          <w:tcPr>
            <w:tcW w:w="6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gridSpan w:val="2"/>
            <w:tcBorders/>
            <w:shd w:fill="CCEEFF" w:val="clear"/>
            <w:vAlign w:val="center"/>
          </w:tcPr>
          <w:p>
            <w:pPr>
              <w:pStyle w:val="TableContents"/>
              <w:spacing w:before="0" w:after="0"/>
              <w:ind w:left="0" w:right="0" w:hanging="0"/>
              <w:jc w:val="right"/>
              <w:rPr/>
            </w:pPr>
            <w:r>
              <w:rPr/>
              <w:t>—</w:t>
            </w:r>
          </w:p>
        </w:tc>
      </w:tr>
      <w:tr>
        <w:trPr/>
        <w:tc>
          <w:tcPr>
            <w:tcW w:w="11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Due on Notes Payable (</w:t>
            </w:r>
            <w:r>
              <w:rPr>
                <w:rFonts w:ascii="Times New Roman;Times;serif" w:hAnsi="Times New Roman;Times;serif"/>
                <w:i/>
                <w:sz w:val="20"/>
              </w:rPr>
              <w:t>b</w:t>
            </w:r>
            <w:r>
              <w:rPr>
                <w:rFonts w:ascii="Times New Roman;Times;serif" w:hAnsi="Times New Roman;Times;serif"/>
                <w:sz w:val="20"/>
              </w:rPr>
              <w:t>)</w:t>
            </w:r>
          </w:p>
        </w:tc>
        <w:tc>
          <w:tcPr>
            <w:tcW w:w="326" w:type="dxa"/>
            <w:tcBorders/>
            <w:shd w:fill="auto" w:val="clear"/>
            <w:vAlign w:val="center"/>
          </w:tcPr>
          <w:p>
            <w:pPr>
              <w:pStyle w:val="TableContents"/>
              <w:spacing w:before="0" w:after="0"/>
              <w:ind w:left="0" w:right="0" w:hanging="0"/>
              <w:rPr/>
            </w:pPr>
            <w:r>
              <w:rPr/>
              <w:t>​</w:t>
            </w:r>
          </w:p>
        </w:tc>
        <w:tc>
          <w:tcPr>
            <w:tcW w:w="394" w:type="dxa"/>
            <w:tcBorders/>
            <w:shd w:fill="auto" w:val="clear"/>
            <w:vAlign w:val="center"/>
          </w:tcPr>
          <w:p>
            <w:pPr>
              <w:pStyle w:val="TableContents"/>
              <w:spacing w:before="0" w:after="0"/>
              <w:ind w:left="0" w:right="0" w:hanging="0"/>
              <w:rPr/>
            </w:pPr>
            <w:r>
              <w:rPr/>
              <w:t> </w:t>
            </w:r>
          </w:p>
        </w:tc>
        <w:tc>
          <w:tcPr>
            <w:tcW w:w="1141" w:type="dxa"/>
            <w:gridSpan w:val="2"/>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60,557,262</w:t>
            </w:r>
          </w:p>
        </w:tc>
        <w:tc>
          <w:tcPr>
            <w:tcW w:w="242" w:type="dxa"/>
            <w:gridSpan w:val="2"/>
            <w:tcBorders/>
            <w:shd w:fill="auto" w:val="clear"/>
            <w:vAlign w:val="center"/>
          </w:tcPr>
          <w:p>
            <w:pPr>
              <w:pStyle w:val="TableContents"/>
              <w:spacing w:before="0" w:after="0"/>
              <w:ind w:left="0" w:right="0" w:hanging="0"/>
              <w:rPr/>
            </w:pPr>
            <w:r>
              <w:rPr/>
              <w:t>​</w:t>
            </w:r>
          </w:p>
        </w:tc>
        <w:tc>
          <w:tcPr>
            <w:tcW w:w="307" w:type="dxa"/>
            <w:tcBorders/>
            <w:shd w:fill="auto" w:val="clear"/>
            <w:vAlign w:val="center"/>
          </w:tcPr>
          <w:p>
            <w:pPr>
              <w:pStyle w:val="TableContents"/>
              <w:spacing w:before="0" w:after="0"/>
              <w:ind w:left="0" w:right="0" w:hanging="0"/>
              <w:rPr/>
            </w:pPr>
            <w:r>
              <w:rPr/>
              <w:t> </w:t>
            </w:r>
          </w:p>
        </w:tc>
        <w:tc>
          <w:tcPr>
            <w:tcW w:w="1036" w:type="dxa"/>
            <w:gridSpan w:val="2"/>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17,395,558</w:t>
            </w:r>
          </w:p>
        </w:tc>
        <w:tc>
          <w:tcPr>
            <w:tcW w:w="242" w:type="dxa"/>
            <w:gridSpan w:val="2"/>
            <w:tcBorders/>
            <w:shd w:fill="auto" w:val="clear"/>
            <w:vAlign w:val="center"/>
          </w:tcPr>
          <w:p>
            <w:pPr>
              <w:pStyle w:val="TableContents"/>
              <w:spacing w:before="0" w:after="0"/>
              <w:ind w:left="0" w:right="0" w:hanging="0"/>
              <w:rPr/>
            </w:pPr>
            <w:r>
              <w:rPr/>
              <w:t>​</w:t>
            </w:r>
          </w:p>
        </w:tc>
        <w:tc>
          <w:tcPr>
            <w:tcW w:w="307" w:type="dxa"/>
            <w:tcBorders/>
            <w:shd w:fill="auto" w:val="clear"/>
            <w:vAlign w:val="center"/>
          </w:tcPr>
          <w:p>
            <w:pPr>
              <w:pStyle w:val="TableContents"/>
              <w:spacing w:before="0" w:after="0"/>
              <w:ind w:left="0" w:right="0" w:hanging="0"/>
              <w:rPr/>
            </w:pPr>
            <w:r>
              <w:rPr/>
              <w:t> </w:t>
            </w:r>
          </w:p>
        </w:tc>
        <w:tc>
          <w:tcPr>
            <w:tcW w:w="1036" w:type="dxa"/>
            <w:gridSpan w:val="2"/>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17,325,242</w:t>
            </w:r>
          </w:p>
        </w:tc>
        <w:tc>
          <w:tcPr>
            <w:tcW w:w="242" w:type="dxa"/>
            <w:gridSpan w:val="2"/>
            <w:tcBorders/>
            <w:shd w:fill="auto" w:val="clear"/>
            <w:vAlign w:val="center"/>
          </w:tcPr>
          <w:p>
            <w:pPr>
              <w:pStyle w:val="TableContents"/>
              <w:spacing w:before="0" w:after="0"/>
              <w:ind w:left="0" w:right="0" w:hanging="0"/>
              <w:rPr/>
            </w:pPr>
            <w:r>
              <w:rPr/>
              <w:t>​</w:t>
            </w:r>
          </w:p>
        </w:tc>
        <w:tc>
          <w:tcPr>
            <w:tcW w:w="307" w:type="dxa"/>
            <w:tcBorders/>
            <w:shd w:fill="auto" w:val="clear"/>
            <w:vAlign w:val="center"/>
          </w:tcPr>
          <w:p>
            <w:pPr>
              <w:pStyle w:val="TableContents"/>
              <w:spacing w:before="0" w:after="0"/>
              <w:ind w:left="0" w:right="0" w:hanging="0"/>
              <w:rPr/>
            </w:pPr>
            <w:r>
              <w:rPr/>
              <w:t> </w:t>
            </w:r>
          </w:p>
        </w:tc>
        <w:tc>
          <w:tcPr>
            <w:tcW w:w="1036" w:type="dxa"/>
            <w:gridSpan w:val="2"/>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15,443,743</w:t>
            </w:r>
          </w:p>
        </w:tc>
        <w:tc>
          <w:tcPr>
            <w:tcW w:w="242" w:type="dxa"/>
            <w:gridSpan w:val="2"/>
            <w:tcBorders/>
            <w:shd w:fill="auto" w:val="clear"/>
            <w:vAlign w:val="center"/>
          </w:tcPr>
          <w:p>
            <w:pPr>
              <w:pStyle w:val="TableContents"/>
              <w:spacing w:before="0" w:after="0"/>
              <w:ind w:left="0" w:right="0" w:hanging="0"/>
              <w:rPr/>
            </w:pPr>
            <w:r>
              <w:rPr/>
              <w:t>​</w:t>
            </w:r>
          </w:p>
        </w:tc>
        <w:tc>
          <w:tcPr>
            <w:tcW w:w="307" w:type="dxa"/>
            <w:tcBorders/>
            <w:shd w:fill="auto" w:val="clear"/>
            <w:vAlign w:val="center"/>
          </w:tcPr>
          <w:p>
            <w:pPr>
              <w:pStyle w:val="TableContents"/>
              <w:spacing w:before="0" w:after="0"/>
              <w:ind w:left="0" w:right="0" w:hanging="0"/>
              <w:rPr/>
            </w:pPr>
            <w:r>
              <w:rPr/>
              <w:t> </w:t>
            </w:r>
          </w:p>
        </w:tc>
        <w:tc>
          <w:tcPr>
            <w:tcW w:w="1141" w:type="dxa"/>
            <w:gridSpan w:val="2"/>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10,392,719</w:t>
            </w:r>
          </w:p>
        </w:tc>
        <w:tc>
          <w:tcPr>
            <w:tcW w:w="242" w:type="dxa"/>
            <w:gridSpan w:val="2"/>
            <w:tcBorders/>
            <w:shd w:fill="auto" w:val="clear"/>
            <w:vAlign w:val="center"/>
          </w:tcPr>
          <w:p>
            <w:pPr>
              <w:pStyle w:val="TableContents"/>
              <w:spacing w:before="0" w:after="0"/>
              <w:ind w:left="0" w:right="0" w:hanging="0"/>
              <w:rPr/>
            </w:pPr>
            <w:r>
              <w:rPr/>
              <w:t>​</w:t>
            </w:r>
          </w:p>
        </w:tc>
        <w:tc>
          <w:tcPr>
            <w:tcW w:w="307" w:type="dxa"/>
            <w:tcBorders/>
            <w:shd w:fill="auto" w:val="clear"/>
            <w:vAlign w:val="center"/>
          </w:tcPr>
          <w:p>
            <w:pPr>
              <w:pStyle w:val="TableContents"/>
              <w:spacing w:before="0" w:after="0"/>
              <w:ind w:left="0" w:right="0" w:hanging="0"/>
              <w:rPr/>
            </w:pPr>
            <w:r>
              <w:rPr/>
              <w:t> </w:t>
            </w:r>
          </w:p>
        </w:tc>
        <w:tc>
          <w:tcPr>
            <w:tcW w:w="931" w:type="dxa"/>
            <w:gridSpan w:val="2"/>
            <w:tcBorders/>
            <w:shd w:fill="auto" w:val="clear"/>
            <w:vAlign w:val="center"/>
          </w:tcPr>
          <w:p>
            <w:pPr>
              <w:pStyle w:val="TableContents"/>
              <w:spacing w:before="0" w:after="0"/>
              <w:ind w:left="0" w:right="0" w:hanging="0"/>
              <w:jc w:val="right"/>
              <w:rPr/>
            </w:pPr>
            <w:r>
              <w:rPr/>
              <w:t>—</w:t>
            </w:r>
          </w:p>
        </w:tc>
        <w:tc>
          <w:tcPr>
            <w:tcW w:w="330" w:type="dxa"/>
            <w:gridSpan w:val="2"/>
            <w:tcBorders/>
            <w:shd w:fill="auto" w:val="clear"/>
            <w:vAlign w:val="center"/>
          </w:tcPr>
          <w:p>
            <w:pPr>
              <w:pStyle w:val="TableContents"/>
              <w:spacing w:before="0" w:after="0"/>
              <w:ind w:left="0" w:right="0" w:hanging="0"/>
              <w:rPr/>
            </w:pPr>
            <w:r>
              <w:rPr/>
              <w:t>​</w:t>
            </w:r>
          </w:p>
        </w:tc>
        <w:tc>
          <w:tcPr>
            <w:tcW w:w="646" w:type="dxa"/>
            <w:tcBorders/>
            <w:shd w:fill="auto" w:val="clear"/>
            <w:vAlign w:val="center"/>
          </w:tcPr>
          <w:p>
            <w:pPr>
              <w:pStyle w:val="TableContents"/>
              <w:spacing w:before="0" w:after="0"/>
              <w:ind w:left="0" w:right="0" w:hanging="0"/>
              <w:rPr/>
            </w:pPr>
            <w:r>
              <w:rPr/>
              <w:t> </w:t>
            </w:r>
          </w:p>
        </w:tc>
        <w:tc>
          <w:tcPr>
            <w:tcW w:w="1141" w:type="dxa"/>
            <w:gridSpan w:val="2"/>
            <w:tcBorders/>
            <w:shd w:fill="auto" w:val="clear"/>
            <w:vAlign w:val="center"/>
          </w:tcPr>
          <w:p>
            <w:pPr>
              <w:pStyle w:val="TableContents"/>
              <w:spacing w:before="0" w:after="0"/>
              <w:ind w:left="0" w:right="0" w:hanging="0"/>
              <w:jc w:val="right"/>
              <w:rPr/>
            </w:pPr>
            <w:r>
              <w:rPr/>
              <w:t>—</w:t>
            </w:r>
          </w:p>
        </w:tc>
      </w:tr>
      <w:tr>
        <w:trPr/>
        <w:tc>
          <w:tcPr>
            <w:tcW w:w="11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Right of Use Assets (</w:t>
            </w:r>
            <w:r>
              <w:rPr>
                <w:rFonts w:ascii="Times New Roman;Times;serif" w:hAnsi="Times New Roman;Times;serif"/>
                <w:i/>
                <w:sz w:val="20"/>
              </w:rPr>
              <w:t>c</w:t>
            </w:r>
            <w:r>
              <w:rPr>
                <w:rFonts w:ascii="Times New Roman;Times;serif" w:hAnsi="Times New Roman;Times;serif"/>
                <w:sz w:val="20"/>
              </w:rPr>
              <w:t>)</w:t>
            </w:r>
          </w:p>
        </w:tc>
        <w:tc>
          <w:tcPr>
            <w:tcW w:w="326" w:type="dxa"/>
            <w:tcBorders/>
            <w:shd w:fill="CCEEFF" w:val="clear"/>
            <w:vAlign w:val="center"/>
          </w:tcPr>
          <w:p>
            <w:pPr>
              <w:pStyle w:val="TableContents"/>
              <w:spacing w:before="0" w:after="0"/>
              <w:ind w:left="0" w:right="0" w:hanging="0"/>
              <w:rPr/>
            </w:pPr>
            <w:r>
              <w:rPr/>
              <w:t>​</w:t>
            </w:r>
          </w:p>
        </w:tc>
        <w:tc>
          <w:tcPr>
            <w:tcW w:w="394" w:type="dxa"/>
            <w:tcBorders/>
            <w:shd w:fill="CCEEFF" w:val="clear"/>
            <w:vAlign w:val="center"/>
          </w:tcPr>
          <w:p>
            <w:pPr>
              <w:pStyle w:val="TableContents"/>
              <w:spacing w:before="0" w:after="0"/>
              <w:ind w:left="0" w:right="0" w:hanging="0"/>
              <w:rPr/>
            </w:pPr>
            <w:r>
              <w:rPr/>
              <w:t> </w:t>
            </w:r>
          </w:p>
        </w:tc>
        <w:tc>
          <w:tcPr>
            <w:tcW w:w="1141" w:type="dxa"/>
            <w:gridSpan w:val="2"/>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33,595,944</w:t>
            </w:r>
          </w:p>
        </w:tc>
        <w:tc>
          <w:tcPr>
            <w:tcW w:w="242" w:type="dxa"/>
            <w:gridSpan w:val="2"/>
            <w:tcBorders/>
            <w:shd w:fill="CCEEFF" w:val="clear"/>
            <w:vAlign w:val="center"/>
          </w:tcPr>
          <w:p>
            <w:pPr>
              <w:pStyle w:val="TableContents"/>
              <w:spacing w:before="0" w:after="0"/>
              <w:ind w:left="0" w:right="0" w:hanging="0"/>
              <w:rPr/>
            </w:pPr>
            <w:r>
              <w:rPr/>
              <w:t>​</w:t>
            </w:r>
          </w:p>
        </w:tc>
        <w:tc>
          <w:tcPr>
            <w:tcW w:w="307" w:type="dxa"/>
            <w:tcBorders/>
            <w:shd w:fill="CCEEFF" w:val="clear"/>
            <w:vAlign w:val="center"/>
          </w:tcPr>
          <w:p>
            <w:pPr>
              <w:pStyle w:val="TableContents"/>
              <w:spacing w:before="0" w:after="0"/>
              <w:ind w:left="0" w:right="0" w:hanging="0"/>
              <w:rPr/>
            </w:pPr>
            <w:r>
              <w:rPr/>
              <w:t> </w:t>
            </w:r>
          </w:p>
        </w:tc>
        <w:tc>
          <w:tcPr>
            <w:tcW w:w="1036" w:type="dxa"/>
            <w:gridSpan w:val="2"/>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5,873,512</w:t>
            </w:r>
          </w:p>
        </w:tc>
        <w:tc>
          <w:tcPr>
            <w:tcW w:w="242" w:type="dxa"/>
            <w:gridSpan w:val="2"/>
            <w:tcBorders/>
            <w:shd w:fill="CCEEFF" w:val="clear"/>
            <w:vAlign w:val="center"/>
          </w:tcPr>
          <w:p>
            <w:pPr>
              <w:pStyle w:val="TableContents"/>
              <w:spacing w:before="0" w:after="0"/>
              <w:ind w:left="0" w:right="0" w:hanging="0"/>
              <w:rPr/>
            </w:pPr>
            <w:r>
              <w:rPr/>
              <w:t>​</w:t>
            </w:r>
          </w:p>
        </w:tc>
        <w:tc>
          <w:tcPr>
            <w:tcW w:w="307" w:type="dxa"/>
            <w:tcBorders/>
            <w:shd w:fill="CCEEFF" w:val="clear"/>
            <w:vAlign w:val="center"/>
          </w:tcPr>
          <w:p>
            <w:pPr>
              <w:pStyle w:val="TableContents"/>
              <w:spacing w:before="0" w:after="0"/>
              <w:ind w:left="0" w:right="0" w:hanging="0"/>
              <w:rPr/>
            </w:pPr>
            <w:r>
              <w:rPr/>
              <w:t> </w:t>
            </w:r>
          </w:p>
        </w:tc>
        <w:tc>
          <w:tcPr>
            <w:tcW w:w="1036" w:type="dxa"/>
            <w:gridSpan w:val="2"/>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5,032,891</w:t>
            </w:r>
          </w:p>
        </w:tc>
        <w:tc>
          <w:tcPr>
            <w:tcW w:w="242" w:type="dxa"/>
            <w:gridSpan w:val="2"/>
            <w:tcBorders/>
            <w:shd w:fill="CCEEFF" w:val="clear"/>
            <w:vAlign w:val="center"/>
          </w:tcPr>
          <w:p>
            <w:pPr>
              <w:pStyle w:val="TableContents"/>
              <w:spacing w:before="0" w:after="0"/>
              <w:ind w:left="0" w:right="0" w:hanging="0"/>
              <w:rPr/>
            </w:pPr>
            <w:r>
              <w:rPr/>
              <w:t>​</w:t>
            </w:r>
          </w:p>
        </w:tc>
        <w:tc>
          <w:tcPr>
            <w:tcW w:w="307" w:type="dxa"/>
            <w:tcBorders/>
            <w:shd w:fill="CCEEFF" w:val="clear"/>
            <w:vAlign w:val="center"/>
          </w:tcPr>
          <w:p>
            <w:pPr>
              <w:pStyle w:val="TableContents"/>
              <w:spacing w:before="0" w:after="0"/>
              <w:ind w:left="0" w:right="0" w:hanging="0"/>
              <w:rPr/>
            </w:pPr>
            <w:r>
              <w:rPr/>
              <w:t> </w:t>
            </w:r>
          </w:p>
        </w:tc>
        <w:tc>
          <w:tcPr>
            <w:tcW w:w="1036" w:type="dxa"/>
            <w:gridSpan w:val="2"/>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4,692,760</w:t>
            </w:r>
          </w:p>
        </w:tc>
        <w:tc>
          <w:tcPr>
            <w:tcW w:w="242" w:type="dxa"/>
            <w:gridSpan w:val="2"/>
            <w:tcBorders/>
            <w:shd w:fill="CCEEFF" w:val="clear"/>
            <w:vAlign w:val="center"/>
          </w:tcPr>
          <w:p>
            <w:pPr>
              <w:pStyle w:val="TableContents"/>
              <w:spacing w:before="0" w:after="0"/>
              <w:ind w:left="0" w:right="0" w:hanging="0"/>
              <w:rPr/>
            </w:pPr>
            <w:r>
              <w:rPr/>
              <w:t>​</w:t>
            </w:r>
          </w:p>
        </w:tc>
        <w:tc>
          <w:tcPr>
            <w:tcW w:w="307" w:type="dxa"/>
            <w:tcBorders/>
            <w:shd w:fill="CCEEFF" w:val="clear"/>
            <w:vAlign w:val="center"/>
          </w:tcPr>
          <w:p>
            <w:pPr>
              <w:pStyle w:val="TableContents"/>
              <w:spacing w:before="0" w:after="0"/>
              <w:ind w:left="0" w:right="0" w:hanging="0"/>
              <w:rPr/>
            </w:pPr>
            <w:r>
              <w:rPr/>
              <w:t> </w:t>
            </w:r>
          </w:p>
        </w:tc>
        <w:tc>
          <w:tcPr>
            <w:tcW w:w="1141" w:type="dxa"/>
            <w:gridSpan w:val="2"/>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4,204,171</w:t>
            </w:r>
          </w:p>
        </w:tc>
        <w:tc>
          <w:tcPr>
            <w:tcW w:w="242" w:type="dxa"/>
            <w:gridSpan w:val="2"/>
            <w:tcBorders/>
            <w:shd w:fill="CCEEFF" w:val="clear"/>
            <w:vAlign w:val="center"/>
          </w:tcPr>
          <w:p>
            <w:pPr>
              <w:pStyle w:val="TableContents"/>
              <w:spacing w:before="0" w:after="0"/>
              <w:ind w:left="0" w:right="0" w:hanging="0"/>
              <w:rPr/>
            </w:pPr>
            <w:r>
              <w:rPr/>
              <w:t>​</w:t>
            </w:r>
          </w:p>
        </w:tc>
        <w:tc>
          <w:tcPr>
            <w:tcW w:w="307" w:type="dxa"/>
            <w:tcBorders/>
            <w:shd w:fill="CCEEFF" w:val="clear"/>
            <w:vAlign w:val="center"/>
          </w:tcPr>
          <w:p>
            <w:pPr>
              <w:pStyle w:val="TableContents"/>
              <w:spacing w:before="0" w:after="0"/>
              <w:ind w:left="0" w:right="0" w:hanging="0"/>
              <w:rPr/>
            </w:pPr>
            <w:r>
              <w:rPr/>
              <w:t> </w:t>
            </w:r>
          </w:p>
        </w:tc>
        <w:tc>
          <w:tcPr>
            <w:tcW w:w="931" w:type="dxa"/>
            <w:gridSpan w:val="2"/>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2,923,785</w:t>
            </w:r>
          </w:p>
        </w:tc>
        <w:tc>
          <w:tcPr>
            <w:tcW w:w="330" w:type="dxa"/>
            <w:gridSpan w:val="2"/>
            <w:tcBorders/>
            <w:shd w:fill="CCEEFF" w:val="clear"/>
            <w:vAlign w:val="center"/>
          </w:tcPr>
          <w:p>
            <w:pPr>
              <w:pStyle w:val="TableContents"/>
              <w:spacing w:before="0" w:after="0"/>
              <w:ind w:left="0" w:right="0" w:hanging="0"/>
              <w:rPr/>
            </w:pPr>
            <w:r>
              <w:rPr/>
              <w:t>​</w:t>
            </w:r>
          </w:p>
        </w:tc>
        <w:tc>
          <w:tcPr>
            <w:tcW w:w="646" w:type="dxa"/>
            <w:tcBorders/>
            <w:shd w:fill="CCEEFF" w:val="clear"/>
            <w:vAlign w:val="center"/>
          </w:tcPr>
          <w:p>
            <w:pPr>
              <w:pStyle w:val="TableContents"/>
              <w:spacing w:before="0" w:after="0"/>
              <w:ind w:left="0" w:right="0" w:hanging="0"/>
              <w:rPr/>
            </w:pPr>
            <w:r>
              <w:rPr/>
              <w:t> </w:t>
            </w:r>
          </w:p>
        </w:tc>
        <w:tc>
          <w:tcPr>
            <w:tcW w:w="1141" w:type="dxa"/>
            <w:gridSpan w:val="2"/>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10,868,825</w:t>
            </w:r>
          </w:p>
        </w:tc>
      </w:tr>
      <w:tr>
        <w:trPr/>
        <w:tc>
          <w:tcPr>
            <w:tcW w:w="115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9"/>
              </w:rPr>
              <w:t>Cash for Acquisitions</w:t>
            </w:r>
            <w:r>
              <w:rPr>
                <w:rFonts w:ascii="Times New Roman;Times;serif" w:hAnsi="Times New Roman;Times;serif"/>
                <w:sz w:val="18"/>
              </w:rPr>
              <w:t xml:space="preserve"> </w:t>
            </w:r>
            <w:r>
              <w:rPr>
                <w:rFonts w:ascii="Times New Roman;Times;serif" w:hAnsi="Times New Roman;Times;serif"/>
                <w:sz w:val="20"/>
              </w:rPr>
              <w:t>(</w:t>
            </w:r>
            <w:r>
              <w:rPr>
                <w:rFonts w:ascii="Times New Roman;Times;serif" w:hAnsi="Times New Roman;Times;serif"/>
                <w:i/>
                <w:sz w:val="20"/>
              </w:rPr>
              <w:t>d</w:t>
            </w:r>
            <w:r>
              <w:rPr>
                <w:rFonts w:ascii="Times New Roman;Times;serif" w:hAnsi="Times New Roman;Times;serif"/>
                <w:sz w:val="20"/>
              </w:rPr>
              <w:t>)</w:t>
            </w:r>
          </w:p>
        </w:tc>
        <w:tc>
          <w:tcPr>
            <w:tcW w:w="326" w:type="dxa"/>
            <w:tcBorders/>
            <w:shd w:fill="auto" w:val="clear"/>
            <w:vAlign w:val="center"/>
          </w:tcPr>
          <w:p>
            <w:pPr>
              <w:pStyle w:val="TableContents"/>
              <w:spacing w:before="0" w:after="0"/>
              <w:ind w:left="0" w:right="0" w:hanging="0"/>
              <w:rPr/>
            </w:pPr>
            <w:r>
              <w:rPr/>
              <w:t>​</w:t>
            </w:r>
          </w:p>
        </w:tc>
        <w:tc>
          <w:tcPr>
            <w:tcW w:w="394"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41" w:type="dxa"/>
            <w:gridSpan w:val="2"/>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6,750,000</w:t>
            </w:r>
          </w:p>
        </w:tc>
        <w:tc>
          <w:tcPr>
            <w:tcW w:w="242" w:type="dxa"/>
            <w:gridSpan w:val="2"/>
            <w:tcBorders/>
            <w:shd w:fill="auto" w:val="clear"/>
            <w:vAlign w:val="center"/>
          </w:tcPr>
          <w:p>
            <w:pPr>
              <w:pStyle w:val="TableContents"/>
              <w:spacing w:before="0" w:after="0"/>
              <w:ind w:left="0" w:right="0" w:hanging="0"/>
              <w:rPr/>
            </w:pPr>
            <w:r>
              <w:rPr/>
              <w:t>​</w:t>
            </w:r>
          </w:p>
        </w:tc>
        <w:tc>
          <w:tcPr>
            <w:tcW w:w="307"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36" w:type="dxa"/>
            <w:gridSpan w:val="2"/>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6,750,000</w:t>
            </w:r>
          </w:p>
        </w:tc>
        <w:tc>
          <w:tcPr>
            <w:tcW w:w="242" w:type="dxa"/>
            <w:gridSpan w:val="2"/>
            <w:tcBorders/>
            <w:shd w:fill="auto" w:val="clear"/>
            <w:vAlign w:val="center"/>
          </w:tcPr>
          <w:p>
            <w:pPr>
              <w:pStyle w:val="TableContents"/>
              <w:spacing w:before="0" w:after="0"/>
              <w:ind w:left="0" w:right="0" w:hanging="0"/>
              <w:rPr/>
            </w:pPr>
            <w:r>
              <w:rPr/>
              <w:t>​</w:t>
            </w:r>
          </w:p>
        </w:tc>
        <w:tc>
          <w:tcPr>
            <w:tcW w:w="307"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36" w:type="dxa"/>
            <w:gridSpan w:val="2"/>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242" w:type="dxa"/>
            <w:gridSpan w:val="2"/>
            <w:tcBorders/>
            <w:shd w:fill="auto" w:val="clear"/>
            <w:vAlign w:val="center"/>
          </w:tcPr>
          <w:p>
            <w:pPr>
              <w:pStyle w:val="TableContents"/>
              <w:spacing w:before="0" w:after="0"/>
              <w:ind w:left="0" w:right="0" w:hanging="0"/>
              <w:rPr/>
            </w:pPr>
            <w:r>
              <w:rPr/>
              <w:t>​</w:t>
            </w:r>
          </w:p>
        </w:tc>
        <w:tc>
          <w:tcPr>
            <w:tcW w:w="307"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36" w:type="dxa"/>
            <w:gridSpan w:val="2"/>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242" w:type="dxa"/>
            <w:gridSpan w:val="2"/>
            <w:tcBorders/>
            <w:shd w:fill="auto" w:val="clear"/>
            <w:vAlign w:val="center"/>
          </w:tcPr>
          <w:p>
            <w:pPr>
              <w:pStyle w:val="TableContents"/>
              <w:spacing w:before="0" w:after="0"/>
              <w:ind w:left="0" w:right="0" w:hanging="0"/>
              <w:rPr/>
            </w:pPr>
            <w:r>
              <w:rPr/>
              <w:t>​</w:t>
            </w:r>
          </w:p>
        </w:tc>
        <w:tc>
          <w:tcPr>
            <w:tcW w:w="307"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41" w:type="dxa"/>
            <w:gridSpan w:val="2"/>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242" w:type="dxa"/>
            <w:gridSpan w:val="2"/>
            <w:tcBorders/>
            <w:shd w:fill="auto" w:val="clear"/>
            <w:vAlign w:val="center"/>
          </w:tcPr>
          <w:p>
            <w:pPr>
              <w:pStyle w:val="TableContents"/>
              <w:spacing w:before="0" w:after="0"/>
              <w:ind w:left="0" w:right="0" w:hanging="0"/>
              <w:rPr/>
            </w:pPr>
            <w:r>
              <w:rPr/>
              <w:t>​</w:t>
            </w:r>
          </w:p>
        </w:tc>
        <w:tc>
          <w:tcPr>
            <w:tcW w:w="307"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gridSpan w:val="2"/>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30" w:type="dxa"/>
            <w:gridSpan w:val="2"/>
            <w:tcBorders/>
            <w:shd w:fill="auto" w:val="clear"/>
            <w:vAlign w:val="center"/>
          </w:tcPr>
          <w:p>
            <w:pPr>
              <w:pStyle w:val="TableContents"/>
              <w:spacing w:before="0" w:after="0"/>
              <w:ind w:left="0" w:right="0" w:hanging="0"/>
              <w:rPr/>
            </w:pPr>
            <w:r>
              <w:rPr/>
              <w:t>​</w:t>
            </w:r>
          </w:p>
        </w:tc>
        <w:tc>
          <w:tcPr>
            <w:tcW w:w="64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41" w:type="dxa"/>
            <w:gridSpan w:val="2"/>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11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0"/>
              <w:ind w:left="0" w:right="0" w:hanging="0"/>
              <w:rPr/>
            </w:pPr>
            <w:r>
              <w:rPr/>
              <w:t>​</w:t>
            </w:r>
          </w:p>
        </w:tc>
        <w:tc>
          <w:tcPr>
            <w:tcW w:w="39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gridSpan w:val="2"/>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276,271,597</w:t>
            </w:r>
          </w:p>
        </w:tc>
        <w:tc>
          <w:tcPr>
            <w:tcW w:w="242" w:type="dxa"/>
            <w:gridSpan w:val="2"/>
            <w:tcBorders/>
            <w:shd w:fill="CCEEFF" w:val="clear"/>
            <w:vAlign w:val="center"/>
          </w:tcPr>
          <w:p>
            <w:pPr>
              <w:pStyle w:val="TableContents"/>
              <w:spacing w:before="0" w:after="0"/>
              <w:ind w:left="0" w:right="0" w:hanging="0"/>
              <w:rPr/>
            </w:pPr>
            <w:r>
              <w:rPr/>
              <w:t>​</w:t>
            </w:r>
          </w:p>
        </w:tc>
        <w:tc>
          <w:tcPr>
            <w:tcW w:w="30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gridSpan w:val="2"/>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32,269,070</w:t>
            </w:r>
          </w:p>
        </w:tc>
        <w:tc>
          <w:tcPr>
            <w:tcW w:w="242" w:type="dxa"/>
            <w:gridSpan w:val="2"/>
            <w:tcBorders/>
            <w:shd w:fill="CCEEFF" w:val="clear"/>
            <w:vAlign w:val="center"/>
          </w:tcPr>
          <w:p>
            <w:pPr>
              <w:pStyle w:val="TableContents"/>
              <w:spacing w:before="0" w:after="0"/>
              <w:ind w:left="0" w:right="0" w:hanging="0"/>
              <w:rPr/>
            </w:pPr>
            <w:r>
              <w:rPr/>
              <w:t>​</w:t>
            </w:r>
          </w:p>
        </w:tc>
        <w:tc>
          <w:tcPr>
            <w:tcW w:w="30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gridSpan w:val="2"/>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25,358,133</w:t>
            </w:r>
          </w:p>
        </w:tc>
        <w:tc>
          <w:tcPr>
            <w:tcW w:w="242" w:type="dxa"/>
            <w:gridSpan w:val="2"/>
            <w:tcBorders/>
            <w:shd w:fill="CCEEFF" w:val="clear"/>
            <w:vAlign w:val="center"/>
          </w:tcPr>
          <w:p>
            <w:pPr>
              <w:pStyle w:val="TableContents"/>
              <w:spacing w:before="0" w:after="0"/>
              <w:ind w:left="0" w:right="0" w:hanging="0"/>
              <w:rPr/>
            </w:pPr>
            <w:r>
              <w:rPr/>
              <w:t>​</w:t>
            </w:r>
          </w:p>
        </w:tc>
        <w:tc>
          <w:tcPr>
            <w:tcW w:w="30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gridSpan w:val="2"/>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60,788,262</w:t>
            </w:r>
          </w:p>
        </w:tc>
        <w:tc>
          <w:tcPr>
            <w:tcW w:w="242" w:type="dxa"/>
            <w:gridSpan w:val="2"/>
            <w:tcBorders/>
            <w:shd w:fill="CCEEFF" w:val="clear"/>
            <w:vAlign w:val="center"/>
          </w:tcPr>
          <w:p>
            <w:pPr>
              <w:pStyle w:val="TableContents"/>
              <w:spacing w:before="0" w:after="0"/>
              <w:ind w:left="0" w:right="0" w:hanging="0"/>
              <w:rPr/>
            </w:pPr>
            <w:r>
              <w:rPr/>
              <w:t>​</w:t>
            </w:r>
          </w:p>
        </w:tc>
        <w:tc>
          <w:tcPr>
            <w:tcW w:w="30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gridSpan w:val="2"/>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144,063,522</w:t>
            </w:r>
          </w:p>
        </w:tc>
        <w:tc>
          <w:tcPr>
            <w:tcW w:w="242" w:type="dxa"/>
            <w:gridSpan w:val="2"/>
            <w:tcBorders/>
            <w:shd w:fill="CCEEFF" w:val="clear"/>
            <w:vAlign w:val="center"/>
          </w:tcPr>
          <w:p>
            <w:pPr>
              <w:pStyle w:val="TableContents"/>
              <w:spacing w:before="0" w:after="0"/>
              <w:ind w:left="0" w:right="0" w:hanging="0"/>
              <w:rPr/>
            </w:pPr>
            <w:r>
              <w:rPr/>
              <w:t>​</w:t>
            </w:r>
          </w:p>
        </w:tc>
        <w:tc>
          <w:tcPr>
            <w:tcW w:w="30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gridSpan w:val="2"/>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2,923,785</w:t>
            </w:r>
          </w:p>
        </w:tc>
        <w:tc>
          <w:tcPr>
            <w:tcW w:w="330" w:type="dxa"/>
            <w:gridSpan w:val="2"/>
            <w:tcBorders/>
            <w:shd w:fill="CCEEFF" w:val="clear"/>
            <w:vAlign w:val="center"/>
          </w:tcPr>
          <w:p>
            <w:pPr>
              <w:pStyle w:val="TableContents"/>
              <w:spacing w:before="0" w:after="0"/>
              <w:ind w:left="0" w:right="0" w:hanging="0"/>
              <w:rPr/>
            </w:pPr>
            <w:r>
              <w:rPr/>
              <w:t>​</w:t>
            </w:r>
          </w:p>
        </w:tc>
        <w:tc>
          <w:tcPr>
            <w:tcW w:w="64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gridSpan w:val="2"/>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10,868,825</w:t>
            </w:r>
          </w:p>
        </w:tc>
      </w:tr>
    </w:tbl>
    <w:tbl>
      <w:tblPr>
        <w:tblW w:w="10205" w:type="dxa"/>
        <w:jc w:val="left"/>
        <w:tblInd w:w="0" w:type="dxa"/>
        <w:tblCellMar>
          <w:top w:w="28" w:type="dxa"/>
          <w:left w:w="28" w:type="dxa"/>
          <w:bottom w:w="28" w:type="dxa"/>
          <w:right w:w="28" w:type="dxa"/>
        </w:tblCellMar>
      </w:tblPr>
      <w:tblGrid>
        <w:gridCol w:w="124"/>
        <w:gridCol w:w="311"/>
        <w:gridCol w:w="9770"/>
      </w:tblGrid>
      <w:tr>
        <w:trPr/>
        <w:tc>
          <w:tcPr>
            <w:tcW w:w="124"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i/>
                <w:sz w:val="20"/>
              </w:rPr>
            </w:pPr>
            <w:r>
              <w:rPr>
                <w:rFonts w:ascii="Times New Roman;Times;serif" w:hAnsi="Times New Roman;Times;serif"/>
                <w:i/>
                <w:sz w:val="20"/>
              </w:rPr>
              <w:t>(a)</w:t>
            </w:r>
          </w:p>
        </w:tc>
        <w:tc>
          <w:tcPr>
            <w:tcW w:w="9770"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sz w:val="20"/>
              </w:rPr>
            </w:pPr>
            <w:r>
              <w:rPr>
                <w:rFonts w:ascii="Times New Roman;Times;serif" w:hAnsi="Times New Roman;Times;serif"/>
                <w:b w:val="false"/>
                <w:i/>
                <w:sz w:val="20"/>
              </w:rPr>
              <w:t xml:space="preserve">Excludes $40,993,176 of unamortized debt discount and $6,603,695 of unamortized debt issuance costs. See Note 11 “Debt” to our consolidated financial statements. </w:t>
            </w:r>
          </w:p>
        </w:tc>
      </w:tr>
    </w:tbl>
    <w:tbl>
      <w:tblPr>
        <w:tblW w:w="10205" w:type="dxa"/>
        <w:jc w:val="left"/>
        <w:tblInd w:w="0" w:type="dxa"/>
        <w:tblCellMar>
          <w:top w:w="28" w:type="dxa"/>
          <w:left w:w="28" w:type="dxa"/>
          <w:bottom w:w="28" w:type="dxa"/>
          <w:right w:w="28" w:type="dxa"/>
        </w:tblCellMar>
      </w:tblPr>
      <w:tblGrid>
        <w:gridCol w:w="124"/>
        <w:gridCol w:w="284"/>
        <w:gridCol w:w="9797"/>
      </w:tblGrid>
      <w:tr>
        <w:trPr/>
        <w:tc>
          <w:tcPr>
            <w:tcW w:w="12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i/>
                <w:sz w:val="20"/>
              </w:rPr>
            </w:pPr>
            <w:r>
              <w:rPr>
                <w:rFonts w:ascii="Times New Roman;Times;serif" w:hAnsi="Times New Roman;Times;serif"/>
                <w:i/>
                <w:sz w:val="20"/>
              </w:rPr>
              <w:t>(b)</w:t>
            </w:r>
          </w:p>
        </w:tc>
        <w:tc>
          <w:tcPr>
            <w:tcW w:w="9797"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sz w:val="20"/>
              </w:rPr>
            </w:pPr>
            <w:r>
              <w:rPr>
                <w:rFonts w:ascii="Times New Roman;Times;serif" w:hAnsi="Times New Roman;Times;serif"/>
                <w:b w:val="false"/>
                <w:i/>
                <w:sz w:val="20"/>
              </w:rPr>
              <w:t>Represents the cash interest accruals owed pursuant to the Loan Agreement, the Investor Notes, the Nuevo Note, and the seller notes. The Investor Notes are convertible into Common Stock freely at the option of the holder and subject to certain restrictions at the option of the Company such that conversion events could impact the interest and accrual obligations related to the Investor Notes in future periods. See Note 11 “Debt” to our consolidated financial statements.</w:t>
            </w:r>
          </w:p>
        </w:tc>
      </w:tr>
    </w:tbl>
    <w:tbl>
      <w:tblPr>
        <w:tblW w:w="10205" w:type="dxa"/>
        <w:jc w:val="left"/>
        <w:tblInd w:w="0" w:type="dxa"/>
        <w:tblCellMar>
          <w:top w:w="28" w:type="dxa"/>
          <w:left w:w="28" w:type="dxa"/>
          <w:bottom w:w="28" w:type="dxa"/>
          <w:right w:w="28" w:type="dxa"/>
        </w:tblCellMar>
      </w:tblPr>
      <w:tblGrid>
        <w:gridCol w:w="124"/>
        <w:gridCol w:w="290"/>
        <w:gridCol w:w="9791"/>
      </w:tblGrid>
      <w:tr>
        <w:trPr/>
        <w:tc>
          <w:tcPr>
            <w:tcW w:w="124"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i/>
                <w:sz w:val="20"/>
              </w:rPr>
            </w:pPr>
            <w:r>
              <w:rPr>
                <w:rFonts w:ascii="Times New Roman;Times;serif" w:hAnsi="Times New Roman;Times;serif"/>
                <w:i/>
                <w:sz w:val="20"/>
              </w:rPr>
              <w:t>(c)</w:t>
            </w:r>
          </w:p>
        </w:tc>
        <w:tc>
          <w:tcPr>
            <w:tcW w:w="97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sz w:val="20"/>
              </w:rPr>
            </w:pPr>
            <w:r>
              <w:rPr>
                <w:rFonts w:ascii="Times New Roman;Times;serif" w:hAnsi="Times New Roman;Times;serif"/>
                <w:b w:val="false"/>
                <w:i/>
                <w:sz w:val="20"/>
              </w:rPr>
              <w:t>Reflects our contractual obligations to make future payments under all of the Company’s leases in effect as of December 31, 2022. See Note 12 “Leases” to our consolidated financial statements.</w:t>
            </w:r>
          </w:p>
        </w:tc>
      </w:tr>
    </w:tbl>
    <w:tbl>
      <w:tblPr>
        <w:tblW w:w="10205" w:type="dxa"/>
        <w:jc w:val="left"/>
        <w:tblInd w:w="0" w:type="dxa"/>
        <w:tblCellMar>
          <w:top w:w="28" w:type="dxa"/>
          <w:left w:w="28" w:type="dxa"/>
          <w:bottom w:w="28" w:type="dxa"/>
          <w:right w:w="28" w:type="dxa"/>
        </w:tblCellMar>
      </w:tblPr>
      <w:tblGrid>
        <w:gridCol w:w="124"/>
        <w:gridCol w:w="323"/>
        <w:gridCol w:w="9758"/>
      </w:tblGrid>
      <w:tr>
        <w:trPr/>
        <w:tc>
          <w:tcPr>
            <w:tcW w:w="124"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i/>
                <w:sz w:val="20"/>
              </w:rPr>
            </w:pPr>
            <w:r>
              <w:rPr>
                <w:rFonts w:ascii="Times New Roman;Times;serif" w:hAnsi="Times New Roman;Times;serif"/>
                <w:i/>
                <w:sz w:val="20"/>
              </w:rPr>
              <w:t>(d)</w:t>
            </w:r>
          </w:p>
        </w:tc>
        <w:tc>
          <w:tcPr>
            <w:tcW w:w="9758"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sz w:val="20"/>
              </w:rPr>
            </w:pPr>
            <w:r>
              <w:rPr>
                <w:rFonts w:ascii="Times New Roman;Times;serif" w:hAnsi="Times New Roman;Times;serif"/>
                <w:b w:val="false"/>
                <w:i/>
                <w:sz w:val="20"/>
              </w:rPr>
              <w:t>Represents cash portion of purchase price obligations pursuant to signed purchase agreements for acquisitions not yet consummated.</w:t>
            </w:r>
          </w:p>
        </w:tc>
      </w:tr>
    </w:tbl>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Critical Accounting Estimates and Recent Accounting Pronouncements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discussion and analysis of our financial condition and results of operations are based upon our financial statements, which have been prepared in accordance with GAAP. The preparation of these financial statements requires us to make estimates and judgments that affect the amounts of assets, liabilities, revenues and expenses, and related disclosure of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contingent assets and liabilities. On an on-going basis, we evaluate our estimates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Company believes that of its significant accounting policies (see Note 2 to our consolidated Financial Statements), the ones that may involve a higher degree of uncertainty, judgment and complexity are revenue recognition, stock based compensation, derivative instruments, income taxes, goodwill and commitments and contingencies are the most important to the portrayal of our financial condition and results of operations and that require management’s most difficult, subjective or complex judgments, often as a result of the need to make estimates about the effects of matters that are inherently uncertain.</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Revenue Recognition and Related Allowances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have three main revenue streams: (i) retail sales, (ii) wholesale sales, and (iii) other revenues from revenues from marketing and promotional activities and other miscellaneous sources not otherwise directly related to our retail and wholesale operations.  During 2022, we ceased providing licensing and consulting services, strategically discontinued that portion of our business operations, and are no longer providing these services.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retail and wholesale sales are recorded at the time that control of the products is transferred to customers. In evaluating the timing of the transfer of control of products to customers, we consider several indicators, including significant risks and rewards of products, our right to payment, and the legal title of the products. Based on the assessment of control indicators, our sales are generally recognized when products are delivered to customers.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other revenue, typically from marketing and promotional services, is recognized when our obligations to our client are fulfilled, which is determined when milestones in the contract are achieved.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revenue recognition policy is significant because the amount and timing of revenue is a key component of our results of operations. Certain criteria are required to be met in order to recognize revenue. If these criteria are not met, then the associated revenue is deferred until the criteria are met. A contract liability is recorded when consideration is received in advance of the delivery of goods or services. We identify revenue contracts upon acceptance from the customer when such contract represents a single performance obligation to sell our products.</w:t>
      </w:r>
    </w:p>
    <w:p>
      <w:pPr>
        <w:pStyle w:val="TextBody"/>
        <w:spacing w:before="0" w:after="200"/>
        <w:ind w:left="0" w:right="0" w:hanging="0"/>
        <w:rPr>
          <w:rFonts w:ascii="Times New Roman;Times;serif" w:hAnsi="Times New Roman;Times;serif"/>
          <w:i/>
          <w:sz w:val="20"/>
        </w:rPr>
      </w:pPr>
      <w:r>
        <w:rPr>
          <w:rFonts w:ascii="Times New Roman;Times;serif" w:hAnsi="Times New Roman;Times;serif"/>
          <w:i/>
          <w:sz w:val="20"/>
        </w:rPr>
        <w:t>Stock Based Compensation</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We account for share-based payments pursuant to Accounting Standards Codification (“ASC”) Topic 718, </w:t>
      </w:r>
      <w:r>
        <w:rPr>
          <w:rFonts w:ascii="Times New Roman;Times;serif" w:hAnsi="Times New Roman;Times;serif"/>
          <w:i/>
          <w:sz w:val="20"/>
        </w:rPr>
        <w:t>Stock Compensation</w:t>
      </w:r>
      <w:r>
        <w:rPr>
          <w:rFonts w:ascii="Times New Roman;Times;serif" w:hAnsi="Times New Roman;Times;serif"/>
          <w:sz w:val="20"/>
        </w:rPr>
        <w:t xml:space="preserve"> and, accordingly, we record compensation expense for share-based awards based upon an assessment of the grant date fair value for stock and restricted stock awards using the Black-Scholes option pricing model.</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Our stock compensation expense for stock options is recognized over the vesting period of the award or expensed immediately under ASC 718 when stock or options are awarded for previous or current service without further recourse.</w:t>
      </w:r>
    </w:p>
    <w:p>
      <w:pPr>
        <w:pStyle w:val="TextBody"/>
        <w:spacing w:before="0" w:after="200"/>
        <w:ind w:left="0" w:right="0" w:hanging="0"/>
        <w:rPr>
          <w:rFonts w:ascii="Times New Roman;Times;serif" w:hAnsi="Times New Roman;Times;serif"/>
          <w:i/>
          <w:sz w:val="20"/>
        </w:rPr>
      </w:pPr>
      <w:r>
        <w:rPr>
          <w:rFonts w:ascii="Times New Roman;Times;serif" w:hAnsi="Times New Roman;Times;serif"/>
          <w:i/>
          <w:sz w:val="20"/>
        </w:rPr>
        <w:t>Income Taxes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ASC 740, </w:t>
      </w:r>
      <w:r>
        <w:rPr>
          <w:rFonts w:ascii="Times New Roman;Times;serif" w:hAnsi="Times New Roman;Times;serif"/>
          <w:i/>
          <w:sz w:val="20"/>
        </w:rPr>
        <w:t>Income Taxes</w:t>
      </w:r>
      <w:r>
        <w:rPr>
          <w:rFonts w:ascii="Times New Roman;Times;serif" w:hAnsi="Times New Roman;Times;serif"/>
          <w:sz w:val="20"/>
        </w:rPr>
        <w:t xml:space="preserve"> requires the use of the asset and liability method of accounting for income taxes. Under the asset and liability method of ASC 740, the Company’s deferred tax assets and liabilities are recognized for the future tax consequences attributable to temporary differences between the financial statement carrying amounts of existing assets and liabilities and their respective tax bases. Our deferred tax assets and liabilities are measured using enacted tax rates expected to apply to taxable income in the years in which those temporary differences are expected to be recovered or settled.</w:t>
      </w:r>
    </w:p>
    <w:p>
      <w:pPr>
        <w:pStyle w:val="TextBody"/>
        <w:spacing w:before="0" w:after="200"/>
        <w:ind w:left="0" w:right="0" w:hanging="0"/>
        <w:rPr>
          <w:rFonts w:ascii="Times New Roman;Times;serif" w:hAnsi="Times New Roman;Times;serif"/>
          <w:i/>
          <w:sz w:val="20"/>
        </w:rPr>
      </w:pPr>
      <w:r>
        <w:rPr>
          <w:rFonts w:ascii="Times New Roman;Times;serif" w:hAnsi="Times New Roman;Times;serif"/>
          <w:i/>
          <w:sz w:val="20"/>
        </w:rPr>
        <w:t>Goodwill and Intangible Assets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Goodwill represents the future economic benefit arising from other assets acquired that could not be individually identified and separately recognized. The goodwill arising from our acquisitions is attributable to the value of the potential expanded market opportunity with new customers. Intangible assets have either an identifiable or indefinite useful life. Intangible assets with identifiable useful lives are amortized on a straight-line basis over their economic or legal life, whichever is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shorter. Our amortizable intangible assets consist of licensing agreements, product licenses and registrations, and intellectual property or trade secrets. Their estimated useful lives range from 3 to 15 years.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Goodwill and indefinite-lived assets are not amortized but are subject to annual impairment testing unless circumstances dictate more frequent assessments. We perform an annual impairment assessment for goodwill during the fourth quarter of each year and more frequently whenever events or changes in circumstances indicate that the fair value of the asset may be less than the carrying amount. Goodwill impairment testing is a two-step process performed at the reporting unit level. Step one compares the fair value of the reporting unit to its carrying amount. The fair value of the reporting unit is determined by considering both the income approach and market approaches. The fair values calculated under the income approach and market approaches are weighted based on circumstances surrounding the reporting unit. Under the income approach, we determine fair value based on estimated future cash flows of the reporting unit, which are discounted to the present value using discount factors that consider the timing and risk of cash flows. For the discount rate, we rely on the capital asset pricing model approach, which includes an assessment of the risk-free interest rate, the rate of return from publicly traded stocks, our risk relative to the overall market, our size and industry and other risks specific to us. Other significant assumptions used in the income approach include the terminal value, growth rates, future capital expenditures and changes in future working capital requirements. The market approaches use key multiples from guideline businesses that are comparable and are traded on a public market. If the fair value of the reporting unit is greater than its carrying amount, there is no impairment. If the reporting unit’s carrying amount exceeds its fair value, then the second step must be completed to measure the amount of impairment, if any. Step two calculates the implied fair value of goodwill by deducting the fair value of all tangible and intangible net assets of the reporting unit from the fair value of the reporting unit as calculated in step one. In this step, the fair value of the reporting unit is allocated to all of the reporting unit’s assets and liabilities in a hypothetical purchase price allocation as if the reporting unit had been acquired on that date. If the carrying amount of goodwill exceeds the implied fair value of goodwill, an impairment loss is recognized in an amount equal to the excess.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Determining the fair value of a reporting unit is judgmental in nature and requires the use of significant estimates and assumptions, including revenue growth rates, strategic plans, and future market conditions, among others. There can be no assurance that our estimates and assumptions made for purposes of the goodwill impairment testing will prove to be accurate predictions of the future. Changes in assumptions and estimates could cause us to perform an impairment test prior to scheduled annual impairment tests.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We performed our annual fair value assessment as of December 31, 2022 on our subsidiaries with material goodwill on our respective balance sheets and recognized a goodwill impairment charge of $11,719,306, of which $3,708,226 is presented under loss from disposal of assets in the accompanying consolidated statements of comprehensive income as it is related to ceased operations during 2022. No such impairment existed as of December 31, 2021.</w:t>
      </w:r>
    </w:p>
    <w:p>
      <w:pPr>
        <w:pStyle w:val="TextBody"/>
        <w:spacing w:before="0" w:after="240"/>
        <w:ind w:left="0" w:right="0" w:hanging="0"/>
        <w:rPr>
          <w:rFonts w:ascii="Times New Roman;Times;serif" w:hAnsi="Times New Roman;Times;serif"/>
          <w:b/>
          <w:sz w:val="20"/>
        </w:rPr>
      </w:pPr>
      <w:bookmarkStart w:id="36" w:name="ITEM7AQUANTITATIVEANDQUALITATIVEDISCLOSU"/>
      <w:bookmarkStart w:id="37" w:name="_ed3993b3_17d4_48f6_a596_4467b76e3994"/>
      <w:bookmarkEnd w:id="36"/>
      <w:bookmarkEnd w:id="37"/>
      <w:r>
        <w:rPr>
          <w:rFonts w:ascii="Times New Roman;Times;serif" w:hAnsi="Times New Roman;Times;serif"/>
          <w:b/>
          <w:i w:val="false"/>
          <w:caps w:val="false"/>
          <w:smallCaps w:val="false"/>
          <w:sz w:val="20"/>
        </w:rPr>
        <w:t>ITEM 7A.</w:t>
      </w:r>
      <w:r>
        <w:rPr>
          <w:rFonts w:ascii="Times New Roman;Times;serif" w:hAnsi="Times New Roman;Times;serif"/>
          <w:b/>
          <w:sz w:val="20"/>
        </w:rPr>
        <w:t xml:space="preserve">QUANTITATIVE AND QUALITATIVE DISCLOSURES ABOUT MARKET RISK.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38" w:name="ITEM8FINANCIALSTATEMENTSANDSUPPLEMENTARY"/>
      <w:bookmarkStart w:id="39" w:name="_9cd3dce8_b033_4366_a727_727e05f765f4"/>
      <w:bookmarkEnd w:id="38"/>
      <w:bookmarkEnd w:id="39"/>
      <w:r>
        <w:rPr>
          <w:rFonts w:ascii="Times New Roman;Times;serif" w:hAnsi="Times New Roman;Times;serif"/>
          <w:b/>
          <w:i w:val="false"/>
          <w:caps w:val="false"/>
          <w:smallCaps w:val="false"/>
          <w:sz w:val="20"/>
        </w:rPr>
        <w:t>ITEM 8.</w:t>
      </w:r>
      <w:r>
        <w:rPr>
          <w:rFonts w:ascii="Times New Roman;Times;serif" w:hAnsi="Times New Roman;Times;serif"/>
          <w:b/>
          <w:sz w:val="20"/>
        </w:rPr>
        <w:t>FINANCIAL STATEMENTS AND SUPPLEMENTARY DATA.</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MEDICINE MAN TECHNOLOGIES INC.</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Table of Contents</w:t>
      </w:r>
    </w:p>
    <w:tbl>
      <w:tblPr>
        <w:tblW w:w="10063" w:type="dxa"/>
        <w:jc w:val="left"/>
        <w:tblInd w:w="0" w:type="dxa"/>
        <w:tblCellMar>
          <w:top w:w="0" w:type="dxa"/>
          <w:left w:w="0" w:type="dxa"/>
          <w:bottom w:w="0" w:type="dxa"/>
          <w:right w:w="0" w:type="dxa"/>
        </w:tblCellMar>
      </w:tblPr>
      <w:tblGrid>
        <w:gridCol w:w="9196"/>
        <w:gridCol w:w="326"/>
        <w:gridCol w:w="541"/>
      </w:tblGrid>
      <w:tr>
        <w:trPr/>
        <w:tc>
          <w:tcPr>
            <w:tcW w:w="9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5839460" cy="29210"/>
                      <wp:effectExtent l="0" t="0" r="0" b="0"/>
                      <wp:wrapNone/>
                      <wp:docPr id="50" name="Frame50"/>
                      <a:graphic xmlns:a="http://schemas.openxmlformats.org/drawingml/2006/main">
                        <a:graphicData uri="http://schemas.microsoft.com/office/word/2010/wordprocessingShape">
                          <wps:wsp>
                            <wps:cNvSpPr txBox="1"/>
                            <wps:spPr>
                              <a:xfrm>
                                <a:off x="0" y="0"/>
                                <a:ext cx="58394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29210"/>
                      <wp:effectExtent l="0" t="0" r="0" b="0"/>
                      <wp:wrapNone/>
                      <wp:docPr id="51" name="Frame51"/>
                      <a:graphic xmlns:a="http://schemas.openxmlformats.org/drawingml/2006/main">
                        <a:graphicData uri="http://schemas.microsoft.com/office/word/2010/wordprocessingShape">
                          <wps:wsp>
                            <wps:cNvSpPr txBox="1"/>
                            <wps:spPr>
                              <a:xfrm>
                                <a:off x="0" y="0"/>
                                <a:ext cx="2070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5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343535" cy="29210"/>
                      <wp:effectExtent l="0" t="0" r="0" b="0"/>
                      <wp:wrapNone/>
                      <wp:docPr id="52" name="Frame52"/>
                      <a:graphic xmlns:a="http://schemas.openxmlformats.org/drawingml/2006/main">
                        <a:graphicData uri="http://schemas.microsoft.com/office/word/2010/wordprocessingShape">
                          <wps:wsp>
                            <wps:cNvSpPr txBox="1"/>
                            <wps:spPr>
                              <a:xfrm>
                                <a:off x="0" y="0"/>
                                <a:ext cx="34353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91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5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Page</w:t>
            </w:r>
          </w:p>
        </w:tc>
      </w:tr>
      <w:tr>
        <w:trPr/>
        <w:tc>
          <w:tcPr>
            <w:tcW w:w="9196" w:type="dxa"/>
            <w:tcBorders/>
            <w:shd w:fill="auto" w:val="clear"/>
            <w:vAlign w:val="center"/>
          </w:tcPr>
          <w:p>
            <w:pPr>
              <w:pStyle w:val="TableContents"/>
              <w:spacing w:before="0" w:after="0"/>
              <w:ind w:left="0" w:right="0" w:hanging="0"/>
              <w:rPr/>
            </w:pPr>
            <w:hyperlink w:anchor="ReportofIndependentRegisteredPublicAccou">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(PCAOB ID 5041)</w:t>
            </w:r>
          </w:p>
        </w:tc>
        <w:tc>
          <w:tcPr>
            <w:tcW w:w="326" w:type="dxa"/>
            <w:tcBorders/>
            <w:shd w:fill="auto" w:val="clear"/>
            <w:vAlign w:val="center"/>
          </w:tcPr>
          <w:p>
            <w:pPr>
              <w:pStyle w:val="TableContents"/>
              <w:spacing w:before="0" w:after="0"/>
              <w:ind w:left="0" w:right="0" w:hanging="0"/>
              <w:rPr/>
            </w:pPr>
            <w:r>
              <w:rPr/>
              <w:t>​</w:t>
            </w:r>
          </w:p>
        </w:tc>
        <w:tc>
          <w:tcPr>
            <w:tcW w:w="541"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F-1</w:t>
            </w:r>
          </w:p>
        </w:tc>
      </w:tr>
      <w:tr>
        <w:trPr/>
        <w:tc>
          <w:tcPr>
            <w:tcW w:w="91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center"/>
              <w:rPr/>
            </w:pPr>
            <w:r>
              <w:rPr/>
              <w:t>​</w:t>
            </w:r>
          </w:p>
        </w:tc>
      </w:tr>
      <w:tr>
        <w:trPr/>
        <w:tc>
          <w:tcPr>
            <w:tcW w:w="9196" w:type="dxa"/>
            <w:tcBorders/>
            <w:shd w:fill="auto" w:val="clear"/>
            <w:vAlign w:val="center"/>
          </w:tcPr>
          <w:p>
            <w:pPr>
              <w:pStyle w:val="TableContents"/>
              <w:spacing w:before="0" w:after="0"/>
              <w:ind w:left="0" w:right="0" w:hanging="0"/>
              <w:rPr/>
            </w:pPr>
            <w:hyperlink w:anchor="CONSOLIDATEDBALANCESHEETS_93092">
              <w:r>
                <w:rPr>
                  <w:rStyle w:val="InternetLink"/>
                  <w:rFonts w:ascii="Times New Roman;Times;serif" w:hAnsi="Times New Roman;Times;serif"/>
                  <w:b w:val="false"/>
                  <w:i w:val="false"/>
                  <w:caps w:val="false"/>
                  <w:smallCaps w:val="false"/>
                  <w:sz w:val="20"/>
                </w:rPr>
                <w:t>Consolidated Balance Sheets as of December 31, 2022, and 2021</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F-2</w:t>
            </w:r>
          </w:p>
        </w:tc>
      </w:tr>
      <w:tr>
        <w:trPr/>
        <w:tc>
          <w:tcPr>
            <w:tcW w:w="91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center"/>
              <w:rPr/>
            </w:pPr>
            <w:r>
              <w:rPr/>
              <w:t>​</w:t>
            </w:r>
          </w:p>
        </w:tc>
      </w:tr>
      <w:tr>
        <w:trPr/>
        <w:tc>
          <w:tcPr>
            <w:tcW w:w="9196" w:type="dxa"/>
            <w:tcBorders/>
            <w:shd w:fill="auto" w:val="clear"/>
            <w:vAlign w:val="center"/>
          </w:tcPr>
          <w:p>
            <w:pPr>
              <w:pStyle w:val="TableContents"/>
              <w:spacing w:before="0" w:after="0"/>
              <w:ind w:left="0" w:right="0" w:hanging="0"/>
              <w:rPr/>
            </w:pPr>
            <w:hyperlink w:anchor="CONSOLIDATEDSTATEMENTOFCOMPREHENSIVELOSS">
              <w:r>
                <w:rPr>
                  <w:rStyle w:val="InternetLink"/>
                  <w:rFonts w:ascii="Times New Roman;Times;serif" w:hAnsi="Times New Roman;Times;serif"/>
                  <w:b w:val="false"/>
                  <w:i w:val="false"/>
                  <w:caps w:val="false"/>
                  <w:smallCaps w:val="false"/>
                  <w:sz w:val="20"/>
                </w:rPr>
                <w:t>Consolidated Statement of Comprehensive (Loss) and Income for the Years Ended December 31, 2022 and 2021</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F-3</w:t>
            </w:r>
          </w:p>
        </w:tc>
      </w:tr>
      <w:tr>
        <w:trPr/>
        <w:tc>
          <w:tcPr>
            <w:tcW w:w="91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center"/>
              <w:rPr/>
            </w:pPr>
            <w:r>
              <w:rPr/>
              <w:t>​</w:t>
            </w:r>
          </w:p>
        </w:tc>
      </w:tr>
      <w:tr>
        <w:trPr/>
        <w:tc>
          <w:tcPr>
            <w:tcW w:w="9196" w:type="dxa"/>
            <w:tcBorders/>
            <w:shd w:fill="auto" w:val="clear"/>
            <w:vAlign w:val="center"/>
          </w:tcPr>
          <w:p>
            <w:pPr>
              <w:pStyle w:val="TableContents"/>
              <w:spacing w:before="0" w:after="0"/>
              <w:ind w:left="0" w:right="0" w:hanging="0"/>
              <w:rPr/>
            </w:pPr>
            <w:hyperlink w:anchor="CONSOLIDATEDSTATEMENTOFCHANGESINSTOCKHOL">
              <w:r>
                <w:rPr>
                  <w:rStyle w:val="InternetLink"/>
                  <w:rFonts w:ascii="Times New Roman;Times;serif" w:hAnsi="Times New Roman;Times;serif"/>
                  <w:b w:val="false"/>
                  <w:i w:val="false"/>
                  <w:caps w:val="false"/>
                  <w:smallCaps w:val="false"/>
                  <w:sz w:val="20"/>
                </w:rPr>
                <w:t>Consolidated Statement of Changes in Stockholders’ Equity for the Years Ended December 31, 2022 and 2021</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F-4</w:t>
            </w:r>
          </w:p>
        </w:tc>
      </w:tr>
      <w:tr>
        <w:trPr/>
        <w:tc>
          <w:tcPr>
            <w:tcW w:w="91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center"/>
              <w:rPr/>
            </w:pPr>
            <w:r>
              <w:rPr/>
              <w:t>​</w:t>
            </w:r>
          </w:p>
        </w:tc>
      </w:tr>
      <w:tr>
        <w:trPr/>
        <w:tc>
          <w:tcPr>
            <w:tcW w:w="9196" w:type="dxa"/>
            <w:tcBorders/>
            <w:shd w:fill="auto" w:val="clear"/>
            <w:vAlign w:val="center"/>
          </w:tcPr>
          <w:p>
            <w:pPr>
              <w:pStyle w:val="TableContents"/>
              <w:spacing w:before="0" w:after="0"/>
              <w:ind w:left="0" w:right="0" w:hanging="0"/>
              <w:rPr/>
            </w:pPr>
            <w:hyperlink w:anchor="CONSOLIDATEDSTATEMENTSOFCASHFLOWS_84489">
              <w:r>
                <w:rPr>
                  <w:rStyle w:val="InternetLink"/>
                  <w:rFonts w:ascii="Times New Roman;Times;serif" w:hAnsi="Times New Roman;Times;serif"/>
                  <w:b w:val="false"/>
                  <w:i w:val="false"/>
                  <w:caps w:val="false"/>
                  <w:smallCaps w:val="false"/>
                  <w:sz w:val="20"/>
                </w:rPr>
                <w:t>Consolidated Statements of Cash Flows for the Years Ended December 31, 2022 and 2021</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F-5</w:t>
            </w:r>
          </w:p>
        </w:tc>
      </w:tr>
      <w:tr>
        <w:trPr/>
        <w:tc>
          <w:tcPr>
            <w:tcW w:w="91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center"/>
              <w:rPr/>
            </w:pPr>
            <w:r>
              <w:rPr/>
              <w:t>​</w:t>
            </w:r>
          </w:p>
        </w:tc>
      </w:tr>
      <w:tr>
        <w:trPr/>
        <w:tc>
          <w:tcPr>
            <w:tcW w:w="9196" w:type="dxa"/>
            <w:tcBorders/>
            <w:shd w:fill="auto" w:val="clear"/>
            <w:vAlign w:val="center"/>
          </w:tcPr>
          <w:p>
            <w:pPr>
              <w:pStyle w:val="TableContents"/>
              <w:spacing w:before="0" w:after="0"/>
              <w:ind w:left="0" w:right="0" w:hanging="0"/>
              <w:rPr/>
            </w:pPr>
            <w:hyperlink w:anchor="NOTESTOTHEFINANCIALSTATEMENTS_361288">
              <w:r>
                <w:rPr>
                  <w:rStyle w:val="InternetLink"/>
                  <w:rFonts w:ascii="Times New Roman;Times;serif" w:hAnsi="Times New Roman;Times;serif"/>
                  <w:b w:val="false"/>
                  <w:i w:val="false"/>
                  <w:caps w:val="false"/>
                  <w:smallCaps w:val="false"/>
                  <w:sz w:val="20"/>
                </w:rPr>
                <w:t>Notes to Consolidated Financial Statements</w:t>
              </w:r>
            </w:hyperlink>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F-6</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40" w:name="ReportofIndependentRegisteredPublicAccou"/>
      <w:bookmarkStart w:id="41" w:name="_9ec67a8f_e161_4487_ae9f_3d06383ec60d"/>
      <w:bookmarkEnd w:id="40"/>
      <w:bookmarkEnd w:id="41"/>
      <w:r>
        <w:rPr>
          <w:rFonts w:ascii="Times New Roman;Times;serif" w:hAnsi="Times New Roman;Times;serif"/>
          <w:b/>
          <w:sz w:val="20"/>
        </w:rPr>
        <w:t>REPORT OF INDEPENDENT REGISTERED PUBLIC ACCOUNTING FIRM</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To the Board of Directors and Shareholders of Medicine Man Technologies, Inc.:</w:t>
      </w:r>
    </w:p>
    <w:p>
      <w:pPr>
        <w:pStyle w:val="TextBody"/>
        <w:spacing w:before="0" w:after="0"/>
        <w:ind w:left="0" w:right="0" w:hanging="0"/>
        <w:jc w:val="both"/>
        <w:rPr/>
      </w:pPr>
      <w:r>
        <w:rPr/>
        <w:t> </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Opinion on the Financial Statements</w:t>
      </w:r>
    </w:p>
    <w:p>
      <w:pPr>
        <w:pStyle w:val="TextBody"/>
        <w:spacing w:before="0" w:after="0"/>
        <w:ind w:left="0" w:right="0" w:hanging="0"/>
        <w:jc w:val="both"/>
        <w:rPr/>
      </w:pPr>
      <w:r>
        <w:rPr/>
        <w: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have audited the accompanying consolidated balance sheets of Medicine Man Technologies, Inc. (the “Company”) as of December 31, 2022 and 2021 and the related consolidated statements of operations, shareholders’ equity, and cash flows for the two years in the period ended December 31, 2022, and the related notes and schedules (collectively referred to as the financial statements). In our opinion, the financial statements present fairly, in all material respects, the financial position of the Company as of December 31, 2022 and 2021, and the results of its operations and its cash flows for the two years in the period ended December 31, 2022 and 2021, in conformity with accounting principles generally accepted in the United States of America.</w:t>
      </w:r>
    </w:p>
    <w:p>
      <w:pPr>
        <w:pStyle w:val="TextBody"/>
        <w:spacing w:before="0" w:after="0"/>
        <w:ind w:left="0" w:right="0" w:hanging="0"/>
        <w:jc w:val="both"/>
        <w:rPr/>
      </w:pPr>
      <w:r>
        <w:rPr/>
        <w:t> </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Basis for Opinion</w:t>
      </w:r>
    </w:p>
    <w:p>
      <w:pPr>
        <w:pStyle w:val="TextBody"/>
        <w:spacing w:before="0" w:after="0"/>
        <w:ind w:left="0" w:right="0" w:hanging="0"/>
        <w:jc w:val="both"/>
        <w:rPr/>
      </w:pPr>
      <w:r>
        <w:rPr/>
        <w: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ind w:left="0" w:right="0" w:hanging="0"/>
        <w:jc w:val="both"/>
        <w:rPr/>
      </w:pPr>
      <w:r>
        <w:rPr/>
        <w: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spacing w:before="0" w:after="0"/>
        <w:ind w:left="0" w:right="0" w:hanging="0"/>
        <w:jc w:val="both"/>
        <w:rPr/>
      </w:pPr>
      <w:r>
        <w:rPr/>
        <w: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Critical Audit Matter</w:t>
      </w:r>
    </w:p>
    <w:p>
      <w:pPr>
        <w:pStyle w:val="TextBody"/>
        <w:shd w:fill="FFFFFF" w:val="clear"/>
        <w:spacing w:before="0" w:after="0"/>
        <w:ind w:left="0" w:right="0" w:hanging="0"/>
        <w:jc w:val="both"/>
        <w:rPr/>
      </w:pPr>
      <w:r>
        <w:rPr/>
        <w:t> </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Critical audit matters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t>
      </w:r>
    </w:p>
    <w:p>
      <w:pPr>
        <w:pStyle w:val="TextBody"/>
        <w:shd w:fill="FFFFFF" w:val="clear"/>
        <w:spacing w:before="0" w:after="0"/>
        <w:ind w:left="0" w:right="0" w:hanging="0"/>
        <w:jc w:val="both"/>
        <w:rPr/>
      </w:pPr>
      <w:r>
        <w:rPr/>
        <w:t>​</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We determined that there are no critical audit matters.</w:t>
      </w:r>
    </w:p>
    <w:p>
      <w:pPr>
        <w:pStyle w:val="TextBody"/>
        <w:shd w:fill="FFFFFF" w:val="clear"/>
        <w:spacing w:before="120" w:after="180"/>
        <w:ind w:left="720" w:right="653"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b/>
          <w:sz w:val="20"/>
        </w:rPr>
        <w:t>/S BF Borgers CPA PC</w:t>
      </w:r>
      <w:r>
        <w:rPr>
          <w:rFonts w:ascii="Times New Roman;Times;serif" w:hAnsi="Times New Roman;Times;serif"/>
          <w:sz w:val="20"/>
        </w:rPr>
        <w:t xml:space="preserve"> </w:t>
      </w:r>
      <w:r>
        <w:rPr>
          <w:rFonts w:ascii="Times New Roman;Times;serif" w:hAnsi="Times New Roman;Times;serif"/>
          <w:b/>
          <w:sz w:val="20"/>
        </w:rPr>
        <w:t>(PCAOB ID 5041)</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have served as the Company's auditor since 2016</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Lakewood, CO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March 29, 2023</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42" w:name="_c54a34a5_c76d_4fad_9fdc_8a7b1297d4e5"/>
      <w:bookmarkEnd w:id="42"/>
      <w:r>
        <w:rPr>
          <w:rFonts w:ascii="Times New Roman;Times;serif" w:hAnsi="Times New Roman;Times;serif"/>
          <w:b/>
          <w:sz w:val="20"/>
        </w:rPr>
        <w:t>MEDICINE MAN TECHNOLOGIES, INC.</w:t>
      </w:r>
    </w:p>
    <w:p>
      <w:pPr>
        <w:pStyle w:val="TextBody"/>
        <w:spacing w:before="0" w:after="0"/>
        <w:ind w:left="0" w:right="0" w:hanging="0"/>
        <w:jc w:val="center"/>
        <w:rPr>
          <w:rFonts w:ascii="Times New Roman;Times;serif" w:hAnsi="Times New Roman;Times;serif"/>
          <w:b/>
          <w:sz w:val="20"/>
        </w:rPr>
      </w:pPr>
      <w:bookmarkStart w:id="43" w:name="CONSOLIDATEDBALANCESHEETS_93092"/>
      <w:bookmarkEnd w:id="43"/>
      <w:r>
        <w:rPr>
          <w:rFonts w:ascii="Times New Roman;Times;serif" w:hAnsi="Times New Roman;Times;serif"/>
          <w:b/>
          <w:sz w:val="20"/>
        </w:rPr>
        <w:t>CONSOLIDATED BALANCE SHEETS</w:t>
      </w:r>
    </w:p>
    <w:p>
      <w:pPr>
        <w:pStyle w:val="TextBody"/>
        <w:spacing w:before="0" w:after="0"/>
        <w:ind w:left="0" w:right="0" w:hanging="0"/>
        <w:jc w:val="center"/>
        <w:rPr>
          <w:rFonts w:ascii="Times New Roman;Times;serif" w:hAnsi="Times New Roman;Times;serif"/>
          <w:i/>
          <w:sz w:val="20"/>
        </w:rPr>
      </w:pPr>
      <w:r>
        <w:rPr>
          <w:rFonts w:ascii="Times New Roman;Times;serif" w:hAnsi="Times New Roman;Times;serif"/>
          <w:i/>
          <w:sz w:val="20"/>
        </w:rPr>
        <w:t>Expressed in U.S. Dollars</w:t>
      </w:r>
    </w:p>
    <w:p>
      <w:pPr>
        <w:pStyle w:val="TextBody"/>
        <w:spacing w:before="0" w:after="0"/>
        <w:ind w:left="0" w:right="0" w:hanging="0"/>
        <w:rPr/>
      </w:pPr>
      <w:r>
        <w:rPr/>
        <w:t>​</w:t>
      </w:r>
    </w:p>
    <w:p>
      <w:pPr>
        <w:pStyle w:val="Normal"/>
        <w:spacing w:before="0" w:after="0"/>
        <w:rPr>
          <w:sz w:val="4"/>
          <w:szCs w:val="4"/>
        </w:rPr>
      </w:pPr>
      <w:r>
        <w:rPr>
          <w:sz w:val="4"/>
          <w:szCs w:val="4"/>
        </w:rPr>
      </w:r>
      <w:bookmarkStart w:id="44" w:name="Tc_Sl6MlJfZikaXBb1xDJD4qw_52_5"/>
      <w:bookmarkStart w:id="45" w:name="Tc_oupK2J1olUKRfGvq6CijUw_52_2"/>
      <w:bookmarkStart w:id="46" w:name="Tc_9PF_u6_d3kOnRGbnduImLQ_52_0"/>
      <w:bookmarkStart w:id="47" w:name="Tc_H0Ai29txuUCKiuoZF0fTSg_51_0"/>
      <w:bookmarkStart w:id="48" w:name="Tc_RCvHfrU2hUy-o1_m1qd2Ug_50_0"/>
      <w:bookmarkStart w:id="49" w:name="Tc_7sR6t5ksa0-wqrfAv4U5yQ_49_0"/>
      <w:bookmarkStart w:id="50" w:name="Tc_dsdF08YGMUKS-iSVizKPPw_48_0"/>
      <w:bookmarkStart w:id="51" w:name="Tc_cWZqQpvGVUSPZGJgGIa7MQ_47_0"/>
      <w:bookmarkStart w:id="52" w:name="Tc_DK5slNCeDEGgkUfp6j2XvA_46_0"/>
      <w:bookmarkStart w:id="53" w:name="Tc_5YsCw0g-WUe0ZA_6lmKEkg_45_0"/>
      <w:bookmarkStart w:id="54" w:name="Tc_vCcPG0tN5EScX0B49gq8vQ_43_0"/>
      <w:bookmarkStart w:id="55" w:name="Tc_5FJr5PYyeUG-8X6AZiNZKA_41_0"/>
      <w:bookmarkStart w:id="56" w:name="Tc_Yrhh70VDtk2caf5SsqQ1Jg_40_0"/>
      <w:bookmarkStart w:id="57" w:name="Tc_YZ2Y1ITpUUCGxo8CIGx-bQ_39_6"/>
      <w:bookmarkStart w:id="58" w:name="Tc_I2s_5AmSrUiNsAv6-nczmg_39_0"/>
      <w:bookmarkStart w:id="59" w:name="Tc_3IXICGAFSkOD4qbsk_prgg_38_0"/>
      <w:bookmarkStart w:id="60" w:name="Tc_N1rsN547oEGPfVTl5q5Z4A_37_0"/>
      <w:bookmarkStart w:id="61" w:name="Tc_QQnC6Q7wSU6fkWv9SSYUvA_36_0"/>
      <w:bookmarkStart w:id="62" w:name="Tc_wbH3H3ARbU-2xdLs2UQDlQ_35_0"/>
      <w:bookmarkStart w:id="63" w:name="Tc_1rttOLX3t0GLHtJTFJVmWA_34_0"/>
      <w:bookmarkStart w:id="64" w:name="Tc_bJK-9lEW0E-05H3NeWTITA_33_6"/>
      <w:bookmarkStart w:id="65" w:name="Tc_WAQ_hFa950GTntmMrHi3Jg_33_0"/>
      <w:bookmarkStart w:id="66" w:name="Tc_wU8NmzQyMEKfDKprSmFxTA_32_3"/>
      <w:bookmarkStart w:id="67" w:name="Tc_2YrhKmeSFkWu1Xq8G7EETQ_32_0"/>
      <w:bookmarkStart w:id="68" w:name="Tc_dB78x__Wn0qiNz37INk1Jw_31_0"/>
      <w:bookmarkStart w:id="69" w:name="Tc_R5ROrgQ380OhA67U8QwxTw_30_0"/>
      <w:bookmarkStart w:id="70" w:name="Tc_M1UwoRsy60qGRB6uSh-xbA_29_0"/>
      <w:bookmarkStart w:id="71" w:name="Tc_w04KS1qjY0WlYhC_x8X7tQ_28_5"/>
      <w:bookmarkStart w:id="72" w:name="Tc_D0N2-HR7j0ufxhxdPTY00A_28_2"/>
      <w:bookmarkStart w:id="73" w:name="Tc_aUSxqaFaFkWV4ZsmW84ACg_28_0"/>
      <w:bookmarkStart w:id="74" w:name="Tc_cvQ3yIhkVk6UXALfqTCa_g_27_0"/>
      <w:bookmarkStart w:id="75" w:name="Tc_SeTsi2mMYE-68FIGlG0RuQ_26_0"/>
      <w:bookmarkStart w:id="76" w:name="Tc_RdIpu8vHokif6P2CbLawsA_24_5"/>
      <w:bookmarkStart w:id="77" w:name="Tc_eUUUvO29Vkmeq-BJv7_YAA_24_2"/>
      <w:bookmarkStart w:id="78" w:name="Tc_2WKS3bXkeECnkt_thxZ4Zg_24_0"/>
      <w:bookmarkStart w:id="79" w:name="Tc_-taRZjGaskiAZrfORmEYdw_23_0"/>
      <w:bookmarkStart w:id="80" w:name="Tc_Ssc2yFVv2E2HXSLVa-aiKg_22_0"/>
      <w:bookmarkStart w:id="81" w:name="Tc_jkFGxP4ChEetDAVVucFghw_21_0"/>
      <w:bookmarkStart w:id="82" w:name="Tc_zZrSB4XxaUWdYNf4OrOVeg_20_3"/>
      <w:bookmarkStart w:id="83" w:name="Tc_G9AegmbyGUGNK9JUHkyHUg_20_0"/>
      <w:bookmarkStart w:id="84" w:name="Tc_7ay7EHY-NkupQF2vde35oQ_19_3"/>
      <w:bookmarkStart w:id="85" w:name="Tc_8OEAv0t9TUq6pioVt0FMVg_19_0"/>
      <w:bookmarkStart w:id="86" w:name="Tc_NUumEx3I0k2v1fKnjt3Znw_18_0"/>
      <w:bookmarkStart w:id="87" w:name="Tc_xFKGcgfiDkGl1v_hrhs00A_17_0"/>
      <w:bookmarkStart w:id="88" w:name="Tc_UamiIGOM6E6xsDGEsc89yQ_16_6"/>
      <w:bookmarkStart w:id="89" w:name="Tc_rzzrlLQJ4kmbMwXHzgg6dg_16_0"/>
      <w:bookmarkStart w:id="90" w:name="Tc_S_gWCTQWh0CJ6tKX96XYUw_15_0"/>
      <w:bookmarkStart w:id="91" w:name="Tc_IILw-q2WZU2GXkz0Kvg0DA_14_0"/>
      <w:bookmarkStart w:id="92" w:name="Tc_Eso9sfEzbke2J3UfzIGCrg_13_0"/>
      <w:bookmarkStart w:id="93" w:name="Tc_MGSoEM9lP0qUmjiegcazZw_12_0"/>
      <w:bookmarkStart w:id="94" w:name="Tc_FZOB8LaMhEuxXo_xZUdpTA_11_0"/>
      <w:bookmarkStart w:id="95" w:name="Tc_u7eTf0BTf0SuLKhWRiH3Cw_10_0"/>
      <w:bookmarkStart w:id="96" w:name="Tc_F1Sz_ymG3Ey4mi9bx8MSfw_9_6"/>
      <w:bookmarkStart w:id="97" w:name="Tc_eEc25lHroEKt01oRUDB8kw_9_0"/>
      <w:bookmarkStart w:id="98" w:name="Tc_M82QyTw-bkChF8tGmmxeiw_8_0"/>
      <w:bookmarkStart w:id="99" w:name="Tc_KnRAlsGAy0KHBHgXckopzA_7_0"/>
      <w:bookmarkStart w:id="100" w:name="Tc_IWwkFQTpnUGRpS_XTpmC_g_6_5"/>
      <w:bookmarkStart w:id="101" w:name="Tc_pBgf4lxsPEGA1PWHJdsBGg_6_2"/>
      <w:bookmarkStart w:id="102" w:name="Tc_ZkaXss8L_EuxCJ20ArlKaQ_6_0"/>
      <w:bookmarkStart w:id="103" w:name="Tc_CDUK1DW7fUaCVSGn1u4-xQ_5_0"/>
      <w:bookmarkStart w:id="104" w:name="Tc_0XphYPlDP0-NM76hyWbaYg_4_0"/>
      <w:bookmarkStart w:id="105" w:name="Tc_jxWAzZkTdUKssyAwEGaJeA_3_5"/>
      <w:bookmarkStart w:id="106" w:name="Tc_N_s_HyUqrkmZVSlJbKNi-g_3_2"/>
      <w:bookmarkStart w:id="107" w:name="Tc_UXZV0rDXMkyknlqqhYGtmg_2_5"/>
      <w:bookmarkStart w:id="108" w:name="Tc_UrIbvcrHMEOtck1xRBhcVg_2_2"/>
      <w:bookmarkStart w:id="109" w:name="Tc_Be4JFPOYF0WK48t0-xVpvw_1_5"/>
      <w:bookmarkStart w:id="110" w:name="Tc_wmHasG8GnECsXaCPPLkkVQ_1_2"/>
      <w:bookmarkStart w:id="111" w:name="_f7f7b520_3420_4d5f_9b94_86e01e9d3427"/>
      <w:bookmarkStart w:id="112" w:name="Tc_Sl6MlJfZikaXBb1xDJD4qw_52_5"/>
      <w:bookmarkStart w:id="113" w:name="Tc_oupK2J1olUKRfGvq6CijUw_52_2"/>
      <w:bookmarkStart w:id="114" w:name="Tc_9PF_u6_d3kOnRGbnduImLQ_52_0"/>
      <w:bookmarkStart w:id="115" w:name="Tc_H0Ai29txuUCKiuoZF0fTSg_51_0"/>
      <w:bookmarkStart w:id="116" w:name="Tc_RCvHfrU2hUy-o1_m1qd2Ug_50_0"/>
      <w:bookmarkStart w:id="117" w:name="Tc_7sR6t5ksa0-wqrfAv4U5yQ_49_0"/>
      <w:bookmarkStart w:id="118" w:name="Tc_dsdF08YGMUKS-iSVizKPPw_48_0"/>
      <w:bookmarkStart w:id="119" w:name="Tc_cWZqQpvGVUSPZGJgGIa7MQ_47_0"/>
      <w:bookmarkStart w:id="120" w:name="Tc_DK5slNCeDEGgkUfp6j2XvA_46_0"/>
      <w:bookmarkStart w:id="121" w:name="Tc_5YsCw0g-WUe0ZA_6lmKEkg_45_0"/>
      <w:bookmarkStart w:id="122" w:name="Tc_vCcPG0tN5EScX0B49gq8vQ_43_0"/>
      <w:bookmarkStart w:id="123" w:name="Tc_5FJr5PYyeUG-8X6AZiNZKA_41_0"/>
      <w:bookmarkStart w:id="124" w:name="Tc_Yrhh70VDtk2caf5SsqQ1Jg_40_0"/>
      <w:bookmarkStart w:id="125" w:name="Tc_YZ2Y1ITpUUCGxo8CIGx-bQ_39_6"/>
      <w:bookmarkStart w:id="126" w:name="Tc_I2s_5AmSrUiNsAv6-nczmg_39_0"/>
      <w:bookmarkStart w:id="127" w:name="Tc_3IXICGAFSkOD4qbsk_prgg_38_0"/>
      <w:bookmarkStart w:id="128" w:name="Tc_N1rsN547oEGPfVTl5q5Z4A_37_0"/>
      <w:bookmarkStart w:id="129" w:name="Tc_QQnC6Q7wSU6fkWv9SSYUvA_36_0"/>
      <w:bookmarkStart w:id="130" w:name="Tc_wbH3H3ARbU-2xdLs2UQDlQ_35_0"/>
      <w:bookmarkStart w:id="131" w:name="Tc_1rttOLX3t0GLHtJTFJVmWA_34_0"/>
      <w:bookmarkStart w:id="132" w:name="Tc_bJK-9lEW0E-05H3NeWTITA_33_6"/>
      <w:bookmarkStart w:id="133" w:name="Tc_WAQ_hFa950GTntmMrHi3Jg_33_0"/>
      <w:bookmarkStart w:id="134" w:name="Tc_wU8NmzQyMEKfDKprSmFxTA_32_3"/>
      <w:bookmarkStart w:id="135" w:name="Tc_2YrhKmeSFkWu1Xq8G7EETQ_32_0"/>
      <w:bookmarkStart w:id="136" w:name="Tc_dB78x__Wn0qiNz37INk1Jw_31_0"/>
      <w:bookmarkStart w:id="137" w:name="Tc_R5ROrgQ380OhA67U8QwxTw_30_0"/>
      <w:bookmarkStart w:id="138" w:name="Tc_M1UwoRsy60qGRB6uSh-xbA_29_0"/>
      <w:bookmarkStart w:id="139" w:name="Tc_w04KS1qjY0WlYhC_x8X7tQ_28_5"/>
      <w:bookmarkStart w:id="140" w:name="Tc_D0N2-HR7j0ufxhxdPTY00A_28_2"/>
      <w:bookmarkStart w:id="141" w:name="Tc_aUSxqaFaFkWV4ZsmW84ACg_28_0"/>
      <w:bookmarkStart w:id="142" w:name="Tc_cvQ3yIhkVk6UXALfqTCa_g_27_0"/>
      <w:bookmarkStart w:id="143" w:name="Tc_SeTsi2mMYE-68FIGlG0RuQ_26_0"/>
      <w:bookmarkStart w:id="144" w:name="Tc_RdIpu8vHokif6P2CbLawsA_24_5"/>
      <w:bookmarkStart w:id="145" w:name="Tc_eUUUvO29Vkmeq-BJv7_YAA_24_2"/>
      <w:bookmarkStart w:id="146" w:name="Tc_2WKS3bXkeECnkt_thxZ4Zg_24_0"/>
      <w:bookmarkStart w:id="147" w:name="Tc_-taRZjGaskiAZrfORmEYdw_23_0"/>
      <w:bookmarkStart w:id="148" w:name="Tc_Ssc2yFVv2E2HXSLVa-aiKg_22_0"/>
      <w:bookmarkStart w:id="149" w:name="Tc_jkFGxP4ChEetDAVVucFghw_21_0"/>
      <w:bookmarkStart w:id="150" w:name="Tc_zZrSB4XxaUWdYNf4OrOVeg_20_3"/>
      <w:bookmarkStart w:id="151" w:name="Tc_G9AegmbyGUGNK9JUHkyHUg_20_0"/>
      <w:bookmarkStart w:id="152" w:name="Tc_7ay7EHY-NkupQF2vde35oQ_19_3"/>
      <w:bookmarkStart w:id="153" w:name="Tc_8OEAv0t9TUq6pioVt0FMVg_19_0"/>
      <w:bookmarkStart w:id="154" w:name="Tc_NUumEx3I0k2v1fKnjt3Znw_18_0"/>
      <w:bookmarkStart w:id="155" w:name="Tc_xFKGcgfiDkGl1v_hrhs00A_17_0"/>
      <w:bookmarkStart w:id="156" w:name="Tc_UamiIGOM6E6xsDGEsc89yQ_16_6"/>
      <w:bookmarkStart w:id="157" w:name="Tc_rzzrlLQJ4kmbMwXHzgg6dg_16_0"/>
      <w:bookmarkStart w:id="158" w:name="Tc_S_gWCTQWh0CJ6tKX96XYUw_15_0"/>
      <w:bookmarkStart w:id="159" w:name="Tc_IILw-q2WZU2GXkz0Kvg0DA_14_0"/>
      <w:bookmarkStart w:id="160" w:name="Tc_Eso9sfEzbke2J3UfzIGCrg_13_0"/>
      <w:bookmarkStart w:id="161" w:name="Tc_MGSoEM9lP0qUmjiegcazZw_12_0"/>
      <w:bookmarkStart w:id="162" w:name="Tc_FZOB8LaMhEuxXo_xZUdpTA_11_0"/>
      <w:bookmarkStart w:id="163" w:name="Tc_u7eTf0BTf0SuLKhWRiH3Cw_10_0"/>
      <w:bookmarkStart w:id="164" w:name="Tc_F1Sz_ymG3Ey4mi9bx8MSfw_9_6"/>
      <w:bookmarkStart w:id="165" w:name="Tc_eEc25lHroEKt01oRUDB8kw_9_0"/>
      <w:bookmarkStart w:id="166" w:name="Tc_M82QyTw-bkChF8tGmmxeiw_8_0"/>
      <w:bookmarkStart w:id="167" w:name="Tc_KnRAlsGAy0KHBHgXckopzA_7_0"/>
      <w:bookmarkStart w:id="168" w:name="Tc_IWwkFQTpnUGRpS_XTpmC_g_6_5"/>
      <w:bookmarkStart w:id="169" w:name="Tc_pBgf4lxsPEGA1PWHJdsBGg_6_2"/>
      <w:bookmarkStart w:id="170" w:name="Tc_ZkaXss8L_EuxCJ20ArlKaQ_6_0"/>
      <w:bookmarkStart w:id="171" w:name="Tc_CDUK1DW7fUaCVSGn1u4-xQ_5_0"/>
      <w:bookmarkStart w:id="172" w:name="Tc_0XphYPlDP0-NM76hyWbaYg_4_0"/>
      <w:bookmarkStart w:id="173" w:name="Tc_jxWAzZkTdUKssyAwEGaJeA_3_5"/>
      <w:bookmarkStart w:id="174" w:name="Tc_N_s_HyUqrkmZVSlJbKNi-g_3_2"/>
      <w:bookmarkStart w:id="175" w:name="Tc_UXZV0rDXMkyknlqqhYGtmg_2_5"/>
      <w:bookmarkStart w:id="176" w:name="Tc_UrIbvcrHMEOtck1xRBhcVg_2_2"/>
      <w:bookmarkStart w:id="177" w:name="Tc_Be4JFPOYF0WK48t0-xVpvw_1_5"/>
      <w:bookmarkStart w:id="178" w:name="Tc_wmHasG8GnECsXaCPPLkkVQ_1_2"/>
      <w:bookmarkStart w:id="179" w:name="_f7f7b520_3420_4d5f_9b94_86e01e9d3427"/>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p>
    <w:tbl>
      <w:tblPr>
        <w:tblW w:w="10205" w:type="dxa"/>
        <w:jc w:val="left"/>
        <w:tblInd w:w="0" w:type="dxa"/>
        <w:tblCellMar>
          <w:top w:w="0" w:type="dxa"/>
          <w:left w:w="0" w:type="dxa"/>
          <w:bottom w:w="0" w:type="dxa"/>
          <w:right w:w="0" w:type="dxa"/>
        </w:tblCellMar>
      </w:tblPr>
      <w:tblGrid>
        <w:gridCol w:w="7041"/>
        <w:gridCol w:w="326"/>
        <w:gridCol w:w="196"/>
        <w:gridCol w:w="1016"/>
        <w:gridCol w:w="326"/>
        <w:gridCol w:w="196"/>
        <w:gridCol w:w="1104"/>
      </w:tblGrid>
      <w:tr>
        <w:trPr/>
        <w:tc>
          <w:tcPr>
            <w:tcW w:w="70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4471035" cy="175260"/>
                      <wp:effectExtent l="0" t="0" r="0" b="0"/>
                      <wp:wrapNone/>
                      <wp:docPr id="53" name="Frame53"/>
                      <a:graphic xmlns:a="http://schemas.openxmlformats.org/drawingml/2006/main">
                        <a:graphicData uri="http://schemas.microsoft.com/office/word/2010/wordprocessingShape">
                          <wps:wsp>
                            <wps:cNvSpPr txBox="1"/>
                            <wps:spPr>
                              <a:xfrm>
                                <a:off x="0" y="0"/>
                                <a:ext cx="4471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4" name="Frame5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24460" cy="175260"/>
                      <wp:effectExtent l="0" t="0" r="0" b="0"/>
                      <wp:wrapNone/>
                      <wp:docPr id="55" name="Frame55"/>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5160" cy="175260"/>
                      <wp:effectExtent l="0" t="0" r="0" b="0"/>
                      <wp:wrapNone/>
                      <wp:docPr id="56" name="Frame56"/>
                      <a:graphic xmlns:a="http://schemas.openxmlformats.org/drawingml/2006/main">
                        <a:graphicData uri="http://schemas.microsoft.com/office/word/2010/wordprocessingShape">
                          <wps:wsp>
                            <wps:cNvSpPr txBox="1"/>
                            <wps:spPr>
                              <a:xfrm>
                                <a:off x="0" y="0"/>
                                <a:ext cx="645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7" name="Frame5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24460" cy="175260"/>
                      <wp:effectExtent l="0" t="0" r="0" b="0"/>
                      <wp:wrapNone/>
                      <wp:docPr id="58" name="Frame58"/>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0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701040" cy="175260"/>
                      <wp:effectExtent l="0" t="0" r="0" b="0"/>
                      <wp:wrapNone/>
                      <wp:docPr id="59" name="Frame59"/>
                      <a:graphic xmlns:a="http://schemas.openxmlformats.org/drawingml/2006/main">
                        <a:graphicData uri="http://schemas.microsoft.com/office/word/2010/wordprocessingShape">
                          <wps:wsp>
                            <wps:cNvSpPr txBox="1"/>
                            <wps:spPr>
                              <a:xfrm>
                                <a:off x="0" y="0"/>
                                <a:ext cx="7010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70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1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shd w:fill="auto" w:val="clear"/>
            <w:vAlign w:val="center"/>
          </w:tcPr>
          <w:p>
            <w:pPr>
              <w:pStyle w:val="TableContents"/>
              <w:spacing w:before="0" w:after="0"/>
              <w:ind w:left="0" w:right="0" w:hanging="0"/>
              <w:rPr/>
            </w:pPr>
            <w:r>
              <w:rPr/>
              <w:t>​</w:t>
            </w:r>
          </w:p>
        </w:tc>
        <w:tc>
          <w:tcPr>
            <w:tcW w:w="130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0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1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70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212"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(Audited)</w:t>
            </w:r>
          </w:p>
        </w:tc>
        <w:tc>
          <w:tcPr>
            <w:tcW w:w="326"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(Audited)</w:t>
            </w:r>
          </w:p>
        </w:tc>
      </w:tr>
      <w:tr>
        <w:trPr/>
        <w:tc>
          <w:tcPr>
            <w:tcW w:w="7041"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ASSETS</w:t>
            </w:r>
          </w:p>
        </w:tc>
        <w:tc>
          <w:tcPr>
            <w:tcW w:w="32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pPr>
            <w:r>
              <w:rPr/>
              <w:t>​</w:t>
            </w:r>
          </w:p>
        </w:tc>
        <w:tc>
          <w:tcPr>
            <w:tcW w:w="101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pPr>
            <w:r>
              <w:rPr/>
              <w:t>​</w:t>
            </w:r>
          </w:p>
        </w:tc>
        <w:tc>
          <w:tcPr>
            <w:tcW w:w="1104" w:type="dxa"/>
            <w:tcBorders/>
            <w:shd w:fill="CCEEFF" w:val="clear"/>
            <w:vAlign w:val="center"/>
          </w:tcPr>
          <w:p>
            <w:pPr>
              <w:pStyle w:val="TableContents"/>
              <w:spacing w:before="0" w:after="0"/>
              <w:ind w:left="0" w:right="0" w:hanging="0"/>
              <w:jc w:val="right"/>
              <w:rPr/>
            </w:pPr>
            <w:r>
              <w:rPr/>
              <w:t>  </w:t>
            </w:r>
          </w:p>
        </w:tc>
      </w:tr>
      <w:tr>
        <w:trPr/>
        <w:tc>
          <w:tcPr>
            <w:tcW w:w="704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Current assets</w:t>
            </w:r>
          </w:p>
        </w:tc>
        <w:tc>
          <w:tcPr>
            <w:tcW w:w="326" w:type="dxa"/>
            <w:tcBorders/>
            <w:shd w:fill="auto" w:val="clear"/>
            <w:vAlign w:val="center"/>
          </w:tcPr>
          <w:p>
            <w:pPr>
              <w:pStyle w:val="TableContents"/>
              <w:spacing w:before="0" w:after="0"/>
              <w:ind w:left="0" w:right="0" w:hanging="0"/>
              <w:rPr/>
            </w:pPr>
            <w:r>
              <w:rPr/>
              <w:t> </w:t>
            </w:r>
          </w:p>
        </w:tc>
        <w:tc>
          <w:tcPr>
            <w:tcW w:w="196" w:type="dxa"/>
            <w:tcBorders/>
            <w:shd w:fill="auto" w:val="clear"/>
            <w:vAlign w:val="center"/>
          </w:tcPr>
          <w:p>
            <w:pPr>
              <w:pStyle w:val="TableContents"/>
              <w:spacing w:before="0" w:after="0"/>
              <w:ind w:left="0" w:right="0" w:hanging="0"/>
              <w:rPr/>
            </w:pPr>
            <w:r>
              <w:rPr/>
              <w:t>​</w:t>
            </w:r>
          </w:p>
        </w:tc>
        <w:tc>
          <w:tcPr>
            <w:tcW w:w="101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196" w:type="dxa"/>
            <w:tcBorders/>
            <w:shd w:fill="auto" w:val="clear"/>
            <w:vAlign w:val="center"/>
          </w:tcPr>
          <w:p>
            <w:pPr>
              <w:pStyle w:val="TableContents"/>
              <w:spacing w:before="0" w:after="0"/>
              <w:ind w:left="0" w:right="0" w:hanging="0"/>
              <w:rPr/>
            </w:pPr>
            <w:r>
              <w:rPr/>
              <w:t>​</w:t>
            </w:r>
          </w:p>
        </w:tc>
        <w:tc>
          <w:tcPr>
            <w:tcW w:w="1104" w:type="dxa"/>
            <w:tcBorders/>
            <w:shd w:fill="auto" w:val="clear"/>
            <w:vAlign w:val="center"/>
          </w:tcPr>
          <w:p>
            <w:pPr>
              <w:pStyle w:val="TableContents"/>
              <w:spacing w:before="0" w:after="0"/>
              <w:ind w:left="0" w:right="0" w:hanging="0"/>
              <w:jc w:val="right"/>
              <w:rPr/>
            </w:pPr>
            <w:r>
              <w:rPr/>
              <w:t>  </w:t>
            </w:r>
          </w:p>
        </w:tc>
      </w:tr>
      <w:tr>
        <w:trPr/>
        <w:tc>
          <w:tcPr>
            <w:tcW w:w="704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Cash and cash equivalents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10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38,949,253</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110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106,400,216</w:t>
            </w:r>
          </w:p>
        </w:tc>
      </w:tr>
      <w:tr>
        <w:trPr/>
        <w:tc>
          <w:tcPr>
            <w:tcW w:w="704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Accounts receivable, net of allowance for doubtful accounts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10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4,471,978</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110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3,866,828</w:t>
            </w:r>
          </w:p>
        </w:tc>
      </w:tr>
      <w:tr>
        <w:trPr/>
        <w:tc>
          <w:tcPr>
            <w:tcW w:w="704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Inventory</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10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22,554,182</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110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11,121,997</w:t>
            </w:r>
          </w:p>
        </w:tc>
      </w:tr>
      <w:tr>
        <w:trPr/>
        <w:tc>
          <w:tcPr>
            <w:tcW w:w="704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Note receivable - current, net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10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11,944</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1104" w:type="dxa"/>
            <w:tcBorders/>
            <w:shd w:fill="auto" w:val="clear"/>
            <w:vAlign w:val="center"/>
          </w:tcPr>
          <w:p>
            <w:pPr>
              <w:pStyle w:val="TableContents"/>
              <w:spacing w:before="0" w:after="0"/>
              <w:ind w:left="0" w:right="0" w:hanging="0"/>
              <w:jc w:val="right"/>
              <w:rPr/>
            </w:pPr>
            <w:r>
              <w:rPr/>
              <w:t>—</w:t>
            </w:r>
          </w:p>
        </w:tc>
      </w:tr>
      <w:tr>
        <w:trPr/>
        <w:tc>
          <w:tcPr>
            <w:tcW w:w="704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Note receivable - related party</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1016" w:type="dxa"/>
            <w:tcBorders/>
            <w:shd w:fill="CCEEFF" w:val="clear"/>
            <w:vAlign w:val="center"/>
          </w:tcPr>
          <w:p>
            <w:pPr>
              <w:pStyle w:val="TableContents"/>
              <w:spacing w:before="0" w:after="0"/>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1104" w:type="dxa"/>
            <w:tcBorders/>
            <w:shd w:fill="CCEEFF" w:val="clear"/>
            <w:vAlign w:val="center"/>
          </w:tcPr>
          <w:p>
            <w:pPr>
              <w:pStyle w:val="TableContents"/>
              <w:spacing w:before="0" w:after="0"/>
              <w:ind w:left="0" w:right="0" w:hanging="0"/>
              <w:jc w:val="right"/>
              <w:rPr>
                <w:caps w:val="false"/>
                <w:smallCaps w:val="false"/>
              </w:rPr>
            </w:pPr>
            <w:r>
              <w:rPr>
                <w:caps w:val="false"/>
                <w:smallCaps w:val="false"/>
              </w:rPr>
              <w:t>—</w:t>
            </w:r>
          </w:p>
        </w:tc>
      </w:tr>
      <w:tr>
        <w:trPr/>
        <w:tc>
          <w:tcPr>
            <w:tcW w:w="704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Marketable securities, net of unrealized loss of $39,270 and gain of $216,771, respectively</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10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454,283</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110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493,553</w:t>
            </w:r>
          </w:p>
        </w:tc>
      </w:tr>
      <w:tr>
        <w:trPr/>
        <w:tc>
          <w:tcPr>
            <w:tcW w:w="704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Prepaid expenses and other current assets</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5,293,393</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0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2,523,214</w:t>
            </w:r>
          </w:p>
        </w:tc>
      </w:tr>
      <w:tr>
        <w:trPr/>
        <w:tc>
          <w:tcPr>
            <w:tcW w:w="704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current assets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10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71,735,033</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110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124,405,808</w:t>
            </w:r>
          </w:p>
        </w:tc>
      </w:tr>
      <w:tr>
        <w:trPr/>
        <w:tc>
          <w:tcPr>
            <w:tcW w:w="704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Non-current assets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101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1104" w:type="dxa"/>
            <w:tcBorders/>
            <w:shd w:fill="CCEEFF" w:val="clear"/>
            <w:vAlign w:val="center"/>
          </w:tcPr>
          <w:p>
            <w:pPr>
              <w:pStyle w:val="TableContents"/>
              <w:spacing w:before="0" w:after="0"/>
              <w:ind w:left="0" w:right="0" w:hanging="0"/>
              <w:jc w:val="right"/>
              <w:rPr/>
            </w:pPr>
            <w:r>
              <w:rPr/>
              <w:t>  </w:t>
            </w:r>
          </w:p>
        </w:tc>
      </w:tr>
      <w:tr>
        <w:trPr/>
        <w:tc>
          <w:tcPr>
            <w:tcW w:w="704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Fixed assets, net accumulated depreciation of $4,899,977 and $1,988,973, respectively</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10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27,089,026</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110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10,253,226</w:t>
            </w:r>
          </w:p>
        </w:tc>
      </w:tr>
      <w:tr>
        <w:trPr/>
        <w:tc>
          <w:tcPr>
            <w:tcW w:w="704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Investments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10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2,000,000</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1104" w:type="dxa"/>
            <w:tcBorders/>
            <w:shd w:fill="CCEEFF" w:val="clear"/>
            <w:vAlign w:val="center"/>
          </w:tcPr>
          <w:p>
            <w:pPr>
              <w:pStyle w:val="TableContents"/>
              <w:spacing w:before="0" w:after="0"/>
              <w:ind w:left="0" w:right="0" w:hanging="0"/>
              <w:jc w:val="right"/>
              <w:rPr/>
            </w:pPr>
            <w:r>
              <w:rPr/>
              <w:t>—</w:t>
            </w:r>
          </w:p>
        </w:tc>
      </w:tr>
      <w:tr>
        <w:trPr/>
        <w:tc>
          <w:tcPr>
            <w:tcW w:w="704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Goodwill</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10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94,605,301</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110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43,316,267</w:t>
            </w:r>
          </w:p>
        </w:tc>
      </w:tr>
      <w:tr>
        <w:trPr/>
        <w:tc>
          <w:tcPr>
            <w:tcW w:w="704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Intangible assets, net accumulated amortization of $16,290,862 and $7,652,750, respectively</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10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107,726,718</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110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97,582,330</w:t>
            </w:r>
          </w:p>
        </w:tc>
      </w:tr>
      <w:tr>
        <w:trPr/>
        <w:tc>
          <w:tcPr>
            <w:tcW w:w="704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Note receivable – noncurrent, net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10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110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143,333</w:t>
            </w:r>
          </w:p>
        </w:tc>
      </w:tr>
      <w:tr>
        <w:trPr/>
        <w:tc>
          <w:tcPr>
            <w:tcW w:w="704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Accounts receivable – litigation</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10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110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303,086</w:t>
            </w:r>
          </w:p>
        </w:tc>
      </w:tr>
      <w:tr>
        <w:trPr/>
        <w:tc>
          <w:tcPr>
            <w:tcW w:w="704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Other noncurrent assets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10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1,527,256</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110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514,962</w:t>
            </w:r>
          </w:p>
        </w:tc>
      </w:tr>
      <w:tr>
        <w:trPr/>
        <w:tc>
          <w:tcPr>
            <w:tcW w:w="704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Operating lease right of use assets</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18,199,399</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0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8,511,780</w:t>
            </w:r>
          </w:p>
        </w:tc>
      </w:tr>
      <w:tr>
        <w:trPr/>
        <w:tc>
          <w:tcPr>
            <w:tcW w:w="704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non-current assets</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1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251,147,700</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0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160,624,984</w:t>
            </w:r>
          </w:p>
        </w:tc>
      </w:tr>
      <w:tr>
        <w:trPr/>
        <w:tc>
          <w:tcPr>
            <w:tcW w:w="704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assets</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101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322,882,733</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110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285,030,792</w:t>
            </w:r>
          </w:p>
        </w:tc>
      </w:tr>
      <w:tr>
        <w:trPr/>
        <w:tc>
          <w:tcPr>
            <w:tcW w:w="70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10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1104" w:type="dxa"/>
            <w:tcBorders/>
            <w:shd w:fill="auto" w:val="clear"/>
            <w:vAlign w:val="center"/>
          </w:tcPr>
          <w:p>
            <w:pPr>
              <w:pStyle w:val="TableContents"/>
              <w:spacing w:before="0" w:after="0"/>
              <w:ind w:left="0" w:right="0" w:hanging="0"/>
              <w:rPr/>
            </w:pPr>
            <w:r>
              <w:rPr/>
              <w:t>​</w:t>
            </w:r>
          </w:p>
        </w:tc>
      </w:tr>
      <w:tr>
        <w:trPr/>
        <w:tc>
          <w:tcPr>
            <w:tcW w:w="7041"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LIABILITIES AND STOCKHOLDERS' EQUITY</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101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1104" w:type="dxa"/>
            <w:tcBorders/>
            <w:shd w:fill="CCEEFF" w:val="clear"/>
            <w:vAlign w:val="center"/>
          </w:tcPr>
          <w:p>
            <w:pPr>
              <w:pStyle w:val="TableContents"/>
              <w:spacing w:before="0" w:after="0"/>
              <w:ind w:left="0" w:right="0" w:hanging="0"/>
              <w:jc w:val="right"/>
              <w:rPr/>
            </w:pPr>
            <w:r>
              <w:rPr/>
              <w:t>  </w:t>
            </w:r>
          </w:p>
        </w:tc>
      </w:tr>
      <w:tr>
        <w:trPr/>
        <w:tc>
          <w:tcPr>
            <w:tcW w:w="704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Current liabilities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101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1104" w:type="dxa"/>
            <w:tcBorders/>
            <w:shd w:fill="auto" w:val="clear"/>
            <w:vAlign w:val="center"/>
          </w:tcPr>
          <w:p>
            <w:pPr>
              <w:pStyle w:val="TableContents"/>
              <w:spacing w:before="0" w:after="0"/>
              <w:ind w:left="0" w:right="0" w:hanging="0"/>
              <w:jc w:val="right"/>
              <w:rPr/>
            </w:pPr>
            <w:r>
              <w:rPr/>
              <w:t>  </w:t>
            </w:r>
          </w:p>
        </w:tc>
      </w:tr>
      <w:tr>
        <w:trPr/>
        <w:tc>
          <w:tcPr>
            <w:tcW w:w="704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Accounts payable</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10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7,848,613</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110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2,548,885</w:t>
            </w:r>
          </w:p>
        </w:tc>
      </w:tr>
      <w:tr>
        <w:trPr/>
        <w:tc>
          <w:tcPr>
            <w:tcW w:w="704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Accounts payable - related party</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10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22,380</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110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36,820</w:t>
            </w:r>
          </w:p>
        </w:tc>
      </w:tr>
      <w:tr>
        <w:trPr/>
        <w:tc>
          <w:tcPr>
            <w:tcW w:w="704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Accrued expenses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10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10,314,958</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110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5,592,222</w:t>
            </w:r>
          </w:p>
        </w:tc>
      </w:tr>
      <w:tr>
        <w:trPr/>
        <w:tc>
          <w:tcPr>
            <w:tcW w:w="704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Derivative liabilities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10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16,508,253</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110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34,923,013</w:t>
            </w:r>
          </w:p>
        </w:tc>
      </w:tr>
      <w:tr>
        <w:trPr/>
        <w:tc>
          <w:tcPr>
            <w:tcW w:w="704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Notes payable - related party</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10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110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134,498</w:t>
            </w:r>
          </w:p>
        </w:tc>
      </w:tr>
      <w:tr>
        <w:trPr/>
        <w:tc>
          <w:tcPr>
            <w:tcW w:w="704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Lease liabilities - current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10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3,139,289</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1104" w:type="dxa"/>
            <w:tcBorders/>
            <w:shd w:fill="auto" w:val="clear"/>
            <w:vAlign w:val="center"/>
          </w:tcPr>
          <w:p>
            <w:pPr>
              <w:pStyle w:val="TableContents"/>
              <w:spacing w:before="0" w:after="0"/>
              <w:ind w:left="0" w:right="0" w:hanging="0"/>
              <w:jc w:val="right"/>
              <w:rPr/>
            </w:pPr>
            <w:r>
              <w:rPr/>
              <w:t>—</w:t>
            </w:r>
          </w:p>
        </w:tc>
      </w:tr>
      <w:tr>
        <w:trPr/>
        <w:tc>
          <w:tcPr>
            <w:tcW w:w="704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Current portion of long term debt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10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2,250,000</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1104" w:type="dxa"/>
            <w:tcBorders/>
            <w:shd w:fill="CCEEFF" w:val="clear"/>
            <w:vAlign w:val="center"/>
          </w:tcPr>
          <w:p>
            <w:pPr>
              <w:pStyle w:val="TableContents"/>
              <w:spacing w:before="0" w:after="0"/>
              <w:ind w:left="0" w:right="0" w:hanging="0"/>
              <w:jc w:val="right"/>
              <w:rPr>
                <w:caps w:val="false"/>
                <w:smallCaps w:val="false"/>
              </w:rPr>
            </w:pPr>
            <w:r>
              <w:rPr>
                <w:caps w:val="false"/>
                <w:smallCaps w:val="false"/>
              </w:rPr>
              <w:t>—</w:t>
            </w:r>
          </w:p>
        </w:tc>
      </w:tr>
      <w:tr>
        <w:trPr/>
        <w:tc>
          <w:tcPr>
            <w:tcW w:w="704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Income taxes payable</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1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7,297,815</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0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2,027,741</w:t>
            </w:r>
          </w:p>
        </w:tc>
      </w:tr>
      <w:tr>
        <w:trPr/>
        <w:tc>
          <w:tcPr>
            <w:tcW w:w="704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current liabilities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10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47,381,308</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110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45,263,179</w:t>
            </w:r>
          </w:p>
        </w:tc>
      </w:tr>
      <w:tr>
        <w:trPr/>
        <w:tc>
          <w:tcPr>
            <w:tcW w:w="704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Long term debt, net of debt discount and issuance costs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10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125,521,520</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110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97,482,468</w:t>
            </w:r>
          </w:p>
        </w:tc>
      </w:tr>
      <w:tr>
        <w:trPr/>
        <w:tc>
          <w:tcPr>
            <w:tcW w:w="704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Lease liabilities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10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17,314,464</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110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8,715,480</w:t>
            </w:r>
          </w:p>
        </w:tc>
      </w:tr>
      <w:tr>
        <w:trPr/>
        <w:tc>
          <w:tcPr>
            <w:tcW w:w="704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Deferred income taxes, net</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1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502,070</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0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704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long-term liabilities</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143,338,054</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0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106,197,948</w:t>
            </w:r>
          </w:p>
        </w:tc>
      </w:tr>
      <w:tr>
        <w:trPr/>
        <w:tc>
          <w:tcPr>
            <w:tcW w:w="704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liabilities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10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190,719,362</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110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151,461,127</w:t>
            </w:r>
          </w:p>
        </w:tc>
      </w:tr>
      <w:tr>
        <w:trPr/>
        <w:tc>
          <w:tcPr>
            <w:tcW w:w="704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101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1104" w:type="dxa"/>
            <w:tcBorders/>
            <w:shd w:fill="CCEEFF" w:val="clear"/>
            <w:vAlign w:val="center"/>
          </w:tcPr>
          <w:p>
            <w:pPr>
              <w:pStyle w:val="TableContents"/>
              <w:spacing w:before="0" w:after="0"/>
              <w:ind w:left="0" w:right="0" w:hanging="0"/>
              <w:rPr/>
            </w:pPr>
            <w:r>
              <w:rPr/>
              <w:t>​</w:t>
            </w:r>
          </w:p>
        </w:tc>
      </w:tr>
      <w:tr>
        <w:trPr/>
        <w:tc>
          <w:tcPr>
            <w:tcW w:w="704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Commitments and contingencies (Note 17)</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1016" w:type="dxa"/>
            <w:tcBorders/>
            <w:shd w:fill="auto" w:val="clear"/>
            <w:vAlign w:val="center"/>
          </w:tcPr>
          <w:p>
            <w:pPr>
              <w:pStyle w:val="TableContents"/>
              <w:spacing w:before="0" w:after="0"/>
              <w:ind w:left="0" w:right="0" w:hanging="0"/>
              <w:jc w:val="right"/>
              <w:rPr>
                <w:caps w:val="false"/>
                <w:smallCaps w:val="false"/>
              </w:rPr>
            </w:pPr>
            <w:r>
              <w:rPr>
                <w:caps w:val="false"/>
                <w:smallCaps w:val="false"/>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1104" w:type="dxa"/>
            <w:tcBorders/>
            <w:shd w:fill="auto" w:val="clear"/>
            <w:vAlign w:val="center"/>
          </w:tcPr>
          <w:p>
            <w:pPr>
              <w:pStyle w:val="TableContents"/>
              <w:spacing w:before="0" w:after="0"/>
              <w:ind w:left="0" w:right="0" w:hanging="0"/>
              <w:jc w:val="right"/>
              <w:rPr>
                <w:caps w:val="false"/>
                <w:smallCaps w:val="false"/>
              </w:rPr>
            </w:pPr>
            <w:r>
              <w:rPr>
                <w:caps w:val="false"/>
                <w:smallCaps w:val="false"/>
              </w:rPr>
              <w:t>—</w:t>
            </w:r>
          </w:p>
        </w:tc>
      </w:tr>
      <w:tr>
        <w:trPr/>
        <w:tc>
          <w:tcPr>
            <w:tcW w:w="704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101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1104" w:type="dxa"/>
            <w:tcBorders/>
            <w:shd w:fill="CCEEFF" w:val="clear"/>
            <w:vAlign w:val="center"/>
          </w:tcPr>
          <w:p>
            <w:pPr>
              <w:pStyle w:val="TableContents"/>
              <w:spacing w:before="0" w:after="0"/>
              <w:ind w:left="0" w:right="0" w:hanging="0"/>
              <w:rPr/>
            </w:pPr>
            <w:r>
              <w:rPr/>
              <w:t>​</w:t>
            </w:r>
          </w:p>
        </w:tc>
      </w:tr>
      <w:tr>
        <w:trPr/>
        <w:tc>
          <w:tcPr>
            <w:tcW w:w="704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Stockholders' equity</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101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1104" w:type="dxa"/>
            <w:tcBorders/>
            <w:shd w:fill="auto" w:val="clear"/>
            <w:vAlign w:val="center"/>
          </w:tcPr>
          <w:p>
            <w:pPr>
              <w:pStyle w:val="TableContents"/>
              <w:spacing w:before="0" w:after="0"/>
              <w:ind w:left="0" w:right="0" w:hanging="0"/>
              <w:jc w:val="right"/>
              <w:rPr/>
            </w:pPr>
            <w:r>
              <w:rPr/>
              <w:t>  </w:t>
            </w:r>
          </w:p>
        </w:tc>
      </w:tr>
      <w:tr>
        <w:trPr/>
        <w:tc>
          <w:tcPr>
            <w:tcW w:w="704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Preferred stock, $0.001 par value. 10,000,000 shares authorized; 86,994 shares issued as of December 31, 2022 and 86,994 shares issued as of December 31, 2021, 86,050 outstanding at December 31, 2022 and 82,594 outstanding at December 31, 2021.</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10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87</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110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87</w:t>
            </w:r>
          </w:p>
        </w:tc>
      </w:tr>
      <w:tr>
        <w:trPr/>
        <w:tc>
          <w:tcPr>
            <w:tcW w:w="704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Common stock, $0.001 par value. 250,000,000 shares authorized; 56,352,545 shares issued and 55,212,547 shares outstanding at December 31, 2022 and 45,484,314 shares issued and 44,745,870 shares outstanding as of December 31, 2021.</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10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56,353</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110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45,485</w:t>
            </w:r>
          </w:p>
        </w:tc>
      </w:tr>
      <w:tr>
        <w:trPr/>
        <w:tc>
          <w:tcPr>
            <w:tcW w:w="704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Additional paid-in capital</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10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180,381,641</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110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162,815,097</w:t>
            </w:r>
          </w:p>
        </w:tc>
      </w:tr>
      <w:tr>
        <w:trPr/>
        <w:tc>
          <w:tcPr>
            <w:tcW w:w="704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Accumulated deficit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10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(46,241,583)</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110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(27,773,968)</w:t>
            </w:r>
          </w:p>
        </w:tc>
      </w:tr>
      <w:tr>
        <w:trPr/>
        <w:tc>
          <w:tcPr>
            <w:tcW w:w="704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Common stock held in treasury, at cost, 920,150 shares held as of December 31, 2022 and 517,044 shares held as of December 31, 2021</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1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(2,033,127)</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0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(1,517,036)</w:t>
            </w:r>
          </w:p>
        </w:tc>
      </w:tr>
      <w:tr>
        <w:trPr/>
        <w:tc>
          <w:tcPr>
            <w:tcW w:w="704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stockholders' equity</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1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132,163,371</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0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133,569,665</w:t>
            </w:r>
          </w:p>
        </w:tc>
      </w:tr>
      <w:tr>
        <w:trPr/>
        <w:tc>
          <w:tcPr>
            <w:tcW w:w="704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Total liabilities and stockholders' equity</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w:t>
            </w:r>
          </w:p>
        </w:tc>
        <w:tc>
          <w:tcPr>
            <w:tcW w:w="101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16"/>
              </w:rPr>
            </w:pPr>
            <w:r>
              <w:rPr>
                <w:rFonts w:ascii="Times New Roman;Times;serif" w:hAnsi="Times New Roman;Times;serif"/>
                <w:b/>
                <w:sz w:val="16"/>
              </w:rPr>
              <w:t>322,882,733</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w:t>
            </w:r>
          </w:p>
        </w:tc>
        <w:tc>
          <w:tcPr>
            <w:tcW w:w="1104" w:type="dxa"/>
            <w:tcBorders>
              <w:bottom w:val="double" w:sz="6" w:space="0" w:color="000000"/>
            </w:tcBorders>
            <w:shd w:fill="CCEEFF" w:val="clear"/>
            <w:tcMar>
              <w:bottom w:w="28" w:type="dxa"/>
            </w:tcMar>
            <w:vAlign w:val="center"/>
          </w:tcPr>
          <w:p>
            <w:pPr>
              <w:pStyle w:val="TableContents"/>
              <w:spacing w:before="0" w:after="0"/>
              <w:ind w:left="0" w:right="52" w:hanging="0"/>
              <w:jc w:val="right"/>
              <w:rPr>
                <w:rFonts w:ascii="Times New Roman;Times;serif" w:hAnsi="Times New Roman;Times;serif"/>
                <w:b/>
                <w:sz w:val="16"/>
              </w:rPr>
            </w:pPr>
            <w:r>
              <w:rPr>
                <w:rFonts w:ascii="Times New Roman;Times;serif" w:hAnsi="Times New Roman;Times;serif"/>
                <w:b/>
                <w:sz w:val="16"/>
              </w:rPr>
              <w:t>285,030,792</w:t>
            </w:r>
          </w:p>
        </w:tc>
      </w:tr>
    </w:tbl>
    <w:p>
      <w:pPr>
        <w:pStyle w:val="TextBody"/>
        <w:spacing w:before="0" w:after="0"/>
        <w:ind w:left="0" w:right="0" w:hanging="0"/>
        <w:rPr/>
      </w:pPr>
      <w:r>
        <w:rPr/>
        <w:t>​</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See accompanying notes to the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180" w:name="_54252eac_cd17_4d41_b462_ab7dcc6595ef"/>
      <w:bookmarkEnd w:id="180"/>
      <w:r>
        <w:rPr>
          <w:rFonts w:ascii="Times New Roman;Times;serif" w:hAnsi="Times New Roman;Times;serif"/>
          <w:b/>
          <w:sz w:val="20"/>
        </w:rPr>
        <w:t>MEDICINE MAN TECHNOLOGIES, INC.</w:t>
      </w:r>
    </w:p>
    <w:p>
      <w:pPr>
        <w:pStyle w:val="TextBody"/>
        <w:spacing w:before="0" w:after="0"/>
        <w:ind w:left="0" w:right="0" w:hanging="0"/>
        <w:jc w:val="center"/>
        <w:rPr>
          <w:rFonts w:ascii="Times New Roman;Times;serif" w:hAnsi="Times New Roman;Times;serif"/>
          <w:b/>
          <w:sz w:val="20"/>
        </w:rPr>
      </w:pPr>
      <w:bookmarkStart w:id="181" w:name="CONSOLIDATEDSTATEMENTOFCOMPREHENSIVELOSS"/>
      <w:bookmarkEnd w:id="181"/>
      <w:r>
        <w:rPr>
          <w:rFonts w:ascii="Times New Roman;Times;serif" w:hAnsi="Times New Roman;Times;serif"/>
          <w:b/>
          <w:sz w:val="20"/>
        </w:rPr>
        <w:t>CONSOLIDATED STATEMENTS OF COMPREHENSIVE (LOSS) AND INCOME</w:t>
      </w:r>
    </w:p>
    <w:p>
      <w:pPr>
        <w:pStyle w:val="TextBody"/>
        <w:spacing w:before="0" w:after="0"/>
        <w:ind w:left="0" w:right="0" w:hanging="0"/>
        <w:jc w:val="center"/>
        <w:rPr>
          <w:rFonts w:ascii="Times New Roman;Times;serif" w:hAnsi="Times New Roman;Times;serif"/>
          <w:i/>
          <w:sz w:val="20"/>
        </w:rPr>
      </w:pPr>
      <w:r>
        <w:rPr>
          <w:rFonts w:ascii="Times New Roman;Times;serif" w:hAnsi="Times New Roman;Times;serif"/>
          <w:i/>
          <w:sz w:val="20"/>
        </w:rPr>
        <w:t>For the Years Ended December 31, 2022 and 2021</w:t>
      </w:r>
    </w:p>
    <w:p>
      <w:pPr>
        <w:pStyle w:val="TextBody"/>
        <w:spacing w:before="0" w:after="0"/>
        <w:ind w:left="0" w:right="0" w:hanging="0"/>
        <w:jc w:val="center"/>
        <w:rPr>
          <w:rFonts w:ascii="Times New Roman;Times;serif" w:hAnsi="Times New Roman;Times;serif"/>
          <w:i/>
          <w:sz w:val="20"/>
        </w:rPr>
      </w:pPr>
      <w:r>
        <w:rPr>
          <w:rFonts w:ascii="Times New Roman;Times;serif" w:hAnsi="Times New Roman;Times;serif"/>
          <w:i/>
          <w:sz w:val="20"/>
        </w:rPr>
        <w:t>Expressed in U.S. Dollars</w:t>
      </w:r>
    </w:p>
    <w:p>
      <w:pPr>
        <w:pStyle w:val="TextBody"/>
        <w:spacing w:before="0" w:after="0"/>
        <w:ind w:left="0" w:right="0" w:hanging="0"/>
        <w:rPr/>
      </w:pPr>
      <w:r>
        <w:rPr/>
        <w:t>​</w:t>
      </w:r>
    </w:p>
    <w:p>
      <w:pPr>
        <w:pStyle w:val="Normal"/>
        <w:spacing w:before="0" w:after="0"/>
        <w:rPr>
          <w:sz w:val="4"/>
          <w:szCs w:val="4"/>
        </w:rPr>
      </w:pPr>
      <w:r>
        <w:rPr>
          <w:sz w:val="4"/>
          <w:szCs w:val="4"/>
        </w:rPr>
      </w:r>
      <w:bookmarkStart w:id="182" w:name="Tc_yHJgOgBjdE68kB90EgSCpQ_42_5"/>
      <w:bookmarkStart w:id="183" w:name="Tc_chvuhe2XOUKJoUviH1I1Tw_42_2"/>
      <w:bookmarkStart w:id="184" w:name="Tc_wS0EQs7hdk-4_l8h8OkHUw_42_0"/>
      <w:bookmarkStart w:id="185" w:name="Tc_yUuTwCiuz0O0GqtyBBp4-w_41_0"/>
      <w:bookmarkStart w:id="186" w:name="Tc_FNWRNcXiLEO_R2Np6wei3w_40_0"/>
      <w:bookmarkStart w:id="187" w:name="Tc_d9mH4aWrI0-YpdOKfFQcjg_38_5"/>
      <w:bookmarkStart w:id="188" w:name="Tc_5s3w4OjR0kyYMtLhrpdHbA_38_2"/>
      <w:bookmarkStart w:id="189" w:name="Tc_exmrEh-VME68k2weRVc5-g_38_0"/>
      <w:bookmarkStart w:id="190" w:name="Tc_dMV5NgH-MUS9QJchqVGdqw_37_5"/>
      <w:bookmarkStart w:id="191" w:name="Tc_rdanGSbXhEWEgATnNB4CXA_37_2"/>
      <w:bookmarkStart w:id="192" w:name="Tc_VmI_2lAAhkOY_cucfRGg5A_37_0"/>
      <w:bookmarkStart w:id="193" w:name="Tc_YlAIMBQ3FECFE9rxvoC9rA_36_0"/>
      <w:bookmarkStart w:id="194" w:name="Tc_CxHPCvqS-0CrpRzppKcbrw_34_5"/>
      <w:bookmarkStart w:id="195" w:name="Tc_pV_6vjvrlEqGTEmijIg3hA_34_2"/>
      <w:bookmarkStart w:id="196" w:name="Tc_QR8g95B8q02CFw7s5p3-1A_34_0"/>
      <w:bookmarkStart w:id="197" w:name="Tc_pY1YfysEjU6sBNnRkfGEcA_33_0"/>
      <w:bookmarkStart w:id="198" w:name="Tc_KhAZjAPYnU-LpKmd0PRupw_31_5"/>
      <w:bookmarkStart w:id="199" w:name="Tc_u3rPJzbguUejhnzSdXPOJw_31_2"/>
      <w:bookmarkStart w:id="200" w:name="Tc_n2cy4RFTFkipTl4yYeUyag_31_0"/>
      <w:bookmarkStart w:id="201" w:name="Tc_GVwFavc2gESxvKeqp9_YgA_30_0"/>
      <w:bookmarkStart w:id="202" w:name="Tc_Vm6nKIpuiEGJbAmRIPgQqw_29_5"/>
      <w:bookmarkStart w:id="203" w:name="Tc_IKAgzODwyke15XtZl3Yrbw_29_2"/>
      <w:bookmarkStart w:id="204" w:name="Tc_6ohp6LSb9U-qDsoBlKlu7Q_29_0"/>
      <w:bookmarkStart w:id="205" w:name="Tc_fka1W-yuEUeUe57XJKL_Vw_28_0"/>
      <w:bookmarkStart w:id="206" w:name="Tc_brwWj8JYmUO4S3_UUTxgpQ_27_0"/>
      <w:bookmarkStart w:id="207" w:name="Tc_5PYehsPMOEyRpB08yu9lZg_26_0"/>
      <w:bookmarkStart w:id="208" w:name="Tc_JNtPftBL2EaLi0YnHyJspA_25_0"/>
      <w:bookmarkStart w:id="209" w:name="Tc_eviucNEb0EWE90kNbzflLg_24_0"/>
      <w:bookmarkStart w:id="210" w:name="Tc_0kiA50PObUWHY1yNNSuOGA_23_0"/>
      <w:bookmarkStart w:id="211" w:name="Tc_7r_17hIqvUGWkbMXmmdMLQ_22_0"/>
      <w:bookmarkStart w:id="212" w:name="Tc_zdHSBBv_u0i5-0IedQ5IZg_21_0"/>
      <w:bookmarkStart w:id="213" w:name="Tc_M0hCSJyXVU611eYQ7YmhNA_20_0"/>
      <w:bookmarkStart w:id="214" w:name="Tc_vBX9698uKk2wtllpuDDBjg_19_0"/>
      <w:bookmarkStart w:id="215" w:name="Tc_gdEGnaL920SVXf1rDbFWWg_18_0"/>
      <w:bookmarkStart w:id="216" w:name="Tc_IBazSiyMKkSUffdwuufaKw_17_0"/>
      <w:bookmarkStart w:id="217" w:name="Tc_wpG9Va27U02y7E7qMwmkQg_16_0"/>
      <w:bookmarkStart w:id="218" w:name="Tc_h5cOJV4w-02ksWJyMZQ15Q_15_0"/>
      <w:bookmarkStart w:id="219" w:name="Tc_ifa_Va6ag0CSrAUcgzwQWg_14_0"/>
      <w:bookmarkStart w:id="220" w:name="Tc_mgcVJgs_HkukBv-_7KrSyQ_13_0"/>
      <w:bookmarkStart w:id="221" w:name="Tc_KhIyXCBlMEGMkF6e9HmdaQ_12_0"/>
      <w:bookmarkStart w:id="222" w:name="Tc_ByqPfXFywEe7wzOOj4XFvA_11_0"/>
      <w:bookmarkStart w:id="223" w:name="Tc_bsFR1F97E0-jy1vzent8Iw_10_0"/>
      <w:bookmarkStart w:id="224" w:name="Tc_yUeAFXxIik6bzlzvwvPhfQ_9_0"/>
      <w:bookmarkStart w:id="225" w:name="Tc_DpbUKn-2n06R_IL3784hew_8_0"/>
      <w:bookmarkStart w:id="226" w:name="Tc_XH1MH1HzdESwWM4nw574bA_7_0"/>
      <w:bookmarkStart w:id="227" w:name="Tc_f0e5C8BLvE28m519rIAqAA_6_5"/>
      <w:bookmarkStart w:id="228" w:name="Tc_D3RwT9sX-0GOYBXH_uB41A_6_2"/>
      <w:bookmarkStart w:id="229" w:name="Tc_KYpam5x6OU6LWWvsMGS24g_6_0"/>
      <w:bookmarkStart w:id="230" w:name="Tc_WjARFHQvLUCz_tpcoSyS8g_5_0"/>
      <w:bookmarkStart w:id="231" w:name="Tc_nRRSn9Ene0SZ-wNjrWWTyw_4_5"/>
      <w:bookmarkStart w:id="232" w:name="Tc_7lRzX6SkOUmPcgZi-jftjg_4_2"/>
      <w:bookmarkStart w:id="233" w:name="Tc_cKWoskZIaEyUS_CxeJ3LhQ_3_5"/>
      <w:bookmarkStart w:id="234" w:name="Tc_c963vH4R40-C357OD2rC-g_3_2"/>
      <w:bookmarkStart w:id="235" w:name="Tc_Gs2NA6JaK0iDB7SLKplLgQ_2_5"/>
      <w:bookmarkStart w:id="236" w:name="Tc_xGf7BqDSgEiXlqOOISHx8A_2_2"/>
      <w:bookmarkStart w:id="237" w:name="Tc_pQ8lWvGhtkqSj-T9xKMNtw_1_5"/>
      <w:bookmarkStart w:id="238" w:name="Tc_CpllxGHHo0K-FCPyovGVGw_1_2"/>
      <w:bookmarkStart w:id="239" w:name="_6af22405_2a54_43ad_8202_4b5325bf60d8"/>
      <w:bookmarkStart w:id="240" w:name="Tc_yHJgOgBjdE68kB90EgSCpQ_42_5"/>
      <w:bookmarkStart w:id="241" w:name="Tc_chvuhe2XOUKJoUviH1I1Tw_42_2"/>
      <w:bookmarkStart w:id="242" w:name="Tc_wS0EQs7hdk-4_l8h8OkHUw_42_0"/>
      <w:bookmarkStart w:id="243" w:name="Tc_yUuTwCiuz0O0GqtyBBp4-w_41_0"/>
      <w:bookmarkStart w:id="244" w:name="Tc_FNWRNcXiLEO_R2Np6wei3w_40_0"/>
      <w:bookmarkStart w:id="245" w:name="Tc_d9mH4aWrI0-YpdOKfFQcjg_38_5"/>
      <w:bookmarkStart w:id="246" w:name="Tc_5s3w4OjR0kyYMtLhrpdHbA_38_2"/>
      <w:bookmarkStart w:id="247" w:name="Tc_exmrEh-VME68k2weRVc5-g_38_0"/>
      <w:bookmarkStart w:id="248" w:name="Tc_dMV5NgH-MUS9QJchqVGdqw_37_5"/>
      <w:bookmarkStart w:id="249" w:name="Tc_rdanGSbXhEWEgATnNB4CXA_37_2"/>
      <w:bookmarkStart w:id="250" w:name="Tc_VmI_2lAAhkOY_cucfRGg5A_37_0"/>
      <w:bookmarkStart w:id="251" w:name="Tc_YlAIMBQ3FECFE9rxvoC9rA_36_0"/>
      <w:bookmarkStart w:id="252" w:name="Tc_CxHPCvqS-0CrpRzppKcbrw_34_5"/>
      <w:bookmarkStart w:id="253" w:name="Tc_pV_6vjvrlEqGTEmijIg3hA_34_2"/>
      <w:bookmarkStart w:id="254" w:name="Tc_QR8g95B8q02CFw7s5p3-1A_34_0"/>
      <w:bookmarkStart w:id="255" w:name="Tc_pY1YfysEjU6sBNnRkfGEcA_33_0"/>
      <w:bookmarkStart w:id="256" w:name="Tc_KhAZjAPYnU-LpKmd0PRupw_31_5"/>
      <w:bookmarkStart w:id="257" w:name="Tc_u3rPJzbguUejhnzSdXPOJw_31_2"/>
      <w:bookmarkStart w:id="258" w:name="Tc_n2cy4RFTFkipTl4yYeUyag_31_0"/>
      <w:bookmarkStart w:id="259" w:name="Tc_GVwFavc2gESxvKeqp9_YgA_30_0"/>
      <w:bookmarkStart w:id="260" w:name="Tc_Vm6nKIpuiEGJbAmRIPgQqw_29_5"/>
      <w:bookmarkStart w:id="261" w:name="Tc_IKAgzODwyke15XtZl3Yrbw_29_2"/>
      <w:bookmarkStart w:id="262" w:name="Tc_6ohp6LSb9U-qDsoBlKlu7Q_29_0"/>
      <w:bookmarkStart w:id="263" w:name="Tc_fka1W-yuEUeUe57XJKL_Vw_28_0"/>
      <w:bookmarkStart w:id="264" w:name="Tc_brwWj8JYmUO4S3_UUTxgpQ_27_0"/>
      <w:bookmarkStart w:id="265" w:name="Tc_5PYehsPMOEyRpB08yu9lZg_26_0"/>
      <w:bookmarkStart w:id="266" w:name="Tc_JNtPftBL2EaLi0YnHyJspA_25_0"/>
      <w:bookmarkStart w:id="267" w:name="Tc_eviucNEb0EWE90kNbzflLg_24_0"/>
      <w:bookmarkStart w:id="268" w:name="Tc_0kiA50PObUWHY1yNNSuOGA_23_0"/>
      <w:bookmarkStart w:id="269" w:name="Tc_7r_17hIqvUGWkbMXmmdMLQ_22_0"/>
      <w:bookmarkStart w:id="270" w:name="Tc_zdHSBBv_u0i5-0IedQ5IZg_21_0"/>
      <w:bookmarkStart w:id="271" w:name="Tc_M0hCSJyXVU611eYQ7YmhNA_20_0"/>
      <w:bookmarkStart w:id="272" w:name="Tc_vBX9698uKk2wtllpuDDBjg_19_0"/>
      <w:bookmarkStart w:id="273" w:name="Tc_gdEGnaL920SVXf1rDbFWWg_18_0"/>
      <w:bookmarkStart w:id="274" w:name="Tc_IBazSiyMKkSUffdwuufaKw_17_0"/>
      <w:bookmarkStart w:id="275" w:name="Tc_wpG9Va27U02y7E7qMwmkQg_16_0"/>
      <w:bookmarkStart w:id="276" w:name="Tc_h5cOJV4w-02ksWJyMZQ15Q_15_0"/>
      <w:bookmarkStart w:id="277" w:name="Tc_ifa_Va6ag0CSrAUcgzwQWg_14_0"/>
      <w:bookmarkStart w:id="278" w:name="Tc_mgcVJgs_HkukBv-_7KrSyQ_13_0"/>
      <w:bookmarkStart w:id="279" w:name="Tc_KhIyXCBlMEGMkF6e9HmdaQ_12_0"/>
      <w:bookmarkStart w:id="280" w:name="Tc_ByqPfXFywEe7wzOOj4XFvA_11_0"/>
      <w:bookmarkStart w:id="281" w:name="Tc_bsFR1F97E0-jy1vzent8Iw_10_0"/>
      <w:bookmarkStart w:id="282" w:name="Tc_yUeAFXxIik6bzlzvwvPhfQ_9_0"/>
      <w:bookmarkStart w:id="283" w:name="Tc_DpbUKn-2n06R_IL3784hew_8_0"/>
      <w:bookmarkStart w:id="284" w:name="Tc_XH1MH1HzdESwWM4nw574bA_7_0"/>
      <w:bookmarkStart w:id="285" w:name="Tc_f0e5C8BLvE28m519rIAqAA_6_5"/>
      <w:bookmarkStart w:id="286" w:name="Tc_D3RwT9sX-0GOYBXH_uB41A_6_2"/>
      <w:bookmarkStart w:id="287" w:name="Tc_KYpam5x6OU6LWWvsMGS24g_6_0"/>
      <w:bookmarkStart w:id="288" w:name="Tc_WjARFHQvLUCz_tpcoSyS8g_5_0"/>
      <w:bookmarkStart w:id="289" w:name="Tc_nRRSn9Ene0SZ-wNjrWWTyw_4_5"/>
      <w:bookmarkStart w:id="290" w:name="Tc_7lRzX6SkOUmPcgZi-jftjg_4_2"/>
      <w:bookmarkStart w:id="291" w:name="Tc_cKWoskZIaEyUS_CxeJ3LhQ_3_5"/>
      <w:bookmarkStart w:id="292" w:name="Tc_c963vH4R40-C357OD2rC-g_3_2"/>
      <w:bookmarkStart w:id="293" w:name="Tc_Gs2NA6JaK0iDB7SLKplLgQ_2_5"/>
      <w:bookmarkStart w:id="294" w:name="Tc_xGf7BqDSgEiXlqOOISHx8A_2_2"/>
      <w:bookmarkStart w:id="295" w:name="Tc_pQ8lWvGhtkqSj-T9xKMNtw_1_5"/>
      <w:bookmarkStart w:id="296" w:name="Tc_CpllxGHHo0K-FCPyovGVGw_1_2"/>
      <w:bookmarkStart w:id="297" w:name="_6af22405_2a54_43ad_8202_4b5325bf60d8"/>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tbl>
      <w:tblPr>
        <w:tblW w:w="8517" w:type="dxa"/>
        <w:jc w:val="left"/>
        <w:tblInd w:w="0" w:type="dxa"/>
        <w:tblCellMar>
          <w:top w:w="0" w:type="dxa"/>
          <w:left w:w="0" w:type="dxa"/>
          <w:bottom w:w="0" w:type="dxa"/>
          <w:right w:w="0" w:type="dxa"/>
        </w:tblCellMar>
      </w:tblPr>
      <w:tblGrid>
        <w:gridCol w:w="5101"/>
        <w:gridCol w:w="326"/>
        <w:gridCol w:w="211"/>
        <w:gridCol w:w="1156"/>
        <w:gridCol w:w="326"/>
        <w:gridCol w:w="211"/>
        <w:gridCol w:w="1186"/>
      </w:tblGrid>
      <w:tr>
        <w:trPr/>
        <w:tc>
          <w:tcPr>
            <w:tcW w:w="51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3239135" cy="175260"/>
                      <wp:effectExtent l="0" t="0" r="0" b="0"/>
                      <wp:wrapNone/>
                      <wp:docPr id="60" name="Frame60"/>
                      <a:graphic xmlns:a="http://schemas.openxmlformats.org/drawingml/2006/main">
                        <a:graphicData uri="http://schemas.microsoft.com/office/word/2010/wordprocessingShape">
                          <wps:wsp>
                            <wps:cNvSpPr txBox="1"/>
                            <wps:spPr>
                              <a:xfrm>
                                <a:off x="0" y="0"/>
                                <a:ext cx="3239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1" name="Frame6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33985" cy="175260"/>
                      <wp:effectExtent l="0" t="0" r="0" b="0"/>
                      <wp:wrapNone/>
                      <wp:docPr id="62" name="Frame6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734060" cy="175260"/>
                      <wp:effectExtent l="0" t="0" r="0" b="0"/>
                      <wp:wrapNone/>
                      <wp:docPr id="63" name="Frame63"/>
                      <a:graphic xmlns:a="http://schemas.openxmlformats.org/drawingml/2006/main">
                        <a:graphicData uri="http://schemas.microsoft.com/office/word/2010/wordprocessingShape">
                          <wps:wsp>
                            <wps:cNvSpPr txBox="1"/>
                            <wps:spPr>
                              <a:xfrm>
                                <a:off x="0" y="0"/>
                                <a:ext cx="734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33985" cy="175260"/>
                      <wp:effectExtent l="0" t="0" r="0" b="0"/>
                      <wp:wrapNone/>
                      <wp:docPr id="65" name="Frame6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753110" cy="175260"/>
                      <wp:effectExtent l="0" t="0" r="0" b="0"/>
                      <wp:wrapNone/>
                      <wp:docPr id="66" name="Frame66"/>
                      <a:graphic xmlns:a="http://schemas.openxmlformats.org/drawingml/2006/main">
                        <a:graphicData uri="http://schemas.microsoft.com/office/word/2010/wordprocessingShape">
                          <wps:wsp>
                            <wps:cNvSpPr txBox="1"/>
                            <wps:spPr>
                              <a:xfrm>
                                <a:off x="0" y="0"/>
                                <a:ext cx="753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1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36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c>
          <w:tcPr>
            <w:tcW w:w="326" w:type="dxa"/>
            <w:tcBorders/>
            <w:shd w:fill="auto" w:val="clear"/>
            <w:vAlign w:val="center"/>
          </w:tcPr>
          <w:p>
            <w:pPr>
              <w:pStyle w:val="TableContents"/>
              <w:spacing w:before="0" w:after="0"/>
              <w:ind w:left="0" w:right="0" w:hanging="0"/>
              <w:rPr/>
            </w:pPr>
            <w:r>
              <w:rPr/>
              <w:t>​</w:t>
            </w:r>
          </w:p>
        </w:tc>
        <w:tc>
          <w:tcPr>
            <w:tcW w:w="139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r>
      <w:tr>
        <w:trPr/>
        <w:tc>
          <w:tcPr>
            <w:tcW w:w="51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36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shd w:fill="auto" w:val="clear"/>
            <w:vAlign w:val="center"/>
          </w:tcPr>
          <w:p>
            <w:pPr>
              <w:pStyle w:val="TableContents"/>
              <w:spacing w:before="0" w:after="0"/>
              <w:ind w:left="0" w:right="0" w:hanging="0"/>
              <w:rPr/>
            </w:pPr>
            <w:r>
              <w:rPr/>
              <w:t>​</w:t>
            </w:r>
          </w:p>
        </w:tc>
        <w:tc>
          <w:tcPr>
            <w:tcW w:w="139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51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36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w:t>
            </w:r>
          </w:p>
        </w:tc>
        <w:tc>
          <w:tcPr>
            <w:tcW w:w="13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51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367"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(Audited)</w:t>
            </w:r>
          </w:p>
        </w:tc>
        <w:tc>
          <w:tcPr>
            <w:tcW w:w="326" w:type="dxa"/>
            <w:tcBorders/>
            <w:shd w:fill="auto" w:val="clear"/>
            <w:vAlign w:val="center"/>
          </w:tcPr>
          <w:p>
            <w:pPr>
              <w:pStyle w:val="TableContents"/>
              <w:spacing w:before="0" w:after="0"/>
              <w:ind w:left="0" w:right="0" w:hanging="0"/>
              <w:rPr/>
            </w:pPr>
            <w:r>
              <w:rPr/>
              <w:t>    </w:t>
            </w:r>
          </w:p>
        </w:tc>
        <w:tc>
          <w:tcPr>
            <w:tcW w:w="1397"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(Audited)</w:t>
            </w:r>
          </w:p>
        </w:tc>
      </w:tr>
      <w:tr>
        <w:trPr/>
        <w:tc>
          <w:tcPr>
            <w:tcW w:w="51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revenues</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115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1186" w:type="dxa"/>
            <w:tcBorders/>
            <w:shd w:fill="CCEEFF" w:val="clear"/>
            <w:vAlign w:val="center"/>
          </w:tcPr>
          <w:p>
            <w:pPr>
              <w:pStyle w:val="TableContents"/>
              <w:spacing w:before="0" w:after="0"/>
              <w:ind w:left="0" w:right="0" w:hanging="0"/>
              <w:jc w:val="right"/>
              <w:rPr/>
            </w:pPr>
            <w:r>
              <w:rPr/>
              <w:t>  </w:t>
            </w:r>
          </w:p>
        </w:tc>
      </w:tr>
      <w:tr>
        <w:trPr/>
        <w:tc>
          <w:tcPr>
            <w:tcW w:w="51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Retail</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141,254,893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73,761,010</w:t>
            </w:r>
          </w:p>
        </w:tc>
      </w:tr>
      <w:tr>
        <w:trPr/>
        <w:tc>
          <w:tcPr>
            <w:tcW w:w="51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Wholesale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17,819,938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34,434,091</w:t>
            </w:r>
          </w:p>
        </w:tc>
      </w:tr>
      <w:tr>
        <w:trPr/>
        <w:tc>
          <w:tcPr>
            <w:tcW w:w="51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5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304,388</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225,138</w:t>
            </w:r>
          </w:p>
        </w:tc>
      </w:tr>
      <w:tr>
        <w:trPr/>
        <w:tc>
          <w:tcPr>
            <w:tcW w:w="51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revenue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159,379,219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108,420,239</w:t>
            </w:r>
          </w:p>
        </w:tc>
      </w:tr>
      <w:tr>
        <w:trPr/>
        <w:tc>
          <w:tcPr>
            <w:tcW w:w="51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cost of goods and services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5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74,349,421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59,066,545</w:t>
            </w:r>
          </w:p>
        </w:tc>
      </w:tr>
      <w:tr>
        <w:trPr/>
        <w:tc>
          <w:tcPr>
            <w:tcW w:w="51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85,029,798</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49,353,694</w:t>
            </w:r>
          </w:p>
        </w:tc>
      </w:tr>
      <w:tr>
        <w:trPr/>
        <w:tc>
          <w:tcPr>
            <w:tcW w:w="51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expenses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86" w:type="dxa"/>
            <w:tcBorders/>
            <w:shd w:fill="auto" w:val="clear"/>
            <w:vAlign w:val="center"/>
          </w:tcPr>
          <w:p>
            <w:pPr>
              <w:pStyle w:val="TableContents"/>
              <w:spacing w:before="0" w:after="0"/>
              <w:ind w:left="0" w:right="0" w:hanging="0"/>
              <w:jc w:val="right"/>
              <w:rPr/>
            </w:pPr>
            <w:r>
              <w:rPr/>
              <w:t>  </w:t>
            </w:r>
          </w:p>
        </w:tc>
      </w:tr>
      <w:tr>
        <w:trPr/>
        <w:tc>
          <w:tcPr>
            <w:tcW w:w="51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29,398,324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16,616,306</w:t>
            </w:r>
          </w:p>
        </w:tc>
      </w:tr>
      <w:tr>
        <w:trPr/>
        <w:tc>
          <w:tcPr>
            <w:tcW w:w="51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Professional services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6,722,554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5,346,934</w:t>
            </w:r>
          </w:p>
        </w:tc>
      </w:tr>
      <w:tr>
        <w:trPr/>
        <w:tc>
          <w:tcPr>
            <w:tcW w:w="51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Loss on impairment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8,011,405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86" w:type="dxa"/>
            <w:tcBorders/>
            <w:shd w:fill="CCEEFF" w:val="clear"/>
            <w:vAlign w:val="center"/>
          </w:tcPr>
          <w:p>
            <w:pPr>
              <w:pStyle w:val="TableContents"/>
              <w:spacing w:before="0" w:after="0"/>
              <w:ind w:left="0" w:right="0" w:hanging="0"/>
              <w:jc w:val="right"/>
              <w:rPr/>
            </w:pPr>
            <w:r>
              <w:rPr/>
              <w:t>—</w:t>
            </w:r>
          </w:p>
        </w:tc>
      </w:tr>
      <w:tr>
        <w:trPr/>
        <w:tc>
          <w:tcPr>
            <w:tcW w:w="51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Salaries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25,369,968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11,943,409</w:t>
            </w:r>
          </w:p>
        </w:tc>
      </w:tr>
      <w:tr>
        <w:trPr/>
        <w:tc>
          <w:tcPr>
            <w:tcW w:w="51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 based compensation</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2,672,713</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5,037,879</w:t>
            </w:r>
          </w:p>
        </w:tc>
      </w:tr>
      <w:tr>
        <w:trPr/>
        <w:tc>
          <w:tcPr>
            <w:tcW w:w="51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5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72,174,964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38,944,528</w:t>
            </w:r>
          </w:p>
        </w:tc>
      </w:tr>
      <w:tr>
        <w:trPr/>
        <w:tc>
          <w:tcPr>
            <w:tcW w:w="51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from operations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12,854,834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10,409,166</w:t>
            </w:r>
          </w:p>
        </w:tc>
      </w:tr>
      <w:tr>
        <w:trPr/>
        <w:tc>
          <w:tcPr>
            <w:tcW w:w="51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income (expense)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86" w:type="dxa"/>
            <w:tcBorders/>
            <w:shd w:fill="auto" w:val="clear"/>
            <w:vAlign w:val="center"/>
          </w:tcPr>
          <w:p>
            <w:pPr>
              <w:pStyle w:val="TableContents"/>
              <w:spacing w:before="0" w:after="0"/>
              <w:ind w:left="0" w:right="0" w:hanging="0"/>
              <w:jc w:val="right"/>
              <w:rPr/>
            </w:pPr>
            <w:r>
              <w:rPr/>
              <w:t>  </w:t>
            </w:r>
          </w:p>
        </w:tc>
      </w:tr>
      <w:tr>
        <w:trPr/>
        <w:tc>
          <w:tcPr>
            <w:tcW w:w="51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expense, net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(30,139,645)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(7,014,279)</w:t>
            </w:r>
          </w:p>
        </w:tc>
      </w:tr>
      <w:tr>
        <w:trPr/>
        <w:tc>
          <w:tcPr>
            <w:tcW w:w="51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Gain on forfeiture of contingent consideration</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86" w:type="dxa"/>
            <w:tcBorders/>
            <w:shd w:fill="auto" w:val="clear"/>
            <w:vAlign w:val="center"/>
          </w:tcPr>
          <w:p>
            <w:pPr>
              <w:pStyle w:val="TableContents"/>
              <w:spacing w:before="0" w:after="0"/>
              <w:ind w:left="0" w:right="0" w:hanging="0"/>
              <w:jc w:val="right"/>
              <w:rPr/>
            </w:pPr>
            <w:r>
              <w:rPr/>
              <w:t>—</w:t>
            </w:r>
          </w:p>
        </w:tc>
      </w:tr>
      <w:tr>
        <w:trPr/>
        <w:tc>
          <w:tcPr>
            <w:tcW w:w="51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Unrealized gain on derivative liabilities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18,414,760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15,061,142</w:t>
            </w:r>
          </w:p>
        </w:tc>
      </w:tr>
      <w:tr>
        <w:trPr/>
        <w:tc>
          <w:tcPr>
            <w:tcW w:w="51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loss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24,136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86" w:type="dxa"/>
            <w:tcBorders/>
            <w:shd w:fill="auto" w:val="clear"/>
            <w:vAlign w:val="center"/>
          </w:tcPr>
          <w:p>
            <w:pPr>
              <w:pStyle w:val="TableContents"/>
              <w:spacing w:before="0" w:after="0"/>
              <w:ind w:left="0" w:right="0" w:hanging="0"/>
              <w:jc w:val="right"/>
              <w:rPr/>
            </w:pPr>
            <w:r>
              <w:rPr/>
              <w:t>—</w:t>
            </w:r>
          </w:p>
        </w:tc>
      </w:tr>
      <w:tr>
        <w:trPr/>
        <w:tc>
          <w:tcPr>
            <w:tcW w:w="51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Loss on business disposition</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(4,684,366)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186" w:type="dxa"/>
            <w:tcBorders/>
            <w:shd w:fill="CCEEFF" w:val="clear"/>
            <w:vAlign w:val="center"/>
          </w:tcPr>
          <w:p>
            <w:pPr>
              <w:pStyle w:val="TableContents"/>
              <w:spacing w:before="0" w:after="0"/>
              <w:ind w:left="0" w:right="0" w:hanging="0"/>
              <w:jc w:val="right"/>
              <w:rPr/>
            </w:pPr>
            <w:r>
              <w:rPr/>
              <w:t>—</w:t>
            </w:r>
          </w:p>
        </w:tc>
      </w:tr>
      <w:tr>
        <w:trPr/>
        <w:tc>
          <w:tcPr>
            <w:tcW w:w="51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Gain on sale of assets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242,494</w:t>
            </w:r>
          </w:p>
        </w:tc>
      </w:tr>
      <w:tr>
        <w:trPr/>
        <w:tc>
          <w:tcPr>
            <w:tcW w:w="51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Unrealized (loss) gain on investments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(39,270)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216,771</w:t>
            </w:r>
          </w:p>
        </w:tc>
      </w:tr>
      <w:tr>
        <w:trPr/>
        <w:tc>
          <w:tcPr>
            <w:tcW w:w="51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other (expense) income</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5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(16,424,385)</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8,506,128</w:t>
            </w:r>
          </w:p>
        </w:tc>
      </w:tr>
      <w:tr>
        <w:trPr/>
        <w:tc>
          <w:tcPr>
            <w:tcW w:w="51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Pre-tax net (loss) income </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(3,569,551)</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18,915,294</w:t>
            </w:r>
          </w:p>
        </w:tc>
      </w:tr>
      <w:tr>
        <w:trPr/>
        <w:tc>
          <w:tcPr>
            <w:tcW w:w="51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Provision for income taxes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5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14,898,064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4,396,164</w:t>
            </w:r>
          </w:p>
        </w:tc>
      </w:tr>
      <w:tr>
        <w:trPr/>
        <w:tc>
          <w:tcPr>
            <w:tcW w:w="51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 income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(18,467,615)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14,519,130</w:t>
            </w:r>
          </w:p>
        </w:tc>
      </w:tr>
      <w:tr>
        <w:trPr/>
        <w:tc>
          <w:tcPr>
            <w:tcW w:w="51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1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jc w:val="right"/>
              <w:rPr/>
            </w:pPr>
            <w:r>
              <w:rPr/>
              <w:t>​</w:t>
            </w:r>
          </w:p>
        </w:tc>
      </w:tr>
      <w:tr>
        <w:trPr/>
        <w:tc>
          <w:tcPr>
            <w:tcW w:w="51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Accumulated preferred stock dividends for the period</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(7,802,809)</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(7,346,153)</w:t>
            </w:r>
          </w:p>
        </w:tc>
      </w:tr>
      <w:tr>
        <w:trPr/>
        <w:tc>
          <w:tcPr>
            <w:tcW w:w="51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 attributable to common stockholders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(26,270,424)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7,172,977</w:t>
            </w:r>
          </w:p>
        </w:tc>
      </w:tr>
      <w:tr>
        <w:trPr/>
        <w:tc>
          <w:tcPr>
            <w:tcW w:w="510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15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186" w:type="dxa"/>
            <w:tcBorders/>
            <w:shd w:fill="CCEEFF" w:val="clear"/>
            <w:vAlign w:val="center"/>
          </w:tcPr>
          <w:p>
            <w:pPr>
              <w:pStyle w:val="TableContents"/>
              <w:spacing w:before="0" w:after="0"/>
              <w:ind w:left="0" w:right="0" w:hanging="0"/>
              <w:rPr/>
            </w:pPr>
            <w:r>
              <w:rPr/>
              <w:t>​</w:t>
            </w:r>
          </w:p>
        </w:tc>
      </w:tr>
      <w:tr>
        <w:trPr/>
        <w:tc>
          <w:tcPr>
            <w:tcW w:w="51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Earnings (loss) per share attributable to common shareholders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86" w:type="dxa"/>
            <w:tcBorders/>
            <w:shd w:fill="auto" w:val="clear"/>
            <w:vAlign w:val="center"/>
          </w:tcPr>
          <w:p>
            <w:pPr>
              <w:pStyle w:val="TableContents"/>
              <w:spacing w:before="0" w:after="0"/>
              <w:ind w:left="0" w:right="0" w:hanging="0"/>
              <w:jc w:val="right"/>
              <w:rPr/>
            </w:pPr>
            <w:r>
              <w:rPr/>
              <w:t>  </w:t>
            </w:r>
          </w:p>
        </w:tc>
      </w:tr>
      <w:tr>
        <w:trPr/>
        <w:tc>
          <w:tcPr>
            <w:tcW w:w="51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Basic (loss) earnings per share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(0.49)</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0.17</w:t>
            </w:r>
          </w:p>
        </w:tc>
      </w:tr>
      <w:tr>
        <w:trPr/>
        <w:tc>
          <w:tcPr>
            <w:tcW w:w="51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Diluted (loss) earnings per share</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(0.49)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(0.06)</w:t>
            </w:r>
          </w:p>
        </w:tc>
      </w:tr>
      <w:tr>
        <w:trPr/>
        <w:tc>
          <w:tcPr>
            <w:tcW w:w="510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15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186" w:type="dxa"/>
            <w:tcBorders/>
            <w:shd w:fill="CCEEFF" w:val="clear"/>
            <w:vAlign w:val="center"/>
          </w:tcPr>
          <w:p>
            <w:pPr>
              <w:pStyle w:val="TableContents"/>
              <w:spacing w:before="0" w:after="0"/>
              <w:ind w:left="0" w:right="0" w:hanging="0"/>
              <w:rPr/>
            </w:pPr>
            <w:r>
              <w:rPr/>
              <w:t>​</w:t>
            </w:r>
          </w:p>
        </w:tc>
      </w:tr>
      <w:tr>
        <w:trPr/>
        <w:tc>
          <w:tcPr>
            <w:tcW w:w="51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 average number of shares outstanding - basic</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pPr>
            <w:r>
              <w:rPr/>
              <w:t> </w:t>
            </w:r>
          </w:p>
        </w:tc>
        <w:tc>
          <w:tcPr>
            <w:tcW w:w="115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53,637,003</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pPr>
            <w:r>
              <w:rPr/>
              <w:t> </w:t>
            </w:r>
          </w:p>
        </w:tc>
        <w:tc>
          <w:tcPr>
            <w:tcW w:w="118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43,339,092</w:t>
            </w:r>
          </w:p>
        </w:tc>
      </w:tr>
      <w:tr>
        <w:trPr/>
        <w:tc>
          <w:tcPr>
            <w:tcW w:w="51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 average number of shares outstanding - diluted</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115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53,637,003</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118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101,368,958</w:t>
            </w:r>
          </w:p>
        </w:tc>
      </w:tr>
      <w:tr>
        <w:trPr/>
        <w:tc>
          <w:tcPr>
            <w:tcW w:w="51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Comprehensive (loss) income </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(26,270,424)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7,172,977</w:t>
            </w:r>
          </w:p>
        </w:tc>
      </w:tr>
    </w:tbl>
    <w:p>
      <w:pPr>
        <w:pStyle w:val="TextBody"/>
        <w:spacing w:before="0" w:after="0"/>
        <w:ind w:left="0" w:right="0" w:hanging="0"/>
        <w:rPr/>
      </w:pPr>
      <w:r>
        <w:rPr/>
        <w:t>​</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See accompanying notes to the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298" w:name="_ee8ddbae_590d_4384_bc6e_bb7630979713"/>
      <w:bookmarkEnd w:id="298"/>
      <w:r>
        <w:rPr>
          <w:rFonts w:ascii="Times New Roman;Times;serif" w:hAnsi="Times New Roman;Times;serif"/>
          <w:b/>
          <w:sz w:val="20"/>
        </w:rPr>
        <w:t>MEDICINE MAN TECHNOLOGIES INC.</w:t>
      </w:r>
    </w:p>
    <w:p>
      <w:pPr>
        <w:pStyle w:val="TextBody"/>
        <w:spacing w:before="0" w:after="0"/>
        <w:ind w:left="0" w:right="0" w:hanging="0"/>
        <w:jc w:val="center"/>
        <w:rPr>
          <w:rFonts w:ascii="Times New Roman;Times;serif" w:hAnsi="Times New Roman;Times;serif"/>
          <w:b/>
          <w:sz w:val="20"/>
        </w:rPr>
      </w:pPr>
      <w:bookmarkStart w:id="299" w:name="CONSOLIDATEDSTATEMENTOFCHANGESINSTOCKHOL"/>
      <w:bookmarkEnd w:id="299"/>
      <w:r>
        <w:rPr>
          <w:rFonts w:ascii="Times New Roman;Times;serif" w:hAnsi="Times New Roman;Times;serif"/>
          <w:b/>
          <w:sz w:val="20"/>
        </w:rPr>
        <w:t>CONSOLIDATED STATEMENTS OF CHANGES IN STOCKHOLDERS’ EQUITY</w:t>
      </w:r>
    </w:p>
    <w:p>
      <w:pPr>
        <w:pStyle w:val="TextBody"/>
        <w:spacing w:before="0" w:after="0"/>
        <w:ind w:left="0" w:right="0" w:hanging="0"/>
        <w:jc w:val="center"/>
        <w:rPr>
          <w:rFonts w:ascii="Times New Roman;Times;serif" w:hAnsi="Times New Roman;Times;serif"/>
          <w:i/>
          <w:sz w:val="20"/>
        </w:rPr>
      </w:pPr>
      <w:r>
        <w:rPr>
          <w:rFonts w:ascii="Times New Roman;Times;serif" w:hAnsi="Times New Roman;Times;serif"/>
          <w:i/>
          <w:sz w:val="20"/>
        </w:rPr>
        <w:t>For the Years Ended December 31, 2022 and 2021</w:t>
      </w:r>
    </w:p>
    <w:p>
      <w:pPr>
        <w:pStyle w:val="TextBody"/>
        <w:spacing w:before="0" w:after="0"/>
        <w:ind w:left="0" w:right="0" w:hanging="0"/>
        <w:jc w:val="center"/>
        <w:rPr>
          <w:rFonts w:ascii="Times New Roman;Times;serif" w:hAnsi="Times New Roman;Times;serif"/>
          <w:i/>
          <w:sz w:val="20"/>
        </w:rPr>
      </w:pPr>
      <w:r>
        <w:rPr>
          <w:rFonts w:ascii="Times New Roman;Times;serif" w:hAnsi="Times New Roman;Times;serif"/>
          <w:i/>
          <w:sz w:val="20"/>
        </w:rPr>
        <w:t>Expressed in U.S. Dollars</w:t>
      </w:r>
    </w:p>
    <w:p>
      <w:pPr>
        <w:pStyle w:val="TextBody"/>
        <w:spacing w:before="0" w:after="0"/>
        <w:ind w:left="0" w:right="0" w:hanging="0"/>
        <w:rPr/>
      </w:pPr>
      <w:r>
        <w:rPr/>
        <w:t>​</w:t>
      </w:r>
    </w:p>
    <w:p>
      <w:pPr>
        <w:pStyle w:val="Normal"/>
        <w:spacing w:before="0" w:after="0"/>
        <w:rPr>
          <w:sz w:val="4"/>
          <w:szCs w:val="4"/>
        </w:rPr>
      </w:pPr>
      <w:r>
        <w:rPr>
          <w:sz w:val="4"/>
          <w:szCs w:val="4"/>
        </w:rPr>
      </w:r>
      <w:bookmarkStart w:id="300" w:name="Tc_YHJz8mnRv02zxMehwxSfxw_15_23"/>
      <w:bookmarkStart w:id="301" w:name="Tc_WxxUSuBqfEON4gr5X2Gp_g_15_20"/>
      <w:bookmarkStart w:id="302" w:name="Tc_wAmMaiGZnU-kT4aPVhswCg_15_15"/>
      <w:bookmarkStart w:id="303" w:name="Tc_taOYT6tcUkqHHRG1YWZkVQ_15_12"/>
      <w:bookmarkStart w:id="304" w:name="Tc_X8Hshsp96UeMXLZY17apsw_15_9"/>
      <w:bookmarkStart w:id="305" w:name="Tc_d-Hxau2PBUSUw6521jNMOA_15_4"/>
      <w:bookmarkStart w:id="306" w:name="Tc_lb2gKFmrK0Ov8SfHot8dIg_15_0"/>
      <w:bookmarkStart w:id="307" w:name="Tc_3fo4TojSfEWw-PcANM5kxg_13_21"/>
      <w:bookmarkStart w:id="308" w:name="Tc_A4ITr5bt-kOSfvgBlZjUkA_13_18"/>
      <w:bookmarkStart w:id="309" w:name="Tc_xjaIYl9T3060u8aP0xb4DA_13_16"/>
      <w:bookmarkStart w:id="310" w:name="Tc_bLHPpT3r5ECMOCd4i1MWzQ_13_10"/>
      <w:bookmarkStart w:id="311" w:name="Tc_LCjdikZ4SE21VryiJJWHkQ_13_7"/>
      <w:bookmarkStart w:id="312" w:name="Tc_I6t1XJi3y02HDQpSsEH4RQ_13_5"/>
      <w:bookmarkStart w:id="313" w:name="Tc_nx4RsTqTyEeiYyzoE3QFkg_13_2"/>
      <w:bookmarkStart w:id="314" w:name="Tc_wnYAkZ1yP0uoBCzfO2vscg_13_0"/>
      <w:bookmarkStart w:id="315" w:name="Tc_IP4CA7CQHUqTNMA2h-5kqw_12_16"/>
      <w:bookmarkStart w:id="316" w:name="Tc_4LDfGVkSCEmiZHjuKt2K-A_12_13"/>
      <w:bookmarkStart w:id="317" w:name="Tc_5RzV6B_IY0aVNU9W3Zf9MQ_12_10"/>
      <w:bookmarkStart w:id="318" w:name="Tc_Peo9kvqYPkSfVkNo9moNcw_12_7"/>
      <w:bookmarkStart w:id="319" w:name="Tc_JO2XiE6dykqqLqab6iH9rg_12_5"/>
      <w:bookmarkStart w:id="320" w:name="Tc_OTZJdNJQi0elj8yOEE3wLg_12_2"/>
      <w:bookmarkStart w:id="321" w:name="Tc_sh25DJkUVUu3lJzvNnSC5A_12_0"/>
      <w:bookmarkStart w:id="322" w:name="Tc_hwsK62Qg_k202VKqAT5y9g_11_21"/>
      <w:bookmarkStart w:id="323" w:name="Tc_5ktBM4kcYUazGkVs0rhWsA_11_18"/>
      <w:bookmarkStart w:id="324" w:name="Tc_CKDq2565z02FED0tWJgpdA_11_16"/>
      <w:bookmarkStart w:id="325" w:name="Tc_yJpp2cA0SkeT_ue3uDv_NQ_11_5"/>
      <w:bookmarkStart w:id="326" w:name="Tc_69Xsl67MkEGJ2kRMvNA4Vw_11_0"/>
      <w:bookmarkStart w:id="327" w:name="Tc_smseYLpjQEGebcqvjRP51w_10_24"/>
      <w:bookmarkStart w:id="328" w:name="Tc_I0aycf2XyEqOpGAfMi1KJg_10_21"/>
      <w:bookmarkStart w:id="329" w:name="Tc_Kj6wITK_6U-W-9kxzr19Zw_10_18"/>
      <w:bookmarkStart w:id="330" w:name="Tc_G6ks9BfEi0aki2naC9cOJA_10_16"/>
      <w:bookmarkStart w:id="331" w:name="Tc_E8Zxs-EJykCUhsw3_n1pTQ_10_13"/>
      <w:bookmarkStart w:id="332" w:name="Tc_sB94kGXZu0a1KHWFHqHB8A_10_10"/>
      <w:bookmarkStart w:id="333" w:name="Tc_qJl9BDBUDU6mfLqVQvJFrg_10_7"/>
      <w:bookmarkStart w:id="334" w:name="Tc_SZ04tXmhL0WZFxZuQUC1HA_10_5"/>
      <w:bookmarkStart w:id="335" w:name="Tc_5cWtGw3iDEyb0-xmBNKTWQ_10_2"/>
      <w:bookmarkStart w:id="336" w:name="Tc_U2r8VyZSdkWW9K1i21OL1w_10_0"/>
      <w:bookmarkStart w:id="337" w:name="Tc_-EhqtO82IUejL7q6gEvljQ_9_21"/>
      <w:bookmarkStart w:id="338" w:name="Tc_hN44f8uu0EecuzVa_1kC_w_9_18"/>
      <w:bookmarkStart w:id="339" w:name="Tc_9vq3jJ6BGEiyCPIAUm4PoQ_9_16"/>
      <w:bookmarkStart w:id="340" w:name="Tc_RKOGAlhgIkGuMcgL1LvwDw_9_10"/>
      <w:bookmarkStart w:id="341" w:name="Tc_wm6yAvjsMUGW0Kgo2o2zdg_9_7"/>
      <w:bookmarkStart w:id="342" w:name="Tc_EV8P9LRQq02W6qVL2QVl5g_9_0"/>
      <w:bookmarkStart w:id="343" w:name="Tc_byZLrOtn9U-f9svarNOT6g_8_21"/>
      <w:bookmarkStart w:id="344" w:name="Tc_4ry4jUcjbUe9XNWYe4CJvg_8_18"/>
      <w:bookmarkStart w:id="345" w:name="Tc_XGN9atMmQ0KZ3vhYX3rqew_8_16"/>
      <w:bookmarkStart w:id="346" w:name="Tc_5hxDbAip1kKIWu0MnmuHcg_8_5"/>
      <w:bookmarkStart w:id="347" w:name="Tc_GGsXiwfYNkK-lYCscdndGw_8_2"/>
      <w:bookmarkStart w:id="348" w:name="Tc_Jy92Ctn-1kimHoKpo1xNKw_8_0"/>
      <w:bookmarkStart w:id="349" w:name="Tc_afzMb5Cm_Ee-ggt1bDG30g_7_21"/>
      <w:bookmarkStart w:id="350" w:name="Tc_Ty56JRkAAEm28JB74c4Mxg_7_18"/>
      <w:bookmarkStart w:id="351" w:name="Tc_i125O7nKW0uM6IsTFlv6vw_7_16"/>
      <w:bookmarkStart w:id="352" w:name="Tc_p34QixNN_kGXRe7diNAgyg_7_0"/>
      <w:bookmarkStart w:id="353" w:name="Tc_qrBeimpqtU-w8fEFd_z4lA_6_21"/>
      <w:bookmarkStart w:id="354" w:name="Tc_q1nxudLYF0-61RJ6y-VLzw_6_18"/>
      <w:bookmarkStart w:id="355" w:name="Tc_o0_NzsHw_UaBFFUAhAsLww_6_13"/>
      <w:bookmarkStart w:id="356" w:name="Tc_Hj4z9ITB3karhPGPZtoB3Q_6_10"/>
      <w:bookmarkStart w:id="357" w:name="Tc_xvT7ahDQeUKV18QVzmMETg_6_7"/>
      <w:bookmarkStart w:id="358" w:name="Tc_NPAvHNtn506uhlxrbQbFfA_6_5"/>
      <w:bookmarkStart w:id="359" w:name="Tc_HEuUV3BeskKbheqO_NwUAg_6_2"/>
      <w:bookmarkStart w:id="360" w:name="Tc_jBIw3ODBFUy71EdjQoeQew_6_0"/>
      <w:bookmarkStart w:id="361" w:name="Tc_H372oimb5UG0-6BGNpa4Lw_4_23"/>
      <w:bookmarkStart w:id="362" w:name="Tc_57k5BqaAG0GkkORShkfk6A_4_20"/>
      <w:bookmarkStart w:id="363" w:name="Tc_nL9JS3tJEE6h1l0oqwUSGQ_4_15"/>
      <w:bookmarkStart w:id="364" w:name="Tc_xSkcBgyif02tGUsy3CYrcw_4_12"/>
      <w:bookmarkStart w:id="365" w:name="Tc_P-SUgTN-V0C77M6I8TulBQ_4_9"/>
      <w:bookmarkStart w:id="366" w:name="Tc_lEFVAt-YEUSqODCRJu9-Lg_4_4"/>
      <w:bookmarkStart w:id="367" w:name="Tc_3pc1RciXIkSYBomSk3RASg_4_0"/>
      <w:bookmarkStart w:id="368" w:name="Tc_KiDXyygZMkKBv_mA9YHc4g_3_23"/>
      <w:bookmarkStart w:id="369" w:name="Tc_UdwAFQQnlkW-jalY2osGbg_3_20"/>
      <w:bookmarkStart w:id="370" w:name="Tc_q51cf1F4CUO6TJEL2156GA_3_18"/>
      <w:bookmarkStart w:id="371" w:name="Tc_13YawVu9_kaiSB2aWZUBuw_3_15"/>
      <w:bookmarkStart w:id="372" w:name="Tc_ABJXs7bxYk-MUfLP_4KmNA_3_12"/>
      <w:bookmarkStart w:id="373" w:name="Tc_SRfMV9t4X0-zVjYf5V-XzA_3_9"/>
      <w:bookmarkStart w:id="374" w:name="Tc_ss-YQSCsSESfqDUgqN1jWA_3_7"/>
      <w:bookmarkStart w:id="375" w:name="Tc_Fo4IyS2bL0uXa8EndsNzsQ_3_4"/>
      <w:bookmarkStart w:id="376" w:name="Tc_oY0fV5nY-Uer0YlFNTb_nQ_3_2"/>
      <w:bookmarkStart w:id="377" w:name="Tc_lsHQxO4XDUesX8oMdrWBuQ_2_23"/>
      <w:bookmarkStart w:id="378" w:name="Tc_iBcTOuWRzECU0vCje6WFKQ_2_18"/>
      <w:bookmarkStart w:id="379" w:name="Tc_EVQtV4MqvkO8QEbx-ZijCQ_2_15"/>
      <w:bookmarkStart w:id="380" w:name="Tc_XdpCYfnJpk2eabLwAn6eUA_2_12"/>
      <w:bookmarkStart w:id="381" w:name="Tc_Xp5sd3utDUqWxi5TK6TO9g_2_7"/>
      <w:bookmarkStart w:id="382" w:name="Tc_9psXDYVwtEe3coTY8YvmcQ_2_2"/>
      <w:bookmarkStart w:id="383" w:name="Tc_v9sjIx6wCEuf4PRsWT_5_Q_1_23"/>
      <w:bookmarkStart w:id="384" w:name="Tc_X19qP7kPkk6xbPL37W7X2w_1_12"/>
      <w:bookmarkStart w:id="385" w:name="_3143e16d_edb7_4d8c_8f73_37f4ca29885f"/>
      <w:bookmarkStart w:id="386" w:name="Tc_YHJz8mnRv02zxMehwxSfxw_15_23"/>
      <w:bookmarkStart w:id="387" w:name="Tc_WxxUSuBqfEON4gr5X2Gp_g_15_20"/>
      <w:bookmarkStart w:id="388" w:name="Tc_wAmMaiGZnU-kT4aPVhswCg_15_15"/>
      <w:bookmarkStart w:id="389" w:name="Tc_taOYT6tcUkqHHRG1YWZkVQ_15_12"/>
      <w:bookmarkStart w:id="390" w:name="Tc_X8Hshsp96UeMXLZY17apsw_15_9"/>
      <w:bookmarkStart w:id="391" w:name="Tc_d-Hxau2PBUSUw6521jNMOA_15_4"/>
      <w:bookmarkStart w:id="392" w:name="Tc_lb2gKFmrK0Ov8SfHot8dIg_15_0"/>
      <w:bookmarkStart w:id="393" w:name="Tc_3fo4TojSfEWw-PcANM5kxg_13_21"/>
      <w:bookmarkStart w:id="394" w:name="Tc_A4ITr5bt-kOSfvgBlZjUkA_13_18"/>
      <w:bookmarkStart w:id="395" w:name="Tc_xjaIYl9T3060u8aP0xb4DA_13_16"/>
      <w:bookmarkStart w:id="396" w:name="Tc_bLHPpT3r5ECMOCd4i1MWzQ_13_10"/>
      <w:bookmarkStart w:id="397" w:name="Tc_LCjdikZ4SE21VryiJJWHkQ_13_7"/>
      <w:bookmarkStart w:id="398" w:name="Tc_I6t1XJi3y02HDQpSsEH4RQ_13_5"/>
      <w:bookmarkStart w:id="399" w:name="Tc_nx4RsTqTyEeiYyzoE3QFkg_13_2"/>
      <w:bookmarkStart w:id="400" w:name="Tc_wnYAkZ1yP0uoBCzfO2vscg_13_0"/>
      <w:bookmarkStart w:id="401" w:name="Tc_IP4CA7CQHUqTNMA2h-5kqw_12_16"/>
      <w:bookmarkStart w:id="402" w:name="Tc_4LDfGVkSCEmiZHjuKt2K-A_12_13"/>
      <w:bookmarkStart w:id="403" w:name="Tc_5RzV6B_IY0aVNU9W3Zf9MQ_12_10"/>
      <w:bookmarkStart w:id="404" w:name="Tc_Peo9kvqYPkSfVkNo9moNcw_12_7"/>
      <w:bookmarkStart w:id="405" w:name="Tc_JO2XiE6dykqqLqab6iH9rg_12_5"/>
      <w:bookmarkStart w:id="406" w:name="Tc_OTZJdNJQi0elj8yOEE3wLg_12_2"/>
      <w:bookmarkStart w:id="407" w:name="Tc_sh25DJkUVUu3lJzvNnSC5A_12_0"/>
      <w:bookmarkStart w:id="408" w:name="Tc_hwsK62Qg_k202VKqAT5y9g_11_21"/>
      <w:bookmarkStart w:id="409" w:name="Tc_5ktBM4kcYUazGkVs0rhWsA_11_18"/>
      <w:bookmarkStart w:id="410" w:name="Tc_CKDq2565z02FED0tWJgpdA_11_16"/>
      <w:bookmarkStart w:id="411" w:name="Tc_yJpp2cA0SkeT_ue3uDv_NQ_11_5"/>
      <w:bookmarkStart w:id="412" w:name="Tc_69Xsl67MkEGJ2kRMvNA4Vw_11_0"/>
      <w:bookmarkStart w:id="413" w:name="Tc_smseYLpjQEGebcqvjRP51w_10_24"/>
      <w:bookmarkStart w:id="414" w:name="Tc_I0aycf2XyEqOpGAfMi1KJg_10_21"/>
      <w:bookmarkStart w:id="415" w:name="Tc_Kj6wITK_6U-W-9kxzr19Zw_10_18"/>
      <w:bookmarkStart w:id="416" w:name="Tc_G6ks9BfEi0aki2naC9cOJA_10_16"/>
      <w:bookmarkStart w:id="417" w:name="Tc_E8Zxs-EJykCUhsw3_n1pTQ_10_13"/>
      <w:bookmarkStart w:id="418" w:name="Tc_sB94kGXZu0a1KHWFHqHB8A_10_10"/>
      <w:bookmarkStart w:id="419" w:name="Tc_qJl9BDBUDU6mfLqVQvJFrg_10_7"/>
      <w:bookmarkStart w:id="420" w:name="Tc_SZ04tXmhL0WZFxZuQUC1HA_10_5"/>
      <w:bookmarkStart w:id="421" w:name="Tc_5cWtGw3iDEyb0-xmBNKTWQ_10_2"/>
      <w:bookmarkStart w:id="422" w:name="Tc_U2r8VyZSdkWW9K1i21OL1w_10_0"/>
      <w:bookmarkStart w:id="423" w:name="Tc_-EhqtO82IUejL7q6gEvljQ_9_21"/>
      <w:bookmarkStart w:id="424" w:name="Tc_hN44f8uu0EecuzVa_1kC_w_9_18"/>
      <w:bookmarkStart w:id="425" w:name="Tc_9vq3jJ6BGEiyCPIAUm4PoQ_9_16"/>
      <w:bookmarkStart w:id="426" w:name="Tc_RKOGAlhgIkGuMcgL1LvwDw_9_10"/>
      <w:bookmarkStart w:id="427" w:name="Tc_wm6yAvjsMUGW0Kgo2o2zdg_9_7"/>
      <w:bookmarkStart w:id="428" w:name="Tc_EV8P9LRQq02W6qVL2QVl5g_9_0"/>
      <w:bookmarkStart w:id="429" w:name="Tc_byZLrOtn9U-f9svarNOT6g_8_21"/>
      <w:bookmarkStart w:id="430" w:name="Tc_4ry4jUcjbUe9XNWYe4CJvg_8_18"/>
      <w:bookmarkStart w:id="431" w:name="Tc_XGN9atMmQ0KZ3vhYX3rqew_8_16"/>
      <w:bookmarkStart w:id="432" w:name="Tc_5hxDbAip1kKIWu0MnmuHcg_8_5"/>
      <w:bookmarkStart w:id="433" w:name="Tc_GGsXiwfYNkK-lYCscdndGw_8_2"/>
      <w:bookmarkStart w:id="434" w:name="Tc_Jy92Ctn-1kimHoKpo1xNKw_8_0"/>
      <w:bookmarkStart w:id="435" w:name="Tc_afzMb5Cm_Ee-ggt1bDG30g_7_21"/>
      <w:bookmarkStart w:id="436" w:name="Tc_Ty56JRkAAEm28JB74c4Mxg_7_18"/>
      <w:bookmarkStart w:id="437" w:name="Tc_i125O7nKW0uM6IsTFlv6vw_7_16"/>
      <w:bookmarkStart w:id="438" w:name="Tc_p34QixNN_kGXRe7diNAgyg_7_0"/>
      <w:bookmarkStart w:id="439" w:name="Tc_qrBeimpqtU-w8fEFd_z4lA_6_21"/>
      <w:bookmarkStart w:id="440" w:name="Tc_q1nxudLYF0-61RJ6y-VLzw_6_18"/>
      <w:bookmarkStart w:id="441" w:name="Tc_o0_NzsHw_UaBFFUAhAsLww_6_13"/>
      <w:bookmarkStart w:id="442" w:name="Tc_Hj4z9ITB3karhPGPZtoB3Q_6_10"/>
      <w:bookmarkStart w:id="443" w:name="Tc_xvT7ahDQeUKV18QVzmMETg_6_7"/>
      <w:bookmarkStart w:id="444" w:name="Tc_NPAvHNtn506uhlxrbQbFfA_6_5"/>
      <w:bookmarkStart w:id="445" w:name="Tc_HEuUV3BeskKbheqO_NwUAg_6_2"/>
      <w:bookmarkStart w:id="446" w:name="Tc_jBIw3ODBFUy71EdjQoeQew_6_0"/>
      <w:bookmarkStart w:id="447" w:name="Tc_H372oimb5UG0-6BGNpa4Lw_4_23"/>
      <w:bookmarkStart w:id="448" w:name="Tc_57k5BqaAG0GkkORShkfk6A_4_20"/>
      <w:bookmarkStart w:id="449" w:name="Tc_nL9JS3tJEE6h1l0oqwUSGQ_4_15"/>
      <w:bookmarkStart w:id="450" w:name="Tc_xSkcBgyif02tGUsy3CYrcw_4_12"/>
      <w:bookmarkStart w:id="451" w:name="Tc_P-SUgTN-V0C77M6I8TulBQ_4_9"/>
      <w:bookmarkStart w:id="452" w:name="Tc_lEFVAt-YEUSqODCRJu9-Lg_4_4"/>
      <w:bookmarkStart w:id="453" w:name="Tc_3pc1RciXIkSYBomSk3RASg_4_0"/>
      <w:bookmarkStart w:id="454" w:name="Tc_KiDXyygZMkKBv_mA9YHc4g_3_23"/>
      <w:bookmarkStart w:id="455" w:name="Tc_UdwAFQQnlkW-jalY2osGbg_3_20"/>
      <w:bookmarkStart w:id="456" w:name="Tc_q51cf1F4CUO6TJEL2156GA_3_18"/>
      <w:bookmarkStart w:id="457" w:name="Tc_13YawVu9_kaiSB2aWZUBuw_3_15"/>
      <w:bookmarkStart w:id="458" w:name="Tc_ABJXs7bxYk-MUfLP_4KmNA_3_12"/>
      <w:bookmarkStart w:id="459" w:name="Tc_SRfMV9t4X0-zVjYf5V-XzA_3_9"/>
      <w:bookmarkStart w:id="460" w:name="Tc_ss-YQSCsSESfqDUgqN1jWA_3_7"/>
      <w:bookmarkStart w:id="461" w:name="Tc_Fo4IyS2bL0uXa8EndsNzsQ_3_4"/>
      <w:bookmarkStart w:id="462" w:name="Tc_oY0fV5nY-Uer0YlFNTb_nQ_3_2"/>
      <w:bookmarkStart w:id="463" w:name="Tc_lsHQxO4XDUesX8oMdrWBuQ_2_23"/>
      <w:bookmarkStart w:id="464" w:name="Tc_iBcTOuWRzECU0vCje6WFKQ_2_18"/>
      <w:bookmarkStart w:id="465" w:name="Tc_EVQtV4MqvkO8QEbx-ZijCQ_2_15"/>
      <w:bookmarkStart w:id="466" w:name="Tc_XdpCYfnJpk2eabLwAn6eUA_2_12"/>
      <w:bookmarkStart w:id="467" w:name="Tc_Xp5sd3utDUqWxi5TK6TO9g_2_7"/>
      <w:bookmarkStart w:id="468" w:name="Tc_9psXDYVwtEe3coTY8YvmcQ_2_2"/>
      <w:bookmarkStart w:id="469" w:name="Tc_v9sjIx6wCEuf4PRsWT_5_Q_1_23"/>
      <w:bookmarkStart w:id="470" w:name="Tc_X19qP7kPkk6xbPL37W7X2w_1_12"/>
      <w:bookmarkStart w:id="471" w:name="_3143e16d_edb7_4d8c_8f73_37f4ca29885f"/>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p>
    <w:tbl>
      <w:tblPr>
        <w:tblW w:w="11034" w:type="dxa"/>
        <w:jc w:val="left"/>
        <w:tblInd w:w="0" w:type="dxa"/>
        <w:tblCellMar>
          <w:top w:w="0" w:type="dxa"/>
          <w:left w:w="0" w:type="dxa"/>
          <w:bottom w:w="0" w:type="dxa"/>
          <w:right w:w="0" w:type="dxa"/>
        </w:tblCellMar>
      </w:tblPr>
      <w:tblGrid>
        <w:gridCol w:w="931"/>
        <w:gridCol w:w="326"/>
        <w:gridCol w:w="511"/>
        <w:gridCol w:w="326"/>
        <w:gridCol w:w="196"/>
        <w:gridCol w:w="375"/>
        <w:gridCol w:w="326"/>
        <w:gridCol w:w="766"/>
        <w:gridCol w:w="326"/>
        <w:gridCol w:w="181"/>
        <w:gridCol w:w="511"/>
        <w:gridCol w:w="326"/>
        <w:gridCol w:w="181"/>
        <w:gridCol w:w="841"/>
        <w:gridCol w:w="326"/>
        <w:gridCol w:w="181"/>
        <w:gridCol w:w="811"/>
        <w:gridCol w:w="326"/>
        <w:gridCol w:w="586"/>
        <w:gridCol w:w="326"/>
        <w:gridCol w:w="181"/>
        <w:gridCol w:w="736"/>
        <w:gridCol w:w="326"/>
        <w:gridCol w:w="181"/>
        <w:gridCol w:w="931"/>
      </w:tblGrid>
      <w:tr>
        <w:trPr/>
        <w:tc>
          <w:tcPr>
            <w:tcW w:w="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37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8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rPr/>
            </w:pPr>
            <w:r>
              <w:rPr/>
              <w:t>​</w:t>
            </w:r>
          </w:p>
        </w:tc>
      </w:tr>
      <w:tr>
        <w:trPr/>
        <w:tc>
          <w:tcPr>
            <w:tcW w:w="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96" w:type="dxa"/>
            <w:tcBorders/>
            <w:shd w:fill="auto" w:val="clear"/>
            <w:vAlign w:val="center"/>
          </w:tcPr>
          <w:p>
            <w:pPr>
              <w:pStyle w:val="TableContents"/>
              <w:spacing w:before="0" w:after="0"/>
              <w:ind w:left="0" w:right="0" w:hanging="0"/>
              <w:rPr/>
            </w:pPr>
            <w:r>
              <w:rPr/>
              <w:t>​</w:t>
            </w:r>
          </w:p>
        </w:tc>
        <w:tc>
          <w:tcPr>
            <w:tcW w:w="375"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81"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2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26" w:type="dxa"/>
            <w:tcBorders/>
            <w:shd w:fill="auto" w:val="clear"/>
            <w:vAlign w:val="center"/>
          </w:tcPr>
          <w:p>
            <w:pPr>
              <w:pStyle w:val="TableContents"/>
              <w:spacing w:before="0" w:after="0"/>
              <w:ind w:left="0" w:right="0" w:hanging="0"/>
              <w:jc w:val="center"/>
              <w:rPr/>
            </w:pPr>
            <w:r>
              <w:rPr/>
              <w:t>​</w:t>
            </w:r>
          </w:p>
        </w:tc>
        <w:tc>
          <w:tcPr>
            <w:tcW w:w="181" w:type="dxa"/>
            <w:tcBorders/>
            <w:shd w:fill="auto" w:val="clear"/>
            <w:vAlign w:val="center"/>
          </w:tcPr>
          <w:p>
            <w:pPr>
              <w:pStyle w:val="TableContents"/>
              <w:spacing w:before="0" w:after="0"/>
              <w:ind w:left="0" w:right="0" w:hanging="0"/>
              <w:rPr/>
            </w:pPr>
            <w:r>
              <w:rPr/>
              <w:t>​</w:t>
            </w:r>
          </w:p>
        </w:tc>
        <w:tc>
          <w:tcPr>
            <w:tcW w:w="8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8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81"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1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408"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Preferred Stock</w:t>
            </w:r>
          </w:p>
        </w:tc>
        <w:tc>
          <w:tcPr>
            <w:tcW w:w="326" w:type="dxa"/>
            <w:tcBorders/>
            <w:shd w:fill="auto" w:val="clear"/>
            <w:vAlign w:val="center"/>
          </w:tcPr>
          <w:p>
            <w:pPr>
              <w:pStyle w:val="TableContents"/>
              <w:spacing w:before="0" w:after="0"/>
              <w:ind w:left="0" w:right="0" w:hanging="0"/>
              <w:jc w:val="center"/>
              <w:rPr/>
            </w:pPr>
            <w:r>
              <w:rPr/>
              <w:t>​</w:t>
            </w:r>
          </w:p>
        </w:tc>
        <w:tc>
          <w:tcPr>
            <w:tcW w:w="1784"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26" w:type="dxa"/>
            <w:tcBorders/>
            <w:shd w:fill="auto" w:val="clear"/>
            <w:vAlign w:val="center"/>
          </w:tcPr>
          <w:p>
            <w:pPr>
              <w:pStyle w:val="TableContents"/>
              <w:spacing w:before="0" w:after="0"/>
              <w:ind w:left="0" w:right="0" w:hanging="0"/>
              <w:jc w:val="center"/>
              <w:rPr/>
            </w:pPr>
            <w:r>
              <w:rPr/>
              <w:t>​</w:t>
            </w:r>
          </w:p>
        </w:tc>
        <w:tc>
          <w:tcPr>
            <w:tcW w:w="102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Paid in</w:t>
            </w:r>
          </w:p>
        </w:tc>
        <w:tc>
          <w:tcPr>
            <w:tcW w:w="326" w:type="dxa"/>
            <w:tcBorders/>
            <w:shd w:fill="auto" w:val="clear"/>
            <w:vAlign w:val="center"/>
          </w:tcPr>
          <w:p>
            <w:pPr>
              <w:pStyle w:val="TableContents"/>
              <w:spacing w:before="0" w:after="0"/>
              <w:ind w:left="0" w:right="0" w:hanging="0"/>
              <w:jc w:val="center"/>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shd w:fill="auto" w:val="clear"/>
            <w:vAlign w:val="center"/>
          </w:tcPr>
          <w:p>
            <w:pPr>
              <w:pStyle w:val="TableContents"/>
              <w:spacing w:before="0" w:after="0"/>
              <w:ind w:left="0" w:right="0" w:hanging="0"/>
              <w:jc w:val="center"/>
              <w:rPr/>
            </w:pPr>
            <w:r>
              <w:rPr/>
              <w:t>​</w:t>
            </w:r>
          </w:p>
        </w:tc>
        <w:tc>
          <w:tcPr>
            <w:tcW w:w="1829"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Treasury Stock</w:t>
            </w:r>
          </w:p>
        </w:tc>
        <w:tc>
          <w:tcPr>
            <w:tcW w:w="326" w:type="dxa"/>
            <w:tcBorders/>
            <w:shd w:fill="auto" w:val="clear"/>
            <w:vAlign w:val="center"/>
          </w:tcPr>
          <w:p>
            <w:pPr>
              <w:pStyle w:val="TableContents"/>
              <w:spacing w:before="0" w:after="0"/>
              <w:ind w:left="0" w:right="0" w:hanging="0"/>
              <w:jc w:val="center"/>
              <w:rPr/>
            </w:pPr>
            <w:r>
              <w:rPr/>
              <w:t>​</w:t>
            </w:r>
          </w:p>
        </w:tc>
        <w:tc>
          <w:tcPr>
            <w:tcW w:w="111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Stockholders’</w:t>
            </w:r>
          </w:p>
        </w:tc>
      </w:tr>
      <w:tr>
        <w:trPr/>
        <w:tc>
          <w:tcPr>
            <w:tcW w:w="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51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shd w:fill="auto" w:val="clear"/>
            <w:vAlign w:val="center"/>
          </w:tcPr>
          <w:p>
            <w:pPr>
              <w:pStyle w:val="TableContents"/>
              <w:spacing w:before="0" w:after="0"/>
              <w:ind w:left="0" w:right="0" w:hanging="0"/>
              <w:rPr/>
            </w:pPr>
            <w:r>
              <w:rPr/>
              <w:t>    </w:t>
            </w:r>
          </w:p>
        </w:tc>
        <w:tc>
          <w:tcPr>
            <w:tcW w:w="57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shd w:fill="auto" w:val="clear"/>
            <w:vAlign w:val="center"/>
          </w:tcPr>
          <w:p>
            <w:pPr>
              <w:pStyle w:val="TableContents"/>
              <w:spacing w:before="0" w:after="0"/>
              <w:ind w:left="0" w:right="0" w:hanging="0"/>
              <w:rPr/>
            </w:pPr>
            <w:r>
              <w:rPr/>
              <w:t>    </w:t>
            </w:r>
          </w:p>
        </w:tc>
        <w:tc>
          <w:tcPr>
            <w:tcW w:w="76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shd w:fill="auto" w:val="clear"/>
            <w:vAlign w:val="center"/>
          </w:tcPr>
          <w:p>
            <w:pPr>
              <w:pStyle w:val="TableContents"/>
              <w:spacing w:before="0" w:after="0"/>
              <w:ind w:left="0" w:right="0" w:hanging="0"/>
              <w:rPr/>
            </w:pPr>
            <w:r>
              <w:rPr/>
              <w:t>    </w:t>
            </w:r>
          </w:p>
        </w:tc>
        <w:tc>
          <w:tcPr>
            <w:tcW w:w="6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shd w:fill="auto" w:val="clear"/>
            <w:vAlign w:val="center"/>
          </w:tcPr>
          <w:p>
            <w:pPr>
              <w:pStyle w:val="TableContents"/>
              <w:spacing w:before="0" w:after="0"/>
              <w:ind w:left="0" w:right="0" w:hanging="0"/>
              <w:rPr/>
            </w:pPr>
            <w:r>
              <w:rPr/>
              <w:t>    </w:t>
            </w:r>
          </w:p>
        </w:tc>
        <w:tc>
          <w:tcPr>
            <w:tcW w:w="102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326" w:type="dxa"/>
            <w:tcBorders/>
            <w:shd w:fill="auto" w:val="clear"/>
            <w:vAlign w:val="center"/>
          </w:tcPr>
          <w:p>
            <w:pPr>
              <w:pStyle w:val="TableContents"/>
              <w:spacing w:before="0" w:after="0"/>
              <w:ind w:left="0" w:right="0" w:hanging="0"/>
              <w:rPr/>
            </w:pPr>
            <w:r>
              <w:rPr/>
              <w:t>    </w:t>
            </w:r>
          </w:p>
        </w:tc>
        <w:tc>
          <w:tcPr>
            <w:tcW w:w="5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shd w:fill="auto" w:val="clear"/>
            <w:vAlign w:val="center"/>
          </w:tcPr>
          <w:p>
            <w:pPr>
              <w:pStyle w:val="TableContents"/>
              <w:spacing w:before="0" w:after="0"/>
              <w:ind w:left="0" w:right="0" w:hanging="0"/>
              <w:rPr/>
            </w:pPr>
            <w:r>
              <w:rPr/>
              <w:t>    </w:t>
            </w:r>
          </w:p>
        </w:tc>
        <w:tc>
          <w:tcPr>
            <w:tcW w:w="91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Cost</w:t>
            </w:r>
          </w:p>
        </w:tc>
        <w:tc>
          <w:tcPr>
            <w:tcW w:w="326" w:type="dxa"/>
            <w:tcBorders/>
            <w:shd w:fill="auto" w:val="clear"/>
            <w:vAlign w:val="center"/>
          </w:tcPr>
          <w:p>
            <w:pPr>
              <w:pStyle w:val="TableContents"/>
              <w:spacing w:before="0" w:after="0"/>
              <w:ind w:left="0" w:right="0" w:hanging="0"/>
              <w:rPr/>
            </w:pPr>
            <w:r>
              <w:rPr/>
              <w:t>    </w:t>
            </w:r>
          </w:p>
        </w:tc>
        <w:tc>
          <w:tcPr>
            <w:tcW w:w="111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93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Balance, December 31, 2020</w:t>
            </w:r>
          </w:p>
        </w:tc>
        <w:tc>
          <w:tcPr>
            <w:tcW w:w="326" w:type="dxa"/>
            <w:tcBorders/>
            <w:shd w:fill="CCEEFF" w:val="clear"/>
            <w:vAlign w:val="center"/>
          </w:tcPr>
          <w:p>
            <w:pPr>
              <w:pStyle w:val="TableContents"/>
              <w:spacing w:before="0" w:after="0"/>
              <w:ind w:left="0" w:right="0" w:hanging="0"/>
              <w:rPr/>
            </w:pPr>
            <w:r>
              <w:rPr/>
              <w:t>​</w:t>
            </w:r>
          </w:p>
        </w:tc>
        <w:tc>
          <w:tcPr>
            <w:tcW w:w="51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19,716</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20</w:t>
            </w:r>
          </w:p>
        </w:tc>
        <w:tc>
          <w:tcPr>
            <w:tcW w:w="326" w:type="dxa"/>
            <w:tcBorders/>
            <w:shd w:fill="CCEEFF" w:val="clear"/>
            <w:vAlign w:val="center"/>
          </w:tcPr>
          <w:p>
            <w:pPr>
              <w:pStyle w:val="TableContents"/>
              <w:spacing w:before="0" w:after="0"/>
              <w:ind w:left="0" w:right="0" w:hanging="0"/>
              <w:rPr/>
            </w:pPr>
            <w:r>
              <w:rPr/>
              <w:t>​</w:t>
            </w:r>
          </w:p>
        </w:tc>
        <w:tc>
          <w:tcPr>
            <w:tcW w:w="76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42,601,773</w:t>
            </w:r>
          </w:p>
        </w:tc>
        <w:tc>
          <w:tcPr>
            <w:tcW w:w="326" w:type="dxa"/>
            <w:tcBorders/>
            <w:shd w:fill="CCEEFF" w:val="clear"/>
            <w:vAlign w:val="center"/>
          </w:tcPr>
          <w:p>
            <w:pPr>
              <w:pStyle w:val="TableContents"/>
              <w:spacing w:before="0" w:after="0"/>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42,602</w:t>
            </w:r>
          </w:p>
        </w:tc>
        <w:tc>
          <w:tcPr>
            <w:tcW w:w="326" w:type="dxa"/>
            <w:tcBorders/>
            <w:shd w:fill="CCEEFF" w:val="clear"/>
            <w:vAlign w:val="center"/>
          </w:tcPr>
          <w:p>
            <w:pPr>
              <w:pStyle w:val="TableContents"/>
              <w:spacing w:before="0" w:after="0"/>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84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85,357,835</w:t>
            </w:r>
          </w:p>
        </w:tc>
        <w:tc>
          <w:tcPr>
            <w:tcW w:w="326" w:type="dxa"/>
            <w:tcBorders/>
            <w:shd w:fill="CCEEFF" w:val="clear"/>
            <w:vAlign w:val="center"/>
          </w:tcPr>
          <w:p>
            <w:pPr>
              <w:pStyle w:val="TableContents"/>
              <w:spacing w:before="0" w:after="0"/>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81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(42,293,098)</w:t>
            </w:r>
          </w:p>
        </w:tc>
        <w:tc>
          <w:tcPr>
            <w:tcW w:w="326" w:type="dxa"/>
            <w:tcBorders/>
            <w:shd w:fill="CCEEFF" w:val="clear"/>
            <w:vAlign w:val="center"/>
          </w:tcPr>
          <w:p>
            <w:pPr>
              <w:pStyle w:val="TableContents"/>
              <w:spacing w:before="0" w:after="0"/>
              <w:ind w:left="0" w:right="0" w:hanging="0"/>
              <w:rPr/>
            </w:pPr>
            <w:r>
              <w:rPr/>
              <w:t>​</w:t>
            </w:r>
          </w:p>
        </w:tc>
        <w:tc>
          <w:tcPr>
            <w:tcW w:w="58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432,732</w:t>
            </w:r>
          </w:p>
        </w:tc>
        <w:tc>
          <w:tcPr>
            <w:tcW w:w="326" w:type="dxa"/>
            <w:tcBorders/>
            <w:shd w:fill="CCEEFF" w:val="clear"/>
            <w:vAlign w:val="center"/>
          </w:tcPr>
          <w:p>
            <w:pPr>
              <w:pStyle w:val="TableContents"/>
              <w:spacing w:before="0" w:after="0"/>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7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(1,332,500)</w:t>
            </w:r>
          </w:p>
        </w:tc>
        <w:tc>
          <w:tcPr>
            <w:tcW w:w="326" w:type="dxa"/>
            <w:tcBorders/>
            <w:shd w:fill="CCEEFF" w:val="clear"/>
            <w:vAlign w:val="center"/>
          </w:tcPr>
          <w:p>
            <w:pPr>
              <w:pStyle w:val="TableContents"/>
              <w:spacing w:before="0" w:after="0"/>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41,774,859</w:t>
            </w:r>
          </w:p>
        </w:tc>
      </w:tr>
      <w:tr>
        <w:trPr/>
        <w:tc>
          <w:tcPr>
            <w:tcW w:w="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37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8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rPr/>
            </w:pPr>
            <w:r>
              <w:rPr/>
              <w:t>​</w:t>
            </w:r>
          </w:p>
        </w:tc>
      </w:tr>
      <w:tr>
        <w:trPr/>
        <w:tc>
          <w:tcPr>
            <w:tcW w:w="93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Net income (loss)</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37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76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14,519,130</w:t>
            </w:r>
          </w:p>
        </w:tc>
        <w:tc>
          <w:tcPr>
            <w:tcW w:w="326"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7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14,519,130</w:t>
            </w:r>
          </w:p>
        </w:tc>
      </w:tr>
      <w:tr>
        <w:trPr/>
        <w:tc>
          <w:tcPr>
            <w:tcW w:w="931"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Issuance of stock as payment for acquisitions</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20,240</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37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20</w:t>
            </w:r>
          </w:p>
        </w:tc>
        <w:tc>
          <w:tcPr>
            <w:tcW w:w="326" w:type="dxa"/>
            <w:tcBorders/>
            <w:shd w:fill="auto" w:val="clear"/>
            <w:vAlign w:val="center"/>
          </w:tcPr>
          <w:p>
            <w:pPr>
              <w:pStyle w:val="TableContents"/>
              <w:spacing w:before="0" w:after="0"/>
              <w:ind w:left="0" w:right="0" w:hanging="0"/>
              <w:rPr/>
            </w:pPr>
            <w:r>
              <w:rPr/>
              <w:t> </w:t>
            </w:r>
          </w:p>
        </w:tc>
        <w:tc>
          <w:tcPr>
            <w:tcW w:w="76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2,313,994</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2,314</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22,741,669</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81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22,744,003</w:t>
            </w:r>
          </w:p>
        </w:tc>
      </w:tr>
      <w:tr>
        <w:trPr/>
        <w:tc>
          <w:tcPr>
            <w:tcW w:w="93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Issuance of common stock as compensation to employees, officers and/or directors</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37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76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323,530</w:t>
            </w:r>
          </w:p>
        </w:tc>
        <w:tc>
          <w:tcPr>
            <w:tcW w:w="326" w:type="dxa"/>
            <w:tcBorders/>
            <w:shd w:fill="CCEEFF" w:val="clear"/>
            <w:vAlign w:val="center"/>
          </w:tcPr>
          <w:p>
            <w:pPr>
              <w:pStyle w:val="TableContents"/>
              <w:spacing w:before="0" w:after="0"/>
              <w:ind w:left="0" w:right="0" w:hanging="0"/>
              <w:jc w:val="right"/>
              <w:rPr/>
            </w:pPr>
            <w:r>
              <w:rPr/>
              <w:t>​</w:t>
            </w:r>
          </w:p>
        </w:tc>
        <w:tc>
          <w:tcPr>
            <w:tcW w:w="181"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324</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620,948</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81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7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621,272</w:t>
            </w:r>
          </w:p>
        </w:tc>
      </w:tr>
      <w:tr>
        <w:trPr/>
        <w:tc>
          <w:tcPr>
            <w:tcW w:w="931"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Issuance of preferred stock in connection with sales made under private or public offerings</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47,310</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375"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47</w:t>
            </w:r>
          </w:p>
        </w:tc>
        <w:tc>
          <w:tcPr>
            <w:tcW w:w="326" w:type="dxa"/>
            <w:tcBorders/>
            <w:shd w:fill="auto" w:val="clear"/>
            <w:vAlign w:val="center"/>
          </w:tcPr>
          <w:p>
            <w:pPr>
              <w:pStyle w:val="TableContents"/>
              <w:spacing w:before="0" w:after="0"/>
              <w:ind w:left="0" w:right="0" w:hanging="0"/>
              <w:rPr/>
            </w:pPr>
            <w:r>
              <w:rPr/>
              <w:t> </w:t>
            </w:r>
          </w:p>
        </w:tc>
        <w:tc>
          <w:tcPr>
            <w:tcW w:w="76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49,688,553</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81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49,688,600</w:t>
            </w:r>
          </w:p>
        </w:tc>
      </w:tr>
      <w:tr>
        <w:trPr/>
        <w:tc>
          <w:tcPr>
            <w:tcW w:w="93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Dividends declared</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37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76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81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7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w:t>
            </w:r>
          </w:p>
        </w:tc>
      </w:tr>
      <w:tr>
        <w:trPr/>
        <w:tc>
          <w:tcPr>
            <w:tcW w:w="931"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Conversion of preferred stock to common stock</w: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(272)</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37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245,017</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245</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271,754</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81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271,999</w:t>
            </w:r>
          </w:p>
        </w:tc>
      </w:tr>
      <w:tr>
        <w:trPr/>
        <w:tc>
          <w:tcPr>
            <w:tcW w:w="93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Return of common stock</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375"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76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81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84,312</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(184,536)</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(184,536)</w:t>
            </w:r>
          </w:p>
        </w:tc>
      </w:tr>
      <w:tr>
        <w:trPr/>
        <w:tc>
          <w:tcPr>
            <w:tcW w:w="931"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Stock based compensation expense related to common stock options</w:t>
            </w:r>
          </w:p>
        </w:tc>
        <w:tc>
          <w:tcPr>
            <w:tcW w:w="326" w:type="dxa"/>
            <w:tcBorders/>
            <w:shd w:fill="auto" w:val="clear"/>
            <w:vAlign w:val="center"/>
          </w:tcPr>
          <w:p>
            <w:pPr>
              <w:pStyle w:val="TableContents"/>
              <w:spacing w:before="0" w:after="0"/>
              <w:ind w:left="0" w:right="0" w:hanging="0"/>
              <w:rPr/>
            </w:pPr>
            <w:r>
              <w:rPr/>
              <w:t> </w:t>
            </w:r>
          </w:p>
        </w:tc>
        <w:tc>
          <w:tcPr>
            <w:tcW w:w="5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375"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76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5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4,134,338</w:t>
            </w:r>
          </w:p>
        </w:tc>
        <w:tc>
          <w:tcPr>
            <w:tcW w:w="326" w:type="dxa"/>
            <w:tcBorders/>
            <w:shd w:fill="auto" w:val="clear"/>
            <w:vAlign w:val="center"/>
          </w:tcPr>
          <w:p>
            <w:pPr>
              <w:pStyle w:val="TableContents"/>
              <w:spacing w:before="0" w:after="0"/>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8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3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4,134,338</w:t>
            </w:r>
          </w:p>
        </w:tc>
      </w:tr>
      <w:tr>
        <w:trPr/>
        <w:tc>
          <w:tcPr>
            <w:tcW w:w="93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51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375"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76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51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81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73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rPr/>
            </w:pPr>
            <w:r>
              <w:rPr/>
              <w:t>​</w:t>
            </w:r>
          </w:p>
        </w:tc>
      </w:tr>
      <w:tr>
        <w:trPr/>
        <w:tc>
          <w:tcPr>
            <w:tcW w:w="931"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Balance, December 31, 2021</w:t>
            </w:r>
          </w:p>
        </w:tc>
        <w:tc>
          <w:tcPr>
            <w:tcW w:w="326" w:type="dxa"/>
            <w:tcBorders/>
            <w:shd w:fill="auto" w:val="clear"/>
            <w:vAlign w:val="center"/>
          </w:tcPr>
          <w:p>
            <w:pPr>
              <w:pStyle w:val="TableContents"/>
              <w:spacing w:before="0" w:after="0"/>
              <w:ind w:left="0" w:right="0" w:hanging="0"/>
              <w:rPr/>
            </w:pPr>
            <w:r>
              <w:rPr/>
              <w:t> </w:t>
            </w:r>
          </w:p>
        </w:tc>
        <w:tc>
          <w:tcPr>
            <w:tcW w:w="51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86,994</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87</w:t>
            </w:r>
          </w:p>
        </w:tc>
        <w:tc>
          <w:tcPr>
            <w:tcW w:w="326" w:type="dxa"/>
            <w:tcBorders/>
            <w:shd w:fill="auto" w:val="clear"/>
            <w:vAlign w:val="center"/>
          </w:tcPr>
          <w:p>
            <w:pPr>
              <w:pStyle w:val="TableContents"/>
              <w:spacing w:before="0" w:after="0"/>
              <w:ind w:left="0" w:right="0" w:hanging="0"/>
              <w:rPr/>
            </w:pPr>
            <w:r>
              <w:rPr/>
              <w:t> </w:t>
            </w:r>
          </w:p>
        </w:tc>
        <w:tc>
          <w:tcPr>
            <w:tcW w:w="76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45,484,314</w:t>
            </w:r>
          </w:p>
        </w:tc>
        <w:tc>
          <w:tcPr>
            <w:tcW w:w="326" w:type="dxa"/>
            <w:tcBorders/>
            <w:shd w:fill="auto" w:val="clear"/>
            <w:vAlign w:val="center"/>
          </w:tcPr>
          <w:p>
            <w:pPr>
              <w:pStyle w:val="TableContents"/>
              <w:spacing w:before="0" w:after="0"/>
              <w:ind w:left="0" w:right="0" w:hanging="0"/>
              <w:rPr/>
            </w:pPr>
            <w:r>
              <w:rPr/>
              <w:t>​</w:t>
            </w:r>
          </w:p>
        </w:tc>
        <w:tc>
          <w:tcPr>
            <w:tcW w:w="18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45,485</w:t>
            </w:r>
          </w:p>
        </w:tc>
        <w:tc>
          <w:tcPr>
            <w:tcW w:w="326" w:type="dxa"/>
            <w:tcBorders/>
            <w:shd w:fill="auto" w:val="clear"/>
            <w:vAlign w:val="center"/>
          </w:tcPr>
          <w:p>
            <w:pPr>
              <w:pStyle w:val="TableContents"/>
              <w:spacing w:before="0" w:after="0"/>
              <w:ind w:left="0" w:right="0" w:hanging="0"/>
              <w:rPr/>
            </w:pPr>
            <w:r>
              <w:rPr/>
              <w:t>​</w:t>
            </w:r>
          </w:p>
        </w:tc>
        <w:tc>
          <w:tcPr>
            <w:tcW w:w="18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84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162,815,097</w:t>
            </w:r>
          </w:p>
        </w:tc>
        <w:tc>
          <w:tcPr>
            <w:tcW w:w="326" w:type="dxa"/>
            <w:tcBorders/>
            <w:shd w:fill="auto" w:val="clear"/>
            <w:vAlign w:val="center"/>
          </w:tcPr>
          <w:p>
            <w:pPr>
              <w:pStyle w:val="TableContents"/>
              <w:spacing w:before="0" w:after="0"/>
              <w:ind w:left="0" w:right="0" w:hanging="0"/>
              <w:rPr/>
            </w:pPr>
            <w:r>
              <w:rPr/>
              <w:t>​</w:t>
            </w:r>
          </w:p>
        </w:tc>
        <w:tc>
          <w:tcPr>
            <w:tcW w:w="18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81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(27,773,968)</w:t>
            </w:r>
          </w:p>
        </w:tc>
        <w:tc>
          <w:tcPr>
            <w:tcW w:w="326" w:type="dxa"/>
            <w:tcBorders/>
            <w:shd w:fill="auto" w:val="clear"/>
            <w:vAlign w:val="center"/>
          </w:tcPr>
          <w:p>
            <w:pPr>
              <w:pStyle w:val="TableContents"/>
              <w:spacing w:before="0" w:after="0"/>
              <w:ind w:left="0" w:right="0" w:hanging="0"/>
              <w:rPr/>
            </w:pPr>
            <w:r>
              <w:rPr/>
              <w:t> </w:t>
            </w:r>
          </w:p>
        </w:tc>
        <w:tc>
          <w:tcPr>
            <w:tcW w:w="58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517,044</w:t>
            </w:r>
          </w:p>
        </w:tc>
        <w:tc>
          <w:tcPr>
            <w:tcW w:w="326" w:type="dxa"/>
            <w:tcBorders/>
            <w:shd w:fill="auto" w:val="clear"/>
            <w:vAlign w:val="center"/>
          </w:tcPr>
          <w:p>
            <w:pPr>
              <w:pStyle w:val="TableContents"/>
              <w:spacing w:before="0" w:after="0"/>
              <w:ind w:left="0" w:right="0" w:hanging="0"/>
              <w:rPr/>
            </w:pPr>
            <w:r>
              <w:rPr/>
              <w:t>​</w:t>
            </w:r>
          </w:p>
        </w:tc>
        <w:tc>
          <w:tcPr>
            <w:tcW w:w="18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7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(1,517,036)</w:t>
            </w:r>
          </w:p>
        </w:tc>
        <w:tc>
          <w:tcPr>
            <w:tcW w:w="326" w:type="dxa"/>
            <w:tcBorders/>
            <w:shd w:fill="auto" w:val="clear"/>
            <w:vAlign w:val="center"/>
          </w:tcPr>
          <w:p>
            <w:pPr>
              <w:pStyle w:val="TableContents"/>
              <w:spacing w:before="0" w:after="0"/>
              <w:ind w:left="0" w:right="0" w:hanging="0"/>
              <w:rPr/>
            </w:pPr>
            <w:r>
              <w:rPr/>
              <w:t>​</w:t>
            </w:r>
          </w:p>
        </w:tc>
        <w:tc>
          <w:tcPr>
            <w:tcW w:w="18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45" w:hanging="0"/>
              <w:jc w:val="right"/>
              <w:rPr>
                <w:rFonts w:ascii="Times New Roman;Times;serif" w:hAnsi="Times New Roman;Times;serif"/>
                <w:sz w:val="14"/>
              </w:rPr>
            </w:pPr>
            <w:r>
              <w:rPr>
                <w:rFonts w:ascii="Times New Roman;Times;serif" w:hAnsi="Times New Roman;Times;serif"/>
                <w:sz w:val="14"/>
              </w:rPr>
              <w:t>133,569,665</w:t>
            </w:r>
          </w:p>
        </w:tc>
      </w:tr>
    </w:tbl>
    <w:p>
      <w:pPr>
        <w:pStyle w:val="TextBody"/>
        <w:spacing w:before="0" w:after="0"/>
        <w:ind w:left="0" w:right="0" w:hanging="0"/>
        <w:rPr/>
      </w:pPr>
      <w:r>
        <w:rPr/>
        <w:t>​</w:t>
      </w:r>
    </w:p>
    <w:p>
      <w:pPr>
        <w:pStyle w:val="Normal"/>
        <w:spacing w:before="0" w:after="0"/>
        <w:rPr>
          <w:sz w:val="4"/>
          <w:szCs w:val="4"/>
        </w:rPr>
      </w:pPr>
      <w:r>
        <w:rPr>
          <w:sz w:val="4"/>
          <w:szCs w:val="4"/>
        </w:rPr>
      </w:r>
      <w:bookmarkStart w:id="472" w:name="Tc_FGCp9XUhIUOqByTgBP19ag_12_22"/>
      <w:bookmarkStart w:id="473" w:name="Tc_nCBY7xu0T0i-bmFHXNpKUw_12_19"/>
      <w:bookmarkStart w:id="474" w:name="Tc_DRmpPQHI3U-8_YyWgOXgqQ_12_14"/>
      <w:bookmarkStart w:id="475" w:name="Tc_Qy3Bcyst_UaFh-jjlESJBw_12_9"/>
      <w:bookmarkStart w:id="476" w:name="Tc_IIFf0VLCf0ClrJtR9w1tbQ_12_4"/>
      <w:bookmarkStart w:id="477" w:name="Tc_ErCRkT1ZF0azG5js4Y-LZQ_12_0"/>
      <w:bookmarkStart w:id="478" w:name="Tc_BPLuRQb5t0a56Dz9qVTSZg_10_20"/>
      <w:bookmarkStart w:id="479" w:name="Tc_78Crk3Oizk-veHVP357pQw_10_17"/>
      <w:bookmarkStart w:id="480" w:name="Tc_b6VIjM70FEG-OzLu-DLJ5w_10_15"/>
      <w:bookmarkStart w:id="481" w:name="Tc_D1D1hoPYwUO2F3P2lvlbrg_10_5"/>
      <w:bookmarkStart w:id="482" w:name="Tc_0ANmuUVhVky6vLhD7A7Cpw_10_2"/>
      <w:bookmarkStart w:id="483" w:name="Tc_tvL3cVFXa0WmklVxS2LwZQ_10_0"/>
      <w:bookmarkStart w:id="484" w:name="Tc_xeAbt5e9mkCo8kZL-8E2Tg_9_15"/>
      <w:bookmarkStart w:id="485" w:name="Tc_oI_Fhqb5uUyUAI3nbCMyaw_9_12"/>
      <w:bookmarkStart w:id="486" w:name="Tc_zb8eVKnmdUSsc0-WnNbXlA_9_10"/>
      <w:bookmarkStart w:id="487" w:name="Tc_OvAJtDuqtUC1rMdvbkKsFQ_9_7"/>
      <w:bookmarkStart w:id="488" w:name="Tc_l4DK02hNg0mjxgqbb3D8-g_9_5"/>
      <w:bookmarkStart w:id="489" w:name="Tc_n8EOVBy3QkuwLa_Lcr3X0g_9_2"/>
      <w:bookmarkStart w:id="490" w:name="Tc_vtyCOHrGKEScubW6m6E5sg_9_0"/>
      <w:bookmarkStart w:id="491" w:name="Tc_z1LTV7TlCUWEw6PpdAua1g_8_20"/>
      <w:bookmarkStart w:id="492" w:name="Tc_V0o55uUK8kCSDU0FTwgZAQ_8_17"/>
      <w:bookmarkStart w:id="493" w:name="Tc_QZ1S2lqteUmA33Zu6KdLzQ_8_15"/>
      <w:bookmarkStart w:id="494" w:name="Tc_85nm8LXHPkqb22iDv_lk5Q_8_5"/>
      <w:bookmarkStart w:id="495" w:name="Tc_Z7Sy89-RoEyp1rEgJpubTA_8_2"/>
      <w:bookmarkStart w:id="496" w:name="Tc_9mZoP9wiH0uHh5CaNObVow_8_0"/>
      <w:bookmarkStart w:id="497" w:name="Tc_iTSGGiKwSk6tAJQQRJdrvg_7_20"/>
      <w:bookmarkStart w:id="498" w:name="Tc_Njyl4LITmUuR8JQEoK2OPw_7_17"/>
      <w:bookmarkStart w:id="499" w:name="Tc_uD2-FU0iJkOp_HawTb1Ilw_7_15"/>
      <w:bookmarkStart w:id="500" w:name="Tc_NGtCODgN20e0ccBeYy_Oyw_7_5"/>
      <w:bookmarkStart w:id="501" w:name="Tc_qaML8iDflEGVPKflhBIJlg_7_2"/>
      <w:bookmarkStart w:id="502" w:name="Tc_K6r6xso6pkyARBOU1PbQ2A_7_0"/>
      <w:bookmarkStart w:id="503" w:name="Tc_WJrg6CEDokupmTSoGhSMgg_6_20"/>
      <w:bookmarkStart w:id="504" w:name="Tc_vWe0oJwpCUGAQw11_7NUmQ_6_17"/>
      <w:bookmarkStart w:id="505" w:name="Tc_Va8TFBY010Gx1BbA2PRR2A_6_12"/>
      <w:bookmarkStart w:id="506" w:name="Tc_GYiwPiFQzk2d5PU9luyLXA_6_10"/>
      <w:bookmarkStart w:id="507" w:name="Tc_bXlGEB56f0KH-PanPO5y-w_6_7"/>
      <w:bookmarkStart w:id="508" w:name="Tc_B2SjYbLxS0SXjpmhgIXXgA_6_5"/>
      <w:bookmarkStart w:id="509" w:name="Tc_YLflpq42fEaCUWPa4gmv0w_6_2"/>
      <w:bookmarkStart w:id="510" w:name="Tc_k2Sarwmn2UCmsjfQxOAlww_6_0"/>
      <w:bookmarkStart w:id="511" w:name="Tc_1oKBV1kzZUWAPIGUQ2vj0Q_4_22"/>
      <w:bookmarkStart w:id="512" w:name="Tc_va7YenfB_EuiNTewPFP2Iw_4_19"/>
      <w:bookmarkStart w:id="513" w:name="Tc_Cv5I4Fw660GZ-tEen_SSoA_4_14"/>
      <w:bookmarkStart w:id="514" w:name="Tc_Tv_ki-2y9UuRMe3X-GjtSQ_4_11"/>
      <w:bookmarkStart w:id="515" w:name="Tc_44-DcJBck0OsV2DUj1CY3A_4_9"/>
      <w:bookmarkStart w:id="516" w:name="Tc_tSSKfqevUE-sMKPyRhQcPA_4_4"/>
      <w:bookmarkStart w:id="517" w:name="Tc_VJZ1urReVUuqsqGS7BHgwg_4_0"/>
      <w:bookmarkStart w:id="518" w:name="Tc_lYkbHD5MJ0WhkuDSHIjjyg_3_22"/>
      <w:bookmarkStart w:id="519" w:name="Tc_ilLWUgweuUKrGkzJimBptg_3_19"/>
      <w:bookmarkStart w:id="520" w:name="Tc_e1fhFp7sZk6le2Fi0mHMKQ_3_17"/>
      <w:bookmarkStart w:id="521" w:name="Tc_iZ4R2J-Eg0-CVAQSOO6oxQ_3_14"/>
      <w:bookmarkStart w:id="522" w:name="Tc_ubDSIpDv4UC9lEtyFJ5W-w_3_11"/>
      <w:bookmarkStart w:id="523" w:name="Tc_RPeu0ZGSD0-ofHj2R4WAVA_3_9"/>
      <w:bookmarkStart w:id="524" w:name="Tc_1JGf0_RcA0SvNgh9phAmtw_3_7"/>
      <w:bookmarkStart w:id="525" w:name="Tc_FIon0I9NLUq3rbyjtVKzTQ_3_4"/>
      <w:bookmarkStart w:id="526" w:name="Tc_2iEx1gxOR0yZp_6kCSkI2A_3_2"/>
      <w:bookmarkStart w:id="527" w:name="Tc_jO0ngG65L0-QbjkEuyWGWg_2_22"/>
      <w:bookmarkStart w:id="528" w:name="Tc_aXGvv055FkaZ2ONQDZravw_2_17"/>
      <w:bookmarkStart w:id="529" w:name="Tc_5D6U-yhJhk2VkvXAReYVzw_2_14"/>
      <w:bookmarkStart w:id="530" w:name="Tc_yGJGkwVdD0W7x-JmxeYoQA_2_11"/>
      <w:bookmarkStart w:id="531" w:name="Tc_uiqsOMLYCUeRqUVAtYswXg_2_7"/>
      <w:bookmarkStart w:id="532" w:name="Tc_OWxVLAo8jkKv51Za9p-Wrg_2_2"/>
      <w:bookmarkStart w:id="533" w:name="Tc_tiErZR4HQ0eRZuy-O5fI4w_1_22"/>
      <w:bookmarkStart w:id="534" w:name="Tc_B8etMElkuUK6HDf7Vu938g_1_11"/>
      <w:bookmarkStart w:id="535" w:name="_c3d5b3f7_7dff_4312_b0c4_79d85db188e6"/>
      <w:bookmarkStart w:id="536" w:name="Tc_FGCp9XUhIUOqByTgBP19ag_12_22"/>
      <w:bookmarkStart w:id="537" w:name="Tc_nCBY7xu0T0i-bmFHXNpKUw_12_19"/>
      <w:bookmarkStart w:id="538" w:name="Tc_DRmpPQHI3U-8_YyWgOXgqQ_12_14"/>
      <w:bookmarkStart w:id="539" w:name="Tc_Qy3Bcyst_UaFh-jjlESJBw_12_9"/>
      <w:bookmarkStart w:id="540" w:name="Tc_IIFf0VLCf0ClrJtR9w1tbQ_12_4"/>
      <w:bookmarkStart w:id="541" w:name="Tc_ErCRkT1ZF0azG5js4Y-LZQ_12_0"/>
      <w:bookmarkStart w:id="542" w:name="Tc_BPLuRQb5t0a56Dz9qVTSZg_10_20"/>
      <w:bookmarkStart w:id="543" w:name="Tc_78Crk3Oizk-veHVP357pQw_10_17"/>
      <w:bookmarkStart w:id="544" w:name="Tc_b6VIjM70FEG-OzLu-DLJ5w_10_15"/>
      <w:bookmarkStart w:id="545" w:name="Tc_D1D1hoPYwUO2F3P2lvlbrg_10_5"/>
      <w:bookmarkStart w:id="546" w:name="Tc_0ANmuUVhVky6vLhD7A7Cpw_10_2"/>
      <w:bookmarkStart w:id="547" w:name="Tc_tvL3cVFXa0WmklVxS2LwZQ_10_0"/>
      <w:bookmarkStart w:id="548" w:name="Tc_xeAbt5e9mkCo8kZL-8E2Tg_9_15"/>
      <w:bookmarkStart w:id="549" w:name="Tc_oI_Fhqb5uUyUAI3nbCMyaw_9_12"/>
      <w:bookmarkStart w:id="550" w:name="Tc_zb8eVKnmdUSsc0-WnNbXlA_9_10"/>
      <w:bookmarkStart w:id="551" w:name="Tc_OvAJtDuqtUC1rMdvbkKsFQ_9_7"/>
      <w:bookmarkStart w:id="552" w:name="Tc_l4DK02hNg0mjxgqbb3D8-g_9_5"/>
      <w:bookmarkStart w:id="553" w:name="Tc_n8EOVBy3QkuwLa_Lcr3X0g_9_2"/>
      <w:bookmarkStart w:id="554" w:name="Tc_vtyCOHrGKEScubW6m6E5sg_9_0"/>
      <w:bookmarkStart w:id="555" w:name="Tc_z1LTV7TlCUWEw6PpdAua1g_8_20"/>
      <w:bookmarkStart w:id="556" w:name="Tc_V0o55uUK8kCSDU0FTwgZAQ_8_17"/>
      <w:bookmarkStart w:id="557" w:name="Tc_QZ1S2lqteUmA33Zu6KdLzQ_8_15"/>
      <w:bookmarkStart w:id="558" w:name="Tc_85nm8LXHPkqb22iDv_lk5Q_8_5"/>
      <w:bookmarkStart w:id="559" w:name="Tc_Z7Sy89-RoEyp1rEgJpubTA_8_2"/>
      <w:bookmarkStart w:id="560" w:name="Tc_9mZoP9wiH0uHh5CaNObVow_8_0"/>
      <w:bookmarkStart w:id="561" w:name="Tc_iTSGGiKwSk6tAJQQRJdrvg_7_20"/>
      <w:bookmarkStart w:id="562" w:name="Tc_Njyl4LITmUuR8JQEoK2OPw_7_17"/>
      <w:bookmarkStart w:id="563" w:name="Tc_uD2-FU0iJkOp_HawTb1Ilw_7_15"/>
      <w:bookmarkStart w:id="564" w:name="Tc_NGtCODgN20e0ccBeYy_Oyw_7_5"/>
      <w:bookmarkStart w:id="565" w:name="Tc_qaML8iDflEGVPKflhBIJlg_7_2"/>
      <w:bookmarkStart w:id="566" w:name="Tc_K6r6xso6pkyARBOU1PbQ2A_7_0"/>
      <w:bookmarkStart w:id="567" w:name="Tc_WJrg6CEDokupmTSoGhSMgg_6_20"/>
      <w:bookmarkStart w:id="568" w:name="Tc_vWe0oJwpCUGAQw11_7NUmQ_6_17"/>
      <w:bookmarkStart w:id="569" w:name="Tc_Va8TFBY010Gx1BbA2PRR2A_6_12"/>
      <w:bookmarkStart w:id="570" w:name="Tc_GYiwPiFQzk2d5PU9luyLXA_6_10"/>
      <w:bookmarkStart w:id="571" w:name="Tc_bXlGEB56f0KH-PanPO5y-w_6_7"/>
      <w:bookmarkStart w:id="572" w:name="Tc_B2SjYbLxS0SXjpmhgIXXgA_6_5"/>
      <w:bookmarkStart w:id="573" w:name="Tc_YLflpq42fEaCUWPa4gmv0w_6_2"/>
      <w:bookmarkStart w:id="574" w:name="Tc_k2Sarwmn2UCmsjfQxOAlww_6_0"/>
      <w:bookmarkStart w:id="575" w:name="Tc_1oKBV1kzZUWAPIGUQ2vj0Q_4_22"/>
      <w:bookmarkStart w:id="576" w:name="Tc_va7YenfB_EuiNTewPFP2Iw_4_19"/>
      <w:bookmarkStart w:id="577" w:name="Tc_Cv5I4Fw660GZ-tEen_SSoA_4_14"/>
      <w:bookmarkStart w:id="578" w:name="Tc_Tv_ki-2y9UuRMe3X-GjtSQ_4_11"/>
      <w:bookmarkStart w:id="579" w:name="Tc_44-DcJBck0OsV2DUj1CY3A_4_9"/>
      <w:bookmarkStart w:id="580" w:name="Tc_tSSKfqevUE-sMKPyRhQcPA_4_4"/>
      <w:bookmarkStart w:id="581" w:name="Tc_VJZ1urReVUuqsqGS7BHgwg_4_0"/>
      <w:bookmarkStart w:id="582" w:name="Tc_lYkbHD5MJ0WhkuDSHIjjyg_3_22"/>
      <w:bookmarkStart w:id="583" w:name="Tc_ilLWUgweuUKrGkzJimBptg_3_19"/>
      <w:bookmarkStart w:id="584" w:name="Tc_e1fhFp7sZk6le2Fi0mHMKQ_3_17"/>
      <w:bookmarkStart w:id="585" w:name="Tc_iZ4R2J-Eg0-CVAQSOO6oxQ_3_14"/>
      <w:bookmarkStart w:id="586" w:name="Tc_ubDSIpDv4UC9lEtyFJ5W-w_3_11"/>
      <w:bookmarkStart w:id="587" w:name="Tc_RPeu0ZGSD0-ofHj2R4WAVA_3_9"/>
      <w:bookmarkStart w:id="588" w:name="Tc_1JGf0_RcA0SvNgh9phAmtw_3_7"/>
      <w:bookmarkStart w:id="589" w:name="Tc_FIon0I9NLUq3rbyjtVKzTQ_3_4"/>
      <w:bookmarkStart w:id="590" w:name="Tc_2iEx1gxOR0yZp_6kCSkI2A_3_2"/>
      <w:bookmarkStart w:id="591" w:name="Tc_jO0ngG65L0-QbjkEuyWGWg_2_22"/>
      <w:bookmarkStart w:id="592" w:name="Tc_aXGvv055FkaZ2ONQDZravw_2_17"/>
      <w:bookmarkStart w:id="593" w:name="Tc_5D6U-yhJhk2VkvXAReYVzw_2_14"/>
      <w:bookmarkStart w:id="594" w:name="Tc_yGJGkwVdD0W7x-JmxeYoQA_2_11"/>
      <w:bookmarkStart w:id="595" w:name="Tc_uiqsOMLYCUeRqUVAtYswXg_2_7"/>
      <w:bookmarkStart w:id="596" w:name="Tc_OWxVLAo8jkKv51Za9p-Wrg_2_2"/>
      <w:bookmarkStart w:id="597" w:name="Tc_tiErZR4HQ0eRZuy-O5fI4w_1_22"/>
      <w:bookmarkStart w:id="598" w:name="Tc_B8etMElkuUK6HDf7Vu938g_1_11"/>
      <w:bookmarkStart w:id="599" w:name="_c3d5b3f7_7dff_4312_b0c4_79d85db188e6"/>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p>
    <w:tbl>
      <w:tblPr>
        <w:tblW w:w="10664" w:type="dxa"/>
        <w:jc w:val="left"/>
        <w:tblInd w:w="0" w:type="dxa"/>
        <w:tblCellMar>
          <w:top w:w="0" w:type="dxa"/>
          <w:left w:w="0" w:type="dxa"/>
          <w:bottom w:w="0" w:type="dxa"/>
          <w:right w:w="0" w:type="dxa"/>
        </w:tblCellMar>
      </w:tblPr>
      <w:tblGrid>
        <w:gridCol w:w="931"/>
        <w:gridCol w:w="326"/>
        <w:gridCol w:w="511"/>
        <w:gridCol w:w="326"/>
        <w:gridCol w:w="181"/>
        <w:gridCol w:w="346"/>
        <w:gridCol w:w="326"/>
        <w:gridCol w:w="766"/>
        <w:gridCol w:w="326"/>
        <w:gridCol w:w="181"/>
        <w:gridCol w:w="511"/>
        <w:gridCol w:w="181"/>
        <w:gridCol w:w="841"/>
        <w:gridCol w:w="326"/>
        <w:gridCol w:w="181"/>
        <w:gridCol w:w="811"/>
        <w:gridCol w:w="326"/>
        <w:gridCol w:w="586"/>
        <w:gridCol w:w="326"/>
        <w:gridCol w:w="181"/>
        <w:gridCol w:w="736"/>
        <w:gridCol w:w="326"/>
        <w:gridCol w:w="181"/>
        <w:gridCol w:w="931"/>
      </w:tblGrid>
      <w:tr>
        <w:trPr/>
        <w:tc>
          <w:tcPr>
            <w:tcW w:w="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3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8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rPr/>
            </w:pPr>
            <w:r>
              <w:rPr/>
              <w:t>​</w:t>
            </w:r>
          </w:p>
        </w:tc>
      </w:tr>
      <w:tr>
        <w:trPr/>
        <w:tc>
          <w:tcPr>
            <w:tcW w:w="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34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81"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102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8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11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364"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Preferred Stock</w:t>
            </w:r>
          </w:p>
        </w:tc>
        <w:tc>
          <w:tcPr>
            <w:tcW w:w="326" w:type="dxa"/>
            <w:tcBorders/>
            <w:shd w:fill="auto" w:val="clear"/>
            <w:vAlign w:val="center"/>
          </w:tcPr>
          <w:p>
            <w:pPr>
              <w:pStyle w:val="TableContents"/>
              <w:spacing w:before="0" w:after="0"/>
              <w:ind w:left="0" w:right="0" w:hanging="0"/>
              <w:rPr/>
            </w:pPr>
            <w:r>
              <w:rPr/>
              <w:t>​</w:t>
            </w:r>
          </w:p>
        </w:tc>
        <w:tc>
          <w:tcPr>
            <w:tcW w:w="1784"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102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Paid in</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shd w:fill="auto" w:val="clear"/>
            <w:vAlign w:val="center"/>
          </w:tcPr>
          <w:p>
            <w:pPr>
              <w:pStyle w:val="TableContents"/>
              <w:spacing w:before="0" w:after="0"/>
              <w:ind w:left="0" w:right="0" w:hanging="0"/>
              <w:rPr/>
            </w:pPr>
            <w:r>
              <w:rPr/>
              <w:t>​</w:t>
            </w:r>
          </w:p>
        </w:tc>
        <w:tc>
          <w:tcPr>
            <w:tcW w:w="1829"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Treasury Stock</w:t>
            </w:r>
          </w:p>
        </w:tc>
        <w:tc>
          <w:tcPr>
            <w:tcW w:w="326" w:type="dxa"/>
            <w:tcBorders/>
            <w:shd w:fill="auto" w:val="clear"/>
            <w:vAlign w:val="center"/>
          </w:tcPr>
          <w:p>
            <w:pPr>
              <w:pStyle w:val="TableContents"/>
              <w:spacing w:before="0" w:after="0"/>
              <w:ind w:left="0" w:right="0" w:hanging="0"/>
              <w:rPr/>
            </w:pPr>
            <w:r>
              <w:rPr/>
              <w:t>​</w:t>
            </w:r>
          </w:p>
        </w:tc>
        <w:tc>
          <w:tcPr>
            <w:tcW w:w="111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Stockholders’</w:t>
            </w:r>
          </w:p>
        </w:tc>
      </w:tr>
      <w:tr>
        <w:trPr/>
        <w:tc>
          <w:tcPr>
            <w:tcW w:w="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51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shd w:fill="auto" w:val="clear"/>
            <w:vAlign w:val="center"/>
          </w:tcPr>
          <w:p>
            <w:pPr>
              <w:pStyle w:val="TableContents"/>
              <w:spacing w:before="0" w:after="0"/>
              <w:ind w:left="0" w:right="0" w:hanging="0"/>
              <w:rPr/>
            </w:pPr>
            <w:r>
              <w:rPr/>
              <w:t>    </w:t>
            </w:r>
          </w:p>
        </w:tc>
        <w:tc>
          <w:tcPr>
            <w:tcW w:w="52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Value</w:t>
            </w:r>
          </w:p>
        </w:tc>
        <w:tc>
          <w:tcPr>
            <w:tcW w:w="326" w:type="dxa"/>
            <w:tcBorders/>
            <w:shd w:fill="auto" w:val="clear"/>
            <w:vAlign w:val="center"/>
          </w:tcPr>
          <w:p>
            <w:pPr>
              <w:pStyle w:val="TableContents"/>
              <w:spacing w:before="0" w:after="0"/>
              <w:ind w:left="0" w:right="0" w:hanging="0"/>
              <w:rPr/>
            </w:pPr>
            <w:r>
              <w:rPr/>
              <w:t>    </w:t>
            </w:r>
          </w:p>
        </w:tc>
        <w:tc>
          <w:tcPr>
            <w:tcW w:w="76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shd w:fill="auto" w:val="clear"/>
            <w:vAlign w:val="center"/>
          </w:tcPr>
          <w:p>
            <w:pPr>
              <w:pStyle w:val="TableContents"/>
              <w:spacing w:before="0" w:after="0"/>
              <w:ind w:left="0" w:right="0" w:hanging="0"/>
              <w:rPr/>
            </w:pPr>
            <w:r>
              <w:rPr/>
              <w:t>    </w:t>
            </w:r>
          </w:p>
        </w:tc>
        <w:tc>
          <w:tcPr>
            <w:tcW w:w="6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Value</w:t>
            </w:r>
          </w:p>
        </w:tc>
        <w:tc>
          <w:tcPr>
            <w:tcW w:w="102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326" w:type="dxa"/>
            <w:tcBorders/>
            <w:shd w:fill="auto" w:val="clear"/>
            <w:vAlign w:val="center"/>
          </w:tcPr>
          <w:p>
            <w:pPr>
              <w:pStyle w:val="TableContents"/>
              <w:spacing w:before="0" w:after="0"/>
              <w:ind w:left="0" w:right="0" w:hanging="0"/>
              <w:rPr/>
            </w:pPr>
            <w:r>
              <w:rPr/>
              <w:t>    </w:t>
            </w:r>
          </w:p>
        </w:tc>
        <w:tc>
          <w:tcPr>
            <w:tcW w:w="5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shd w:fill="auto" w:val="clear"/>
            <w:vAlign w:val="center"/>
          </w:tcPr>
          <w:p>
            <w:pPr>
              <w:pStyle w:val="TableContents"/>
              <w:spacing w:before="0" w:after="0"/>
              <w:ind w:left="0" w:right="0" w:hanging="0"/>
              <w:rPr/>
            </w:pPr>
            <w:r>
              <w:rPr/>
              <w:t>    </w:t>
            </w:r>
          </w:p>
        </w:tc>
        <w:tc>
          <w:tcPr>
            <w:tcW w:w="91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Cost</w:t>
            </w:r>
          </w:p>
        </w:tc>
        <w:tc>
          <w:tcPr>
            <w:tcW w:w="326" w:type="dxa"/>
            <w:tcBorders/>
            <w:shd w:fill="auto" w:val="clear"/>
            <w:vAlign w:val="center"/>
          </w:tcPr>
          <w:p>
            <w:pPr>
              <w:pStyle w:val="TableContents"/>
              <w:spacing w:before="0" w:after="0"/>
              <w:ind w:left="0" w:right="0" w:hanging="0"/>
              <w:rPr/>
            </w:pPr>
            <w:r>
              <w:rPr/>
              <w:t>    </w:t>
            </w:r>
          </w:p>
        </w:tc>
        <w:tc>
          <w:tcPr>
            <w:tcW w:w="111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93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Balance, December 31, 2021</w:t>
            </w:r>
          </w:p>
        </w:tc>
        <w:tc>
          <w:tcPr>
            <w:tcW w:w="326" w:type="dxa"/>
            <w:tcBorders/>
            <w:shd w:fill="CCEEFF" w:val="clear"/>
            <w:vAlign w:val="center"/>
          </w:tcPr>
          <w:p>
            <w:pPr>
              <w:pStyle w:val="TableContents"/>
              <w:spacing w:before="0" w:after="0"/>
              <w:ind w:left="0" w:right="0" w:hanging="0"/>
              <w:rPr/>
            </w:pPr>
            <w:r>
              <w:rPr/>
              <w:t>​</w:t>
            </w:r>
          </w:p>
        </w:tc>
        <w:tc>
          <w:tcPr>
            <w:tcW w:w="51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86,994</w:t>
            </w:r>
          </w:p>
        </w:tc>
        <w:tc>
          <w:tcPr>
            <w:tcW w:w="326" w:type="dxa"/>
            <w:tcBorders/>
            <w:shd w:fill="CCEEFF" w:val="clear"/>
            <w:vAlign w:val="center"/>
          </w:tcPr>
          <w:p>
            <w:pPr>
              <w:pStyle w:val="TableContents"/>
              <w:spacing w:before="0" w:after="0"/>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87</w:t>
            </w:r>
          </w:p>
        </w:tc>
        <w:tc>
          <w:tcPr>
            <w:tcW w:w="326" w:type="dxa"/>
            <w:tcBorders/>
            <w:shd w:fill="CCEEFF" w:val="clear"/>
            <w:vAlign w:val="center"/>
          </w:tcPr>
          <w:p>
            <w:pPr>
              <w:pStyle w:val="TableContents"/>
              <w:spacing w:before="0" w:after="0"/>
              <w:ind w:left="0" w:right="0" w:hanging="0"/>
              <w:rPr/>
            </w:pPr>
            <w:r>
              <w:rPr/>
              <w:t>​</w:t>
            </w:r>
          </w:p>
        </w:tc>
        <w:tc>
          <w:tcPr>
            <w:tcW w:w="76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45,484,314</w:t>
            </w:r>
          </w:p>
        </w:tc>
        <w:tc>
          <w:tcPr>
            <w:tcW w:w="326" w:type="dxa"/>
            <w:tcBorders/>
            <w:shd w:fill="CCEEFF" w:val="clear"/>
            <w:vAlign w:val="center"/>
          </w:tcPr>
          <w:p>
            <w:pPr>
              <w:pStyle w:val="TableContents"/>
              <w:spacing w:before="0" w:after="0"/>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45,485</w:t>
            </w:r>
          </w:p>
        </w:tc>
        <w:tc>
          <w:tcPr>
            <w:tcW w:w="18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84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162,815,097</w:t>
            </w:r>
          </w:p>
        </w:tc>
        <w:tc>
          <w:tcPr>
            <w:tcW w:w="326" w:type="dxa"/>
            <w:tcBorders/>
            <w:shd w:fill="CCEEFF" w:val="clear"/>
            <w:vAlign w:val="center"/>
          </w:tcPr>
          <w:p>
            <w:pPr>
              <w:pStyle w:val="TableContents"/>
              <w:spacing w:before="0" w:after="0"/>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81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(27,773,968)</w:t>
            </w:r>
          </w:p>
        </w:tc>
        <w:tc>
          <w:tcPr>
            <w:tcW w:w="326" w:type="dxa"/>
            <w:tcBorders/>
            <w:shd w:fill="CCEEFF" w:val="clear"/>
            <w:vAlign w:val="center"/>
          </w:tcPr>
          <w:p>
            <w:pPr>
              <w:pStyle w:val="TableContents"/>
              <w:spacing w:before="0" w:after="0"/>
              <w:ind w:left="0" w:right="0" w:hanging="0"/>
              <w:rPr/>
            </w:pPr>
            <w:r>
              <w:rPr/>
              <w:t>​</w:t>
            </w:r>
          </w:p>
        </w:tc>
        <w:tc>
          <w:tcPr>
            <w:tcW w:w="58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517,044</w:t>
            </w:r>
          </w:p>
        </w:tc>
        <w:tc>
          <w:tcPr>
            <w:tcW w:w="326" w:type="dxa"/>
            <w:tcBorders/>
            <w:shd w:fill="CCEEFF" w:val="clear"/>
            <w:vAlign w:val="center"/>
          </w:tcPr>
          <w:p>
            <w:pPr>
              <w:pStyle w:val="TableContents"/>
              <w:spacing w:before="0" w:after="0"/>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7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(1,517,036)</w:t>
            </w:r>
          </w:p>
        </w:tc>
        <w:tc>
          <w:tcPr>
            <w:tcW w:w="326" w:type="dxa"/>
            <w:tcBorders/>
            <w:shd w:fill="CCEEFF" w:val="clear"/>
            <w:vAlign w:val="center"/>
          </w:tcPr>
          <w:p>
            <w:pPr>
              <w:pStyle w:val="TableContents"/>
              <w:spacing w:before="0" w:after="0"/>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133,569,665</w:t>
            </w:r>
          </w:p>
        </w:tc>
      </w:tr>
      <w:tr>
        <w:trPr/>
        <w:tc>
          <w:tcPr>
            <w:tcW w:w="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3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pPr>
            <w:r>
              <w:rPr/>
              <w:t>​</w:t>
            </w:r>
          </w:p>
        </w:tc>
        <w:tc>
          <w:tcPr>
            <w:tcW w:w="181"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81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r>
      <w:tr>
        <w:trPr/>
        <w:tc>
          <w:tcPr>
            <w:tcW w:w="93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Net income (loss)</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3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6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right"/>
              <w:rPr/>
            </w:pPr>
            <w:r>
              <w:rPr/>
              <w:t>—</w:t>
            </w:r>
          </w:p>
        </w:tc>
        <w:tc>
          <w:tcPr>
            <w:tcW w:w="181"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81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(18,467,615)</w:t>
            </w:r>
          </w:p>
        </w:tc>
        <w:tc>
          <w:tcPr>
            <w:tcW w:w="326"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7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(18,467,615)</w:t>
            </w:r>
          </w:p>
        </w:tc>
      </w:tr>
      <w:tr>
        <w:trPr/>
        <w:tc>
          <w:tcPr>
            <w:tcW w:w="931"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Issuance of stock as payment for acquisitions</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9,742,205</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9,742</w:t>
            </w:r>
          </w:p>
        </w:tc>
        <w:tc>
          <w:tcPr>
            <w:tcW w:w="181"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15,728,113</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81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15,737,855</w:t>
            </w:r>
          </w:p>
        </w:tc>
      </w:tr>
      <w:tr>
        <w:trPr/>
        <w:tc>
          <w:tcPr>
            <w:tcW w:w="93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Issuance of common stock as compensation to employees, officers and/or directors</w:t>
            </w:r>
          </w:p>
        </w:tc>
        <w:tc>
          <w:tcPr>
            <w:tcW w:w="326"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3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6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929,941</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930</w:t>
            </w:r>
          </w:p>
        </w:tc>
        <w:tc>
          <w:tcPr>
            <w:tcW w:w="181"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1,026,358</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81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7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1,027,288</w:t>
            </w:r>
          </w:p>
        </w:tc>
      </w:tr>
      <w:tr>
        <w:trPr/>
        <w:tc>
          <w:tcPr>
            <w:tcW w:w="931" w:type="dxa"/>
            <w:tcBorders/>
            <w:shd w:fill="auto"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Return of common stock</w:t>
            </w:r>
          </w:p>
        </w:tc>
        <w:tc>
          <w:tcPr>
            <w:tcW w:w="32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81"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81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403,106</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(516,091)</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(516,091)</w:t>
            </w:r>
          </w:p>
        </w:tc>
      </w:tr>
      <w:tr>
        <w:trPr/>
        <w:tc>
          <w:tcPr>
            <w:tcW w:w="93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Stock based compensation expense related to common stock options</w:t>
            </w:r>
          </w:p>
        </w:tc>
        <w:tc>
          <w:tcPr>
            <w:tcW w:w="326" w:type="dxa"/>
            <w:tcBorders/>
            <w:shd w:fill="CCEEFF" w:val="clear"/>
            <w:vAlign w:val="center"/>
          </w:tcPr>
          <w:p>
            <w:pPr>
              <w:pStyle w:val="TableContents"/>
              <w:spacing w:before="0" w:after="0"/>
              <w:ind w:left="0" w:right="0" w:hanging="0"/>
              <w:rPr/>
            </w:pPr>
            <w:r>
              <w:rPr/>
              <w:t> </w:t>
            </w:r>
          </w:p>
        </w:tc>
        <w:tc>
          <w:tcPr>
            <w:tcW w:w="5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34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6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196,085</w:t>
            </w:r>
          </w:p>
        </w:tc>
        <w:tc>
          <w:tcPr>
            <w:tcW w:w="326" w:type="dxa"/>
            <w:tcBorders/>
            <w:shd w:fill="CCEEFF" w:val="clear"/>
            <w:vAlign w:val="center"/>
          </w:tcPr>
          <w:p>
            <w:pPr>
              <w:pStyle w:val="TableContents"/>
              <w:spacing w:before="0" w:after="0"/>
              <w:ind w:left="0" w:right="0" w:hanging="0"/>
              <w:rPr/>
            </w:pPr>
            <w:r>
              <w:rPr/>
              <w:t>​</w:t>
            </w:r>
          </w:p>
        </w:tc>
        <w:tc>
          <w:tcPr>
            <w:tcW w:w="18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1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196</w:t>
            </w:r>
          </w:p>
        </w:tc>
        <w:tc>
          <w:tcPr>
            <w:tcW w:w="18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812,073</w:t>
            </w:r>
          </w:p>
        </w:tc>
        <w:tc>
          <w:tcPr>
            <w:tcW w:w="326" w:type="dxa"/>
            <w:tcBorders/>
            <w:shd w:fill="CCEEFF" w:val="clear"/>
            <w:vAlign w:val="center"/>
          </w:tcPr>
          <w:p>
            <w:pPr>
              <w:pStyle w:val="TableContents"/>
              <w:spacing w:before="0" w:after="0"/>
              <w:ind w:left="0" w:right="0" w:hanging="0"/>
              <w:rPr/>
            </w:pPr>
            <w:r>
              <w:rPr/>
              <w:t>​</w:t>
            </w:r>
          </w:p>
        </w:tc>
        <w:tc>
          <w:tcPr>
            <w:tcW w:w="18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8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3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812,269</w:t>
            </w:r>
          </w:p>
        </w:tc>
      </w:tr>
      <w:tr>
        <w:trPr/>
        <w:tc>
          <w:tcPr>
            <w:tcW w:w="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3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8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rPr/>
            </w:pPr>
            <w:r>
              <w:rPr/>
              <w:t>​</w:t>
            </w:r>
          </w:p>
        </w:tc>
      </w:tr>
      <w:tr>
        <w:trPr/>
        <w:tc>
          <w:tcPr>
            <w:tcW w:w="931" w:type="dxa"/>
            <w:tcBorders/>
            <w:shd w:fill="CCEEFF" w:val="cle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Balance, December 31, 2022</w:t>
            </w:r>
          </w:p>
        </w:tc>
        <w:tc>
          <w:tcPr>
            <w:tcW w:w="326" w:type="dxa"/>
            <w:tcBorders/>
            <w:shd w:fill="CCEEFF" w:val="clear"/>
            <w:vAlign w:val="center"/>
          </w:tcPr>
          <w:p>
            <w:pPr>
              <w:pStyle w:val="TableContents"/>
              <w:spacing w:before="0" w:after="0"/>
              <w:ind w:left="0" w:right="0" w:hanging="0"/>
              <w:rPr/>
            </w:pPr>
            <w:r>
              <w:rPr/>
              <w:t> </w:t>
            </w:r>
          </w:p>
        </w:tc>
        <w:tc>
          <w:tcPr>
            <w:tcW w:w="51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86,994</w:t>
            </w:r>
          </w:p>
        </w:tc>
        <w:tc>
          <w:tcPr>
            <w:tcW w:w="326" w:type="dxa"/>
            <w:tcBorders/>
            <w:shd w:fill="CCEEFF" w:val="clear"/>
            <w:vAlign w:val="center"/>
          </w:tcPr>
          <w:p>
            <w:pPr>
              <w:pStyle w:val="TableContents"/>
              <w:spacing w:before="0" w:after="0"/>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87</w:t>
            </w:r>
          </w:p>
        </w:tc>
        <w:tc>
          <w:tcPr>
            <w:tcW w:w="326" w:type="dxa"/>
            <w:tcBorders/>
            <w:shd w:fill="CCEEFF" w:val="clear"/>
            <w:vAlign w:val="center"/>
          </w:tcPr>
          <w:p>
            <w:pPr>
              <w:pStyle w:val="TableContents"/>
              <w:spacing w:before="0" w:after="0"/>
              <w:ind w:left="0" w:right="0" w:hanging="0"/>
              <w:rPr/>
            </w:pPr>
            <w:r>
              <w:rPr/>
              <w:t>​</w:t>
            </w:r>
          </w:p>
        </w:tc>
        <w:tc>
          <w:tcPr>
            <w:tcW w:w="76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56,352,545</w:t>
            </w:r>
          </w:p>
        </w:tc>
        <w:tc>
          <w:tcPr>
            <w:tcW w:w="326" w:type="dxa"/>
            <w:tcBorders/>
            <w:shd w:fill="CCEEFF" w:val="clear"/>
            <w:vAlign w:val="center"/>
          </w:tcPr>
          <w:p>
            <w:pPr>
              <w:pStyle w:val="TableContents"/>
              <w:spacing w:before="0" w:after="0"/>
              <w:ind w:left="0" w:right="0" w:hanging="0"/>
              <w:jc w:val="right"/>
              <w:rPr/>
            </w:pPr>
            <w:r>
              <w:rPr/>
              <w:t>​</w:t>
            </w:r>
          </w:p>
        </w:tc>
        <w:tc>
          <w:tcPr>
            <w:tcW w:w="18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56,353</w:t>
            </w:r>
          </w:p>
        </w:tc>
        <w:tc>
          <w:tcPr>
            <w:tcW w:w="181"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84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180,381,641</w:t>
            </w:r>
          </w:p>
        </w:tc>
        <w:tc>
          <w:tcPr>
            <w:tcW w:w="326" w:type="dxa"/>
            <w:tcBorders/>
            <w:shd w:fill="CCEEFF" w:val="clear"/>
            <w:vAlign w:val="center"/>
          </w:tcPr>
          <w:p>
            <w:pPr>
              <w:pStyle w:val="TableContents"/>
              <w:spacing w:before="0" w:after="0"/>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81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(46,241,583)</w:t>
            </w:r>
          </w:p>
        </w:tc>
        <w:tc>
          <w:tcPr>
            <w:tcW w:w="326" w:type="dxa"/>
            <w:tcBorders/>
            <w:shd w:fill="CCEEFF" w:val="clear"/>
            <w:vAlign w:val="center"/>
          </w:tcPr>
          <w:p>
            <w:pPr>
              <w:pStyle w:val="TableContents"/>
              <w:spacing w:before="0" w:after="0"/>
              <w:ind w:left="0" w:right="0" w:hanging="0"/>
              <w:rPr/>
            </w:pPr>
            <w:r>
              <w:rPr/>
              <w:t> </w:t>
            </w:r>
          </w:p>
        </w:tc>
        <w:tc>
          <w:tcPr>
            <w:tcW w:w="58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920,150</w:t>
            </w:r>
          </w:p>
        </w:tc>
        <w:tc>
          <w:tcPr>
            <w:tcW w:w="326" w:type="dxa"/>
            <w:tcBorders/>
            <w:shd w:fill="CCEEFF" w:val="clear"/>
            <w:vAlign w:val="center"/>
          </w:tcPr>
          <w:p>
            <w:pPr>
              <w:pStyle w:val="TableContents"/>
              <w:spacing w:before="0" w:after="0"/>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7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(2,033,127)</w:t>
            </w:r>
          </w:p>
        </w:tc>
        <w:tc>
          <w:tcPr>
            <w:tcW w:w="326" w:type="dxa"/>
            <w:tcBorders/>
            <w:shd w:fill="CCEEFF" w:val="clear"/>
            <w:vAlign w:val="center"/>
          </w:tcPr>
          <w:p>
            <w:pPr>
              <w:pStyle w:val="TableContents"/>
              <w:spacing w:before="0" w:after="0"/>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4"/>
              </w:rPr>
            </w:pPr>
            <w:r>
              <w:rPr>
                <w:rFonts w:ascii="Times New Roman;Times;serif" w:hAnsi="Times New Roman;Times;serif"/>
                <w:sz w:val="14"/>
              </w:rPr>
              <w:t>$</w:t>
            </w:r>
          </w:p>
        </w:tc>
        <w:tc>
          <w:tcPr>
            <w:tcW w:w="931" w:type="dxa"/>
            <w:tcBorders>
              <w:bottom w:val="double" w:sz="6" w:space="0" w:color="000000"/>
            </w:tcBorders>
            <w:shd w:fill="CCEEFF" w:val="clear"/>
            <w:tcMar>
              <w:bottom w:w="28" w:type="dxa"/>
            </w:tcMar>
            <w:vAlign w:val="center"/>
          </w:tcPr>
          <w:p>
            <w:pPr>
              <w:pStyle w:val="TableContents"/>
              <w:spacing w:before="0" w:after="0"/>
              <w:ind w:left="0" w:right="45" w:hanging="0"/>
              <w:jc w:val="right"/>
              <w:rPr>
                <w:rFonts w:ascii="Times New Roman;Times;serif" w:hAnsi="Times New Roman;Times;serif"/>
                <w:sz w:val="14"/>
              </w:rPr>
            </w:pPr>
            <w:r>
              <w:rPr>
                <w:rFonts w:ascii="Times New Roman;Times;serif" w:hAnsi="Times New Roman;Times;serif"/>
                <w:sz w:val="14"/>
              </w:rPr>
              <w:t>132,163,371</w:t>
            </w:r>
          </w:p>
        </w:tc>
      </w:tr>
    </w:tbl>
    <w:p>
      <w:pPr>
        <w:pStyle w:val="TextBody"/>
        <w:spacing w:before="0" w:after="0"/>
        <w:ind w:left="0" w:right="0" w:hanging="0"/>
        <w:rPr/>
      </w:pPr>
      <w:r>
        <w:rPr/>
        <w:t>​</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See accompanying notes to the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600" w:name="_b929dce7_b451_4f64_b743_4b8910403878"/>
      <w:bookmarkEnd w:id="600"/>
      <w:r>
        <w:rPr>
          <w:rFonts w:ascii="Times New Roman;Times;serif" w:hAnsi="Times New Roman;Times;serif"/>
          <w:b/>
          <w:sz w:val="20"/>
        </w:rPr>
        <w:t>MEDICINE MAN TECHNOLOGIES, INC.</w:t>
      </w:r>
    </w:p>
    <w:p>
      <w:pPr>
        <w:pStyle w:val="TextBody"/>
        <w:spacing w:before="0" w:after="0"/>
        <w:ind w:left="0" w:right="0" w:hanging="0"/>
        <w:jc w:val="center"/>
        <w:rPr>
          <w:rFonts w:ascii="Times New Roman;Times;serif" w:hAnsi="Times New Roman;Times;serif"/>
          <w:b/>
          <w:sz w:val="20"/>
        </w:rPr>
      </w:pPr>
      <w:bookmarkStart w:id="601" w:name="CONSOLIDATEDSTATEMENTSOFCASHFLOWS_84489"/>
      <w:bookmarkEnd w:id="601"/>
      <w:r>
        <w:rPr>
          <w:rFonts w:ascii="Times New Roman;Times;serif" w:hAnsi="Times New Roman;Times;serif"/>
          <w:b/>
          <w:sz w:val="20"/>
        </w:rPr>
        <w:t>CONSOLIDATED STATEMENTS OF CASH FLOWS</w:t>
      </w:r>
    </w:p>
    <w:p>
      <w:pPr>
        <w:pStyle w:val="TextBody"/>
        <w:spacing w:before="0" w:after="0"/>
        <w:ind w:left="0" w:right="0" w:hanging="0"/>
        <w:jc w:val="center"/>
        <w:rPr>
          <w:rFonts w:ascii="Times New Roman;Times;serif" w:hAnsi="Times New Roman;Times;serif"/>
          <w:i/>
          <w:sz w:val="20"/>
        </w:rPr>
      </w:pPr>
      <w:r>
        <w:rPr>
          <w:rFonts w:ascii="Times New Roman;Times;serif" w:hAnsi="Times New Roman;Times;serif"/>
          <w:i/>
          <w:sz w:val="20"/>
        </w:rPr>
        <w:t>For the Years Ended December 31, 2022 and 2021</w:t>
      </w:r>
    </w:p>
    <w:p>
      <w:pPr>
        <w:pStyle w:val="TextBody"/>
        <w:spacing w:before="0" w:after="0"/>
        <w:ind w:left="0" w:right="0" w:hanging="0"/>
        <w:jc w:val="center"/>
        <w:rPr>
          <w:rFonts w:ascii="Times New Roman;Times;serif" w:hAnsi="Times New Roman;Times;serif"/>
          <w:i/>
          <w:sz w:val="20"/>
        </w:rPr>
      </w:pPr>
      <w:r>
        <w:rPr>
          <w:rFonts w:ascii="Times New Roman;Times;serif" w:hAnsi="Times New Roman;Times;serif"/>
          <w:i/>
          <w:sz w:val="20"/>
        </w:rPr>
        <w:t>Expressed in U.S. Dollars</w:t>
      </w:r>
    </w:p>
    <w:p>
      <w:pPr>
        <w:pStyle w:val="Normal"/>
        <w:spacing w:before="0" w:after="0"/>
        <w:rPr>
          <w:sz w:val="4"/>
          <w:szCs w:val="4"/>
        </w:rPr>
      </w:pPr>
      <w:r>
        <w:rPr>
          <w:sz w:val="4"/>
          <w:szCs w:val="4"/>
        </w:rPr>
      </w:r>
      <w:bookmarkStart w:id="602" w:name="Tc_3qmYG-rWA0KZ48TeLXAAyQ_63_6"/>
      <w:bookmarkStart w:id="603" w:name="Tc_2nijZRRg1E6QCaot-rj9uw_63_0"/>
      <w:bookmarkStart w:id="604" w:name="Tc_-Qna0LNchkeFShlwU8M_Yg_62_6"/>
      <w:bookmarkStart w:id="605" w:name="Tc_p2iWb71ujEip8ACu2nep0g_62_0"/>
      <w:bookmarkStart w:id="606" w:name="Tc_Q9J2yN8S20yVoxPvphZmiw_61_6"/>
      <w:bookmarkStart w:id="607" w:name="Tc_k2vf2rjykkWDQySRbJKX5A_61_0"/>
      <w:bookmarkStart w:id="608" w:name="Tc_sWQxjnb4FUOdTZfouW3Cog_60_0"/>
      <w:bookmarkStart w:id="609" w:name="Tc_oZ65eqr8K0CuYjFgM7NAzw_59_3"/>
      <w:bookmarkStart w:id="610" w:name="Tc_J40Ro7_0iUK9U3-4v9CL1A_59_0"/>
      <w:bookmarkStart w:id="611" w:name="Tc_Z8w1mfDtQka0C2Be3dM7KA_58_3"/>
      <w:bookmarkStart w:id="612" w:name="Tc_p75OBDu020SUykoOUlHFMw_58_0"/>
      <w:bookmarkStart w:id="613" w:name="Tc_eM-v_j7JLkS7Ml5eIgsgjA_57_6"/>
      <w:bookmarkStart w:id="614" w:name="Tc_HrWGBFliskm3YCzJ8GsG9A_57_0"/>
      <w:bookmarkStart w:id="615" w:name="Tc_G6fkvZXIiEOo4xiJnof1Tw_56_0"/>
      <w:bookmarkStart w:id="616" w:name="Tc_37XnuVdOBUaban_DDd93_g_55_0"/>
      <w:bookmarkStart w:id="617" w:name="Tc_9s1Jf_tgKEWgEos_yMw9Tw_54_6"/>
      <w:bookmarkStart w:id="618" w:name="Tc_5t-TVPHyw0K-csBusF9wIg_54_0"/>
      <w:bookmarkStart w:id="619" w:name="Tc_zKKQls0ixE6T8SAHfdKU4A_53_6"/>
      <w:bookmarkStart w:id="620" w:name="Tc_xZnQDROj80S4t_vK8SGSxg_53_5"/>
      <w:bookmarkStart w:id="621" w:name="Tc_XWze6LveOUW7cZuh_awliw_53_2"/>
      <w:bookmarkStart w:id="622" w:name="Tc_g3Lg3S3ZcUaGC99Q_JbdcA_53_0"/>
      <w:bookmarkStart w:id="623" w:name="Tc_UH_MfNI8t0C05kCAXBYMSA_52_0"/>
      <w:bookmarkStart w:id="624" w:name="Tc_7w8_2x4fu0uAod0AXNVYmA_50_0"/>
      <w:bookmarkStart w:id="625" w:name="Tc_LOAJCZTdZ0qnv7vOLyTqLg_49_5"/>
      <w:bookmarkStart w:id="626" w:name="Tc_VAzrLmLcc06IVpWmQPw-6Q_49_2"/>
      <w:bookmarkStart w:id="627" w:name="Tc_XsgwDqw11Eq9dkMILX1Xfw_49_0"/>
      <w:bookmarkStart w:id="628" w:name="Tc_l7jW0ZIohUmbYFQWJeZcQA_48_0"/>
      <w:bookmarkStart w:id="629" w:name="Tc_Z9n13hlNl0K6uG00UtAmKw_46_5"/>
      <w:bookmarkStart w:id="630" w:name="Tc_JxlHn787jEOiX3fO7fiSqA_46_2"/>
      <w:bookmarkStart w:id="631" w:name="Tc_pvmd7OjhmEudWEFRC7i-Rw_46_0"/>
      <w:bookmarkStart w:id="632" w:name="Tc_yjbmrK6hvUypyJJJFRpuKg_45_0"/>
      <w:bookmarkStart w:id="633" w:name="Tc_Nb5aRCDQxUOuTduQfsoX4Q_44_0"/>
      <w:bookmarkStart w:id="634" w:name="Tc_L1eW2G1YKUGf2E1qx2gTXQ_42_0"/>
      <w:bookmarkStart w:id="635" w:name="Tc_g3XJKZgsYEiFkt0obH69Cg_41_0"/>
      <w:bookmarkStart w:id="636" w:name="Tc_6mE5IM0AYEqhG-D3E5OLqw_40_0"/>
      <w:bookmarkStart w:id="637" w:name="Tc_XEbUIbntQUGAbNsBJVk92A_39_3"/>
      <w:bookmarkStart w:id="638" w:name="Tc_0N4A2i7_GUmgCbxZ8yNgSA_39_0"/>
      <w:bookmarkStart w:id="639" w:name="Tc_mjhWvYMiWU6fN9Llk9qZIA_38_0"/>
      <w:bookmarkStart w:id="640" w:name="Tc_DV9qd5kC7UuFctQlNoc5yg_36_0"/>
      <w:bookmarkStart w:id="641" w:name="Tc_AAer_gXezkyiFHSzoXJqWw_35_6"/>
      <w:bookmarkStart w:id="642" w:name="Tc_pl9YNIMKyEek0D6Qa07L1g_35_0"/>
      <w:bookmarkStart w:id="643" w:name="Tc_aBBgSMeYpECFCerzixmcNw_34_3"/>
      <w:bookmarkStart w:id="644" w:name="Tc_WYN4wSdO9k-crt7U7f5mJA_34_0"/>
      <w:bookmarkStart w:id="645" w:name="Tc_r3FQRXmNmEiq-w34LELd1Q_33_0"/>
      <w:bookmarkStart w:id="646" w:name="Tc_n5u28IVm-0u9MgKBaXPS7Q_32_0"/>
      <w:bookmarkStart w:id="647" w:name="Tc_tVluZZjfsU6Q0btQ4YbyoA_31_3"/>
      <w:bookmarkStart w:id="648" w:name="Tc_yMfcy0kjg0q_QzV3V1WP-Q_31_0"/>
      <w:bookmarkStart w:id="649" w:name="Tc_ubuVHfGQz0y3jLv9gxKp7g_30_0"/>
      <w:bookmarkStart w:id="650" w:name="Tc_9KvguxY9iU-F8ioQUdVgmw_28_0"/>
      <w:bookmarkStart w:id="651" w:name="Tc_cwWfnlE1uU6IrNzGgkCtiA_27_0"/>
      <w:bookmarkStart w:id="652" w:name="Tc_4Bb-3GqkO0aIFRGJAM8mpg_26_3"/>
      <w:bookmarkStart w:id="653" w:name="Tc_Okt2SG_VhE-KVnvKKvWkiw_26_0"/>
      <w:bookmarkStart w:id="654" w:name="Tc_gMwWD11_6UCe8URJyMbEXg_25_0"/>
      <w:bookmarkStart w:id="655" w:name="Tc_3-79ogzzJUO3V7yzPm3aGw_24_0"/>
      <w:bookmarkStart w:id="656" w:name="Tc_o6hWH04I-kS3CrXxTILdUw_23_0"/>
      <w:bookmarkStart w:id="657" w:name="Tc_b_DosjUeDUCfzZRp5POGVw_22_0"/>
      <w:bookmarkStart w:id="658" w:name="Tc__nmYFpdu10mt-sjqG18HxQ_21_0"/>
      <w:bookmarkStart w:id="659" w:name="Tc_ChBOBbmEJE23xk6_mdm4vw_20_0"/>
      <w:bookmarkStart w:id="660" w:name="Tc_4EYubGqMe0OTmUeJxrDO2w_19_0"/>
      <w:bookmarkStart w:id="661" w:name="Tc_wDaXrfGZIEqwKyn8bmiQUg_18_0"/>
      <w:bookmarkStart w:id="662" w:name="Tc_TTsvSGoye06VaqA3jtrd6Q_17_3"/>
      <w:bookmarkStart w:id="663" w:name="Tc_MNDg0txXx0qpCZWL-o1HFA_17_0"/>
      <w:bookmarkStart w:id="664" w:name="Tc_MJtXsIggLU-lzKzBEqFOlg_16_0"/>
      <w:bookmarkStart w:id="665" w:name="Tc_oqIIhyak1ESK15UfVwcWxQ_15_6"/>
      <w:bookmarkStart w:id="666" w:name="Tc_95W7o-vkpUSv087gxXm9Nw_15_0"/>
      <w:bookmarkStart w:id="667" w:name="Tc_5Qdqxk5ptkOmaA84zxSweA_14_6"/>
      <w:bookmarkStart w:id="668" w:name="Tc_FmkDeHaFXU6FSEokaarg9g_14_0"/>
      <w:bookmarkStart w:id="669" w:name="Tc_QlWd75a5EUqIRWa0sJrL1w_13_0"/>
      <w:bookmarkStart w:id="670" w:name="Tc_yVeBvVyPzUSLMCe1M47HhA_12_6"/>
      <w:bookmarkStart w:id="671" w:name="Tc_w4oFdehLm0aUN8op5Wl-wA_12_0"/>
      <w:bookmarkStart w:id="672" w:name="Tc_GFi9UwiQokixhjURJL0ofA_11_6"/>
      <w:bookmarkStart w:id="673" w:name="Tc_l2DG40A4_EiqAchEneG52g_11_0"/>
      <w:bookmarkStart w:id="674" w:name="Tc_nflef8fhaUWRWerJ92odyA_10_6"/>
      <w:bookmarkStart w:id="675" w:name="Tc_WaBqyz3_s0a1Ppkrj13JSA_10_0"/>
      <w:bookmarkStart w:id="676" w:name="Tc_MEzB2xvKUUW-3thVpSGudw_9_6"/>
      <w:bookmarkStart w:id="677" w:name="Tc_oWzzKD4w30Os9PlL5f3RLg_9_0"/>
      <w:bookmarkStart w:id="678" w:name="Tc_tDkYfHS7aUiPffngRiFghA_8_6"/>
      <w:bookmarkStart w:id="679" w:name="Tc_jDXvwxAh7UKAmAH32elF3g_8_0"/>
      <w:bookmarkStart w:id="680" w:name="Tc_ebH0dVe_yE6LG_sR_iIqjw_7_0"/>
      <w:bookmarkStart w:id="681" w:name="Tc_9wyQWgVXPUqNjfF945evuA_6_0"/>
      <w:bookmarkStart w:id="682" w:name="Tc_zCRYD3QPZEKbPbuhfSMslw_5_0"/>
      <w:bookmarkStart w:id="683" w:name="Tc_CN0rQ2ATNE-5kB-G-j0u7Q_4_0"/>
      <w:bookmarkStart w:id="684" w:name="Tc_GHV8Sy4gckCGOsCq3BE1SA_3_5"/>
      <w:bookmarkStart w:id="685" w:name="Tc_n75vZe6V1km-juvxN7kYJQ_3_2"/>
      <w:bookmarkStart w:id="686" w:name="Tc__2ZUOJHdwkyT_yyRDmHsRg_2_2"/>
      <w:bookmarkStart w:id="687" w:name="Tc_YRO-E4CsFUKgNklJ_z_xaw_1_2"/>
      <w:bookmarkStart w:id="688" w:name="_0e0cdde9_a903_49b7_948e_c5e98449d8b8"/>
      <w:bookmarkStart w:id="689" w:name="Tc_3qmYG-rWA0KZ48TeLXAAyQ_63_6"/>
      <w:bookmarkStart w:id="690" w:name="Tc_2nijZRRg1E6QCaot-rj9uw_63_0"/>
      <w:bookmarkStart w:id="691" w:name="Tc_-Qna0LNchkeFShlwU8M_Yg_62_6"/>
      <w:bookmarkStart w:id="692" w:name="Tc_p2iWb71ujEip8ACu2nep0g_62_0"/>
      <w:bookmarkStart w:id="693" w:name="Tc_Q9J2yN8S20yVoxPvphZmiw_61_6"/>
      <w:bookmarkStart w:id="694" w:name="Tc_k2vf2rjykkWDQySRbJKX5A_61_0"/>
      <w:bookmarkStart w:id="695" w:name="Tc_sWQxjnb4FUOdTZfouW3Cog_60_0"/>
      <w:bookmarkStart w:id="696" w:name="Tc_oZ65eqr8K0CuYjFgM7NAzw_59_3"/>
      <w:bookmarkStart w:id="697" w:name="Tc_J40Ro7_0iUK9U3-4v9CL1A_59_0"/>
      <w:bookmarkStart w:id="698" w:name="Tc_Z8w1mfDtQka0C2Be3dM7KA_58_3"/>
      <w:bookmarkStart w:id="699" w:name="Tc_p75OBDu020SUykoOUlHFMw_58_0"/>
      <w:bookmarkStart w:id="700" w:name="Tc_eM-v_j7JLkS7Ml5eIgsgjA_57_6"/>
      <w:bookmarkStart w:id="701" w:name="Tc_HrWGBFliskm3YCzJ8GsG9A_57_0"/>
      <w:bookmarkStart w:id="702" w:name="Tc_G6fkvZXIiEOo4xiJnof1Tw_56_0"/>
      <w:bookmarkStart w:id="703" w:name="Tc_37XnuVdOBUaban_DDd93_g_55_0"/>
      <w:bookmarkStart w:id="704" w:name="Tc_9s1Jf_tgKEWgEos_yMw9Tw_54_6"/>
      <w:bookmarkStart w:id="705" w:name="Tc_5t-TVPHyw0K-csBusF9wIg_54_0"/>
      <w:bookmarkStart w:id="706" w:name="Tc_zKKQls0ixE6T8SAHfdKU4A_53_6"/>
      <w:bookmarkStart w:id="707" w:name="Tc_xZnQDROj80S4t_vK8SGSxg_53_5"/>
      <w:bookmarkStart w:id="708" w:name="Tc_XWze6LveOUW7cZuh_awliw_53_2"/>
      <w:bookmarkStart w:id="709" w:name="Tc_g3Lg3S3ZcUaGC99Q_JbdcA_53_0"/>
      <w:bookmarkStart w:id="710" w:name="Tc_UH_MfNI8t0C05kCAXBYMSA_52_0"/>
      <w:bookmarkStart w:id="711" w:name="Tc_7w8_2x4fu0uAod0AXNVYmA_50_0"/>
      <w:bookmarkStart w:id="712" w:name="Tc_LOAJCZTdZ0qnv7vOLyTqLg_49_5"/>
      <w:bookmarkStart w:id="713" w:name="Tc_VAzrLmLcc06IVpWmQPw-6Q_49_2"/>
      <w:bookmarkStart w:id="714" w:name="Tc_XsgwDqw11Eq9dkMILX1Xfw_49_0"/>
      <w:bookmarkStart w:id="715" w:name="Tc_l7jW0ZIohUmbYFQWJeZcQA_48_0"/>
      <w:bookmarkStart w:id="716" w:name="Tc_Z9n13hlNl0K6uG00UtAmKw_46_5"/>
      <w:bookmarkStart w:id="717" w:name="Tc_JxlHn787jEOiX3fO7fiSqA_46_2"/>
      <w:bookmarkStart w:id="718" w:name="Tc_pvmd7OjhmEudWEFRC7i-Rw_46_0"/>
      <w:bookmarkStart w:id="719" w:name="Tc_yjbmrK6hvUypyJJJFRpuKg_45_0"/>
      <w:bookmarkStart w:id="720" w:name="Tc_Nb5aRCDQxUOuTduQfsoX4Q_44_0"/>
      <w:bookmarkStart w:id="721" w:name="Tc_L1eW2G1YKUGf2E1qx2gTXQ_42_0"/>
      <w:bookmarkStart w:id="722" w:name="Tc_g3XJKZgsYEiFkt0obH69Cg_41_0"/>
      <w:bookmarkStart w:id="723" w:name="Tc_6mE5IM0AYEqhG-D3E5OLqw_40_0"/>
      <w:bookmarkStart w:id="724" w:name="Tc_XEbUIbntQUGAbNsBJVk92A_39_3"/>
      <w:bookmarkStart w:id="725" w:name="Tc_0N4A2i7_GUmgCbxZ8yNgSA_39_0"/>
      <w:bookmarkStart w:id="726" w:name="Tc_mjhWvYMiWU6fN9Llk9qZIA_38_0"/>
      <w:bookmarkStart w:id="727" w:name="Tc_DV9qd5kC7UuFctQlNoc5yg_36_0"/>
      <w:bookmarkStart w:id="728" w:name="Tc_AAer_gXezkyiFHSzoXJqWw_35_6"/>
      <w:bookmarkStart w:id="729" w:name="Tc_pl9YNIMKyEek0D6Qa07L1g_35_0"/>
      <w:bookmarkStart w:id="730" w:name="Tc_aBBgSMeYpECFCerzixmcNw_34_3"/>
      <w:bookmarkStart w:id="731" w:name="Tc_WYN4wSdO9k-crt7U7f5mJA_34_0"/>
      <w:bookmarkStart w:id="732" w:name="Tc_r3FQRXmNmEiq-w34LELd1Q_33_0"/>
      <w:bookmarkStart w:id="733" w:name="Tc_n5u28IVm-0u9MgKBaXPS7Q_32_0"/>
      <w:bookmarkStart w:id="734" w:name="Tc_tVluZZjfsU6Q0btQ4YbyoA_31_3"/>
      <w:bookmarkStart w:id="735" w:name="Tc_yMfcy0kjg0q_QzV3V1WP-Q_31_0"/>
      <w:bookmarkStart w:id="736" w:name="Tc_ubuVHfGQz0y3jLv9gxKp7g_30_0"/>
      <w:bookmarkStart w:id="737" w:name="Tc_9KvguxY9iU-F8ioQUdVgmw_28_0"/>
      <w:bookmarkStart w:id="738" w:name="Tc_cwWfnlE1uU6IrNzGgkCtiA_27_0"/>
      <w:bookmarkStart w:id="739" w:name="Tc_4Bb-3GqkO0aIFRGJAM8mpg_26_3"/>
      <w:bookmarkStart w:id="740" w:name="Tc_Okt2SG_VhE-KVnvKKvWkiw_26_0"/>
      <w:bookmarkStart w:id="741" w:name="Tc_gMwWD11_6UCe8URJyMbEXg_25_0"/>
      <w:bookmarkStart w:id="742" w:name="Tc_3-79ogzzJUO3V7yzPm3aGw_24_0"/>
      <w:bookmarkStart w:id="743" w:name="Tc_o6hWH04I-kS3CrXxTILdUw_23_0"/>
      <w:bookmarkStart w:id="744" w:name="Tc_b_DosjUeDUCfzZRp5POGVw_22_0"/>
      <w:bookmarkStart w:id="745" w:name="Tc__nmYFpdu10mt-sjqG18HxQ_21_0"/>
      <w:bookmarkStart w:id="746" w:name="Tc_ChBOBbmEJE23xk6_mdm4vw_20_0"/>
      <w:bookmarkStart w:id="747" w:name="Tc_4EYubGqMe0OTmUeJxrDO2w_19_0"/>
      <w:bookmarkStart w:id="748" w:name="Tc_wDaXrfGZIEqwKyn8bmiQUg_18_0"/>
      <w:bookmarkStart w:id="749" w:name="Tc_TTsvSGoye06VaqA3jtrd6Q_17_3"/>
      <w:bookmarkStart w:id="750" w:name="Tc_MNDg0txXx0qpCZWL-o1HFA_17_0"/>
      <w:bookmarkStart w:id="751" w:name="Tc_MJtXsIggLU-lzKzBEqFOlg_16_0"/>
      <w:bookmarkStart w:id="752" w:name="Tc_oqIIhyak1ESK15UfVwcWxQ_15_6"/>
      <w:bookmarkStart w:id="753" w:name="Tc_95W7o-vkpUSv087gxXm9Nw_15_0"/>
      <w:bookmarkStart w:id="754" w:name="Tc_5Qdqxk5ptkOmaA84zxSweA_14_6"/>
      <w:bookmarkStart w:id="755" w:name="Tc_FmkDeHaFXU6FSEokaarg9g_14_0"/>
      <w:bookmarkStart w:id="756" w:name="Tc_QlWd75a5EUqIRWa0sJrL1w_13_0"/>
      <w:bookmarkStart w:id="757" w:name="Tc_yVeBvVyPzUSLMCe1M47HhA_12_6"/>
      <w:bookmarkStart w:id="758" w:name="Tc_w4oFdehLm0aUN8op5Wl-wA_12_0"/>
      <w:bookmarkStart w:id="759" w:name="Tc_GFi9UwiQokixhjURJL0ofA_11_6"/>
      <w:bookmarkStart w:id="760" w:name="Tc_l2DG40A4_EiqAchEneG52g_11_0"/>
      <w:bookmarkStart w:id="761" w:name="Tc_nflef8fhaUWRWerJ92odyA_10_6"/>
      <w:bookmarkStart w:id="762" w:name="Tc_WaBqyz3_s0a1Ppkrj13JSA_10_0"/>
      <w:bookmarkStart w:id="763" w:name="Tc_MEzB2xvKUUW-3thVpSGudw_9_6"/>
      <w:bookmarkStart w:id="764" w:name="Tc_oWzzKD4w30Os9PlL5f3RLg_9_0"/>
      <w:bookmarkStart w:id="765" w:name="Tc_tDkYfHS7aUiPffngRiFghA_8_6"/>
      <w:bookmarkStart w:id="766" w:name="Tc_jDXvwxAh7UKAmAH32elF3g_8_0"/>
      <w:bookmarkStart w:id="767" w:name="Tc_ebH0dVe_yE6LG_sR_iIqjw_7_0"/>
      <w:bookmarkStart w:id="768" w:name="Tc_9wyQWgVXPUqNjfF945evuA_6_0"/>
      <w:bookmarkStart w:id="769" w:name="Tc_zCRYD3QPZEKbPbuhfSMslw_5_0"/>
      <w:bookmarkStart w:id="770" w:name="Tc_CN0rQ2ATNE-5kB-G-j0u7Q_4_0"/>
      <w:bookmarkStart w:id="771" w:name="Tc_GHV8Sy4gckCGOsCq3BE1SA_3_5"/>
      <w:bookmarkStart w:id="772" w:name="Tc_n75vZe6V1km-juvxN7kYJQ_3_2"/>
      <w:bookmarkStart w:id="773" w:name="Tc__2ZUOJHdwkyT_yyRDmHsRg_2_2"/>
      <w:bookmarkStart w:id="774" w:name="Tc_YRO-E4CsFUKgNklJ_z_xaw_1_2"/>
      <w:bookmarkStart w:id="775" w:name="_0e0cdde9_a903_49b7_948e_c5e98449d8b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p>
    <w:tbl>
      <w:tblPr>
        <w:tblW w:w="7242" w:type="dxa"/>
        <w:jc w:val="left"/>
        <w:tblInd w:w="0" w:type="dxa"/>
        <w:tblCellMar>
          <w:top w:w="0" w:type="dxa"/>
          <w:left w:w="0" w:type="dxa"/>
          <w:bottom w:w="0" w:type="dxa"/>
          <w:right w:w="0" w:type="dxa"/>
        </w:tblCellMar>
      </w:tblPr>
      <w:tblGrid>
        <w:gridCol w:w="4411"/>
        <w:gridCol w:w="326"/>
        <w:gridCol w:w="181"/>
        <w:gridCol w:w="886"/>
        <w:gridCol w:w="326"/>
        <w:gridCol w:w="181"/>
        <w:gridCol w:w="931"/>
      </w:tblGrid>
      <w:tr>
        <w:trPr/>
        <w:tc>
          <w:tcPr>
            <w:tcW w:w="44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800985" cy="175260"/>
                      <wp:effectExtent l="0" t="0" r="0" b="0"/>
                      <wp:wrapNone/>
                      <wp:docPr id="67" name="Frame67"/>
                      <a:graphic xmlns:a="http://schemas.openxmlformats.org/drawingml/2006/main">
                        <a:graphicData uri="http://schemas.microsoft.com/office/word/2010/wordprocessingShape">
                          <wps:wsp>
                            <wps:cNvSpPr txBox="1"/>
                            <wps:spPr>
                              <a:xfrm>
                                <a:off x="0" y="0"/>
                                <a:ext cx="2800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8" name="Frame6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14935" cy="175260"/>
                      <wp:effectExtent l="0" t="0" r="0" b="0"/>
                      <wp:wrapNone/>
                      <wp:docPr id="69" name="Frame69"/>
                      <a:graphic xmlns:a="http://schemas.openxmlformats.org/drawingml/2006/main">
                        <a:graphicData uri="http://schemas.microsoft.com/office/word/2010/wordprocessingShape">
                          <wps:wsp>
                            <wps:cNvSpPr txBox="1"/>
                            <wps:spPr>
                              <a:xfrm>
                                <a:off x="0" y="0"/>
                                <a:ext cx="114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562610" cy="175260"/>
                      <wp:effectExtent l="0" t="0" r="0" b="0"/>
                      <wp:wrapNone/>
                      <wp:docPr id="70" name="Frame70"/>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1" name="Frame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14935" cy="175260"/>
                      <wp:effectExtent l="0" t="0" r="0" b="0"/>
                      <wp:wrapNone/>
                      <wp:docPr id="72" name="Frame72"/>
                      <a:graphic xmlns:a="http://schemas.openxmlformats.org/drawingml/2006/main">
                        <a:graphicData uri="http://schemas.microsoft.com/office/word/2010/wordprocessingShape">
                          <wps:wsp>
                            <wps:cNvSpPr txBox="1"/>
                            <wps:spPr>
                              <a:xfrm>
                                <a:off x="0" y="0"/>
                                <a:ext cx="114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91185" cy="175260"/>
                      <wp:effectExtent l="0" t="0" r="0" b="0"/>
                      <wp:wrapNone/>
                      <wp:docPr id="73" name="Frame73"/>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4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505"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15"/>
              </w:rPr>
            </w:pPr>
            <w:r>
              <w:rPr>
                <w:rFonts w:ascii="Times New Roman;Times;serif" w:hAnsi="Times New Roman;Times;serif"/>
                <w:b/>
                <w:sz w:val="15"/>
              </w:rPr>
              <w:t xml:space="preserve">For the Year Ended </w:t>
            </w:r>
          </w:p>
        </w:tc>
      </w:tr>
      <w:tr>
        <w:trPr/>
        <w:tc>
          <w:tcPr>
            <w:tcW w:w="44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50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5"/>
              </w:rPr>
            </w:pPr>
            <w:r>
              <w:rPr>
                <w:rFonts w:ascii="Times New Roman;Times;serif" w:hAnsi="Times New Roman;Times;serif"/>
                <w:b/>
                <w:sz w:val="15"/>
              </w:rPr>
              <w:t>December 31, </w:t>
            </w:r>
          </w:p>
        </w:tc>
      </w:tr>
      <w:tr>
        <w:trPr/>
        <w:tc>
          <w:tcPr>
            <w:tcW w:w="44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06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5"/>
              </w:rPr>
            </w:pPr>
            <w:r>
              <w:rPr>
                <w:rFonts w:ascii="Times New Roman;Times;serif" w:hAnsi="Times New Roman;Times;serif"/>
                <w:b/>
                <w:sz w:val="15"/>
              </w:rPr>
              <w:t>2022</w:t>
            </w:r>
          </w:p>
        </w:tc>
        <w:tc>
          <w:tcPr>
            <w:tcW w:w="326" w:type="dxa"/>
            <w:tcBorders/>
            <w:shd w:fill="auto" w:val="clear"/>
            <w:vAlign w:val="center"/>
          </w:tcPr>
          <w:p>
            <w:pPr>
              <w:pStyle w:val="TableContents"/>
              <w:spacing w:before="0" w:after="1"/>
              <w:ind w:left="0" w:right="0" w:hanging="0"/>
              <w:rPr/>
            </w:pPr>
            <w:r>
              <w:rPr/>
              <w:t>    </w:t>
            </w:r>
          </w:p>
        </w:tc>
        <w:tc>
          <w:tcPr>
            <w:tcW w:w="111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5"/>
              </w:rPr>
            </w:pPr>
            <w:r>
              <w:rPr>
                <w:rFonts w:ascii="Times New Roman;Times;serif" w:hAnsi="Times New Roman;Times;serif"/>
                <w:b/>
                <w:sz w:val="15"/>
              </w:rPr>
              <w:t>2021</w:t>
            </w:r>
          </w:p>
        </w:tc>
      </w:tr>
      <w:tr>
        <w:trPr/>
        <w:tc>
          <w:tcPr>
            <w:tcW w:w="4411" w:type="dxa"/>
            <w:tcBorders/>
            <w:shd w:fill="CCEEFF"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Cash flows from operating activities</w:t>
            </w:r>
          </w:p>
        </w:tc>
        <w:tc>
          <w:tcPr>
            <w:tcW w:w="326" w:type="dxa"/>
            <w:tcBorders/>
            <w:shd w:fill="CCEEFF" w:val="clear"/>
            <w:vAlign w:val="center"/>
          </w:tcPr>
          <w:p>
            <w:pPr>
              <w:pStyle w:val="TableContents"/>
              <w:spacing w:before="0" w:after="1"/>
              <w:ind w:left="0" w:right="0" w:hanging="0"/>
              <w:rPr/>
            </w:pPr>
            <w:r>
              <w:rPr/>
              <w:t> </w:t>
            </w:r>
          </w:p>
        </w:tc>
        <w:tc>
          <w:tcPr>
            <w:tcW w:w="181" w:type="dxa"/>
            <w:tcBorders/>
            <w:shd w:fill="CCEEFF" w:val="clear"/>
            <w:vAlign w:val="center"/>
          </w:tcPr>
          <w:p>
            <w:pPr>
              <w:pStyle w:val="TableContents"/>
              <w:spacing w:before="0" w:after="1"/>
              <w:ind w:left="0" w:right="0" w:hanging="0"/>
              <w:rPr/>
            </w:pPr>
            <w:r>
              <w:rPr/>
              <w:t>​</w:t>
            </w:r>
          </w:p>
        </w:tc>
        <w:tc>
          <w:tcPr>
            <w:tcW w:w="88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181"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pPr>
            <w:r>
              <w:rPr/>
              <w:t>  </w:t>
            </w:r>
          </w:p>
        </w:tc>
      </w:tr>
      <w:tr>
        <w:trPr/>
        <w:tc>
          <w:tcPr>
            <w:tcW w:w="4411" w:type="dxa"/>
            <w:tcBorders/>
            <w:shd w:fill="auto"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Net income (loss) for the period</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(18,467,615)</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14,519,130</w:t>
            </w:r>
          </w:p>
        </w:tc>
      </w:tr>
      <w:tr>
        <w:trPr/>
        <w:tc>
          <w:tcPr>
            <w:tcW w:w="4411" w:type="dxa"/>
            <w:tcBorders/>
            <w:shd w:fill="CCEEFF"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Adjustments to reconcile net loss to cash for operating activities</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pPr>
            <w:r>
              <w:rPr/>
              <w:t>  </w:t>
            </w:r>
          </w:p>
        </w:tc>
      </w:tr>
      <w:tr>
        <w:trPr/>
        <w:tc>
          <w:tcPr>
            <w:tcW w:w="4411" w:type="dxa"/>
            <w:tcBorders/>
            <w:shd w:fill="auto"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Depreciation and amortization</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11,012,453</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8,576,865</w:t>
            </w:r>
          </w:p>
        </w:tc>
      </w:tr>
      <w:tr>
        <w:trPr/>
        <w:tc>
          <w:tcPr>
            <w:tcW w:w="4411" w:type="dxa"/>
            <w:tcBorders/>
            <w:shd w:fill="CCEEFF"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Non-cash interest expense</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4,118,391</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pPr>
            <w:r>
              <w:rPr/>
              <w:t>—</w:t>
            </w:r>
          </w:p>
        </w:tc>
      </w:tr>
      <w:tr>
        <w:trPr/>
        <w:tc>
          <w:tcPr>
            <w:tcW w:w="4411" w:type="dxa"/>
            <w:tcBorders/>
            <w:shd w:fill="auto"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 xml:space="preserve">Impairment of goodwill </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8,011,405</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pPr>
            <w:r>
              <w:rPr/>
              <w:t>—</w:t>
            </w:r>
          </w:p>
        </w:tc>
      </w:tr>
      <w:tr>
        <w:trPr/>
        <w:tc>
          <w:tcPr>
            <w:tcW w:w="4411" w:type="dxa"/>
            <w:tcBorders/>
            <w:shd w:fill="CCEEFF"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Non-cash lease expense</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975,561</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pPr>
            <w:r>
              <w:rPr/>
              <w:t>—</w:t>
            </w:r>
          </w:p>
        </w:tc>
      </w:tr>
      <w:tr>
        <w:trPr/>
        <w:tc>
          <w:tcPr>
            <w:tcW w:w="4411" w:type="dxa"/>
            <w:tcBorders/>
            <w:shd w:fill="auto"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Deferred taxes</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(2,712,010)</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pPr>
            <w:r>
              <w:rPr/>
              <w:t>—</w:t>
            </w:r>
          </w:p>
        </w:tc>
      </w:tr>
      <w:tr>
        <w:trPr/>
        <w:tc>
          <w:tcPr>
            <w:tcW w:w="4411" w:type="dxa"/>
            <w:tcBorders/>
            <w:shd w:fill="CCEEFF"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Loss on disposition of business units</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4,684,369</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pPr>
            <w:r>
              <w:rPr/>
              <w:t>—</w:t>
            </w:r>
          </w:p>
        </w:tc>
      </w:tr>
      <w:tr>
        <w:trPr/>
        <w:tc>
          <w:tcPr>
            <w:tcW w:w="4411" w:type="dxa"/>
            <w:tcBorders/>
            <w:shd w:fill="auto"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Change in derivative liabilities</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(18,414,760)</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(15,061,142)</w:t>
            </w:r>
          </w:p>
        </w:tc>
      </w:tr>
      <w:tr>
        <w:trPr/>
        <w:tc>
          <w:tcPr>
            <w:tcW w:w="4411" w:type="dxa"/>
            <w:tcBorders/>
            <w:shd w:fill="CCEEFF"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Amortization of debt issuance costs</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1,686,049</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pPr>
            <w:r>
              <w:rPr/>
              <w:t>—</w:t>
            </w:r>
          </w:p>
        </w:tc>
      </w:tr>
      <w:tr>
        <w:trPr/>
        <w:tc>
          <w:tcPr>
            <w:tcW w:w="4411" w:type="dxa"/>
            <w:tcBorders/>
            <w:shd w:fill="auto"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Amortization of debt discount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7,484,613</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pPr>
            <w:r>
              <w:rPr/>
              <w:t>—</w:t>
            </w:r>
          </w:p>
        </w:tc>
      </w:tr>
      <w:tr>
        <w:trPr/>
        <w:tc>
          <w:tcPr>
            <w:tcW w:w="4411" w:type="dxa"/>
            <w:tcBorders/>
            <w:shd w:fill="CCEEFF"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Loss (gain) on investment, net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39,270</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(216,771)</w:t>
            </w:r>
          </w:p>
        </w:tc>
      </w:tr>
      <w:tr>
        <w:trPr/>
        <w:tc>
          <w:tcPr>
            <w:tcW w:w="4411" w:type="dxa"/>
            <w:tcBorders/>
            <w:shd w:fill="auto"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Loss on sale of asset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(242,494)</w:t>
            </w:r>
          </w:p>
        </w:tc>
      </w:tr>
      <w:tr>
        <w:trPr/>
        <w:tc>
          <w:tcPr>
            <w:tcW w:w="4411" w:type="dxa"/>
            <w:tcBorders/>
            <w:shd w:fill="CCEEFF"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Stock based compensation</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812,073</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5,037,879</w:t>
            </w:r>
          </w:p>
        </w:tc>
      </w:tr>
      <w:tr>
        <w:trPr/>
        <w:tc>
          <w:tcPr>
            <w:tcW w:w="4411" w:type="dxa"/>
            <w:tcBorders/>
            <w:shd w:fill="auto"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Changes in operating assets and liabilities (net of acquired amounts):</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pPr>
            <w:r>
              <w:rPr/>
              <w:t>​</w:t>
            </w:r>
          </w:p>
        </w:tc>
      </w:tr>
      <w:tr>
        <w:trPr/>
        <w:tc>
          <w:tcPr>
            <w:tcW w:w="4411" w:type="dxa"/>
            <w:tcBorders/>
            <w:shd w:fill="CCEEFF"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Accounts receivable</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467,692</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244,929</w:t>
            </w:r>
          </w:p>
        </w:tc>
      </w:tr>
      <w:tr>
        <w:trPr/>
        <w:tc>
          <w:tcPr>
            <w:tcW w:w="4411" w:type="dxa"/>
            <w:tcBorders/>
            <w:shd w:fill="auto"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Inventory</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789,399</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(4,703,186)</w:t>
            </w:r>
          </w:p>
        </w:tc>
      </w:tr>
      <w:tr>
        <w:trPr/>
        <w:tc>
          <w:tcPr>
            <w:tcW w:w="4411" w:type="dxa"/>
            <w:tcBorders/>
            <w:shd w:fill="CCEEFF"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Prepaid expenses and other current assets</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(2,631,612)</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(1,909,014)</w:t>
            </w:r>
          </w:p>
        </w:tc>
      </w:tr>
      <w:tr>
        <w:trPr/>
        <w:tc>
          <w:tcPr>
            <w:tcW w:w="4411" w:type="dxa"/>
            <w:tcBorders/>
            <w:shd w:fill="auto"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Other assets</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(1,009,794)</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(457,083)</w:t>
            </w:r>
          </w:p>
        </w:tc>
      </w:tr>
      <w:tr>
        <w:trPr/>
        <w:tc>
          <w:tcPr>
            <w:tcW w:w="4411" w:type="dxa"/>
            <w:tcBorders/>
            <w:shd w:fill="CCEEFF"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Operating leases right of use assets and liabilities</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1,075,093</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137,139</w:t>
            </w:r>
          </w:p>
        </w:tc>
      </w:tr>
      <w:tr>
        <w:trPr/>
        <w:tc>
          <w:tcPr>
            <w:tcW w:w="4411" w:type="dxa"/>
            <w:tcBorders/>
            <w:shd w:fill="auto"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Accounts payable and other liabilities</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8,165,861</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493,719</w:t>
            </w:r>
          </w:p>
        </w:tc>
      </w:tr>
      <w:tr>
        <w:trPr/>
        <w:tc>
          <w:tcPr>
            <w:tcW w:w="4411" w:type="dxa"/>
            <w:tcBorders/>
            <w:shd w:fill="CCEEFF"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Deferred Revenue</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(50,000)</w:t>
            </w:r>
          </w:p>
        </w:tc>
      </w:tr>
      <w:tr>
        <w:trPr/>
        <w:tc>
          <w:tcPr>
            <w:tcW w:w="4411" w:type="dxa"/>
            <w:tcBorders/>
            <w:shd w:fill="auto"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Income taxes payable</w:t>
            </w:r>
          </w:p>
        </w:tc>
        <w:tc>
          <w:tcPr>
            <w:tcW w:w="326" w:type="dxa"/>
            <w:tcBorders/>
            <w:shd w:fill="auto" w:val="clear"/>
            <w:vAlign w:val="center"/>
          </w:tcPr>
          <w:p>
            <w:pPr>
              <w:pStyle w:val="TableContents"/>
              <w:spacing w:before="0" w:after="1"/>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5,270,074</w:t>
            </w:r>
          </w:p>
        </w:tc>
        <w:tc>
          <w:tcPr>
            <w:tcW w:w="326" w:type="dxa"/>
            <w:tcBorders/>
            <w:shd w:fill="auto" w:val="clear"/>
            <w:vAlign w:val="center"/>
          </w:tcPr>
          <w:p>
            <w:pPr>
              <w:pStyle w:val="TableContents"/>
              <w:spacing w:before="0" w:after="1"/>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2,027,741</w:t>
            </w:r>
          </w:p>
        </w:tc>
      </w:tr>
      <w:tr>
        <w:trPr/>
        <w:tc>
          <w:tcPr>
            <w:tcW w:w="4411" w:type="dxa"/>
            <w:tcBorders/>
            <w:shd w:fill="CCEEFF"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Net cash provided by operating activities</w:t>
            </w:r>
          </w:p>
        </w:tc>
        <w:tc>
          <w:tcPr>
            <w:tcW w:w="326" w:type="dxa"/>
            <w:tcBorders/>
            <w:shd w:fill="CCEEFF" w:val="clear"/>
            <w:vAlign w:val="center"/>
          </w:tcPr>
          <w:p>
            <w:pPr>
              <w:pStyle w:val="TableContents"/>
              <w:spacing w:before="0" w:after="1"/>
              <w:ind w:left="0" w:right="0" w:hanging="0"/>
              <w:rPr/>
            </w:pPr>
            <w:r>
              <w:rPr/>
              <w:t>​</w:t>
            </w:r>
          </w:p>
        </w:tc>
        <w:tc>
          <w:tcPr>
            <w:tcW w:w="18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5"/>
              </w:rPr>
            </w:pPr>
            <w:r>
              <w:rPr>
                <w:rFonts w:ascii="Times New Roman;Times;serif" w:hAnsi="Times New Roman;Times;serif"/>
                <w:b/>
                <w:sz w:val="15"/>
              </w:rPr>
              <w:t>11,356,512</w:t>
            </w:r>
          </w:p>
        </w:tc>
        <w:tc>
          <w:tcPr>
            <w:tcW w:w="326" w:type="dxa"/>
            <w:tcBorders/>
            <w:shd w:fill="CCEEFF" w:val="clear"/>
            <w:vAlign w:val="center"/>
          </w:tcPr>
          <w:p>
            <w:pPr>
              <w:pStyle w:val="TableContents"/>
              <w:spacing w:before="0" w:after="1"/>
              <w:ind w:left="0" w:right="0" w:hanging="0"/>
              <w:rPr/>
            </w:pPr>
            <w:r>
              <w:rPr/>
              <w:t>​</w:t>
            </w:r>
          </w:p>
        </w:tc>
        <w:tc>
          <w:tcPr>
            <w:tcW w:w="18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5"/>
              </w:rPr>
            </w:pPr>
            <w:r>
              <w:rPr>
                <w:rFonts w:ascii="Times New Roman;Times;serif" w:hAnsi="Times New Roman;Times;serif"/>
                <w:b/>
                <w:sz w:val="15"/>
              </w:rPr>
              <w:t>8,397,712</w:t>
            </w:r>
          </w:p>
        </w:tc>
      </w:tr>
      <w:tr>
        <w:trPr/>
        <w:tc>
          <w:tcPr>
            <w:tcW w:w="44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rPr/>
            </w:pPr>
            <w:r>
              <w:rPr/>
              <w:t>​</w:t>
            </w:r>
          </w:p>
        </w:tc>
      </w:tr>
      <w:tr>
        <w:trPr/>
        <w:tc>
          <w:tcPr>
            <w:tcW w:w="4411" w:type="dxa"/>
            <w:tcBorders/>
            <w:shd w:fill="CCEEFF"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Cash flows from investing activities:</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pPr>
            <w:r>
              <w:rPr/>
              <w:t>  </w:t>
            </w:r>
          </w:p>
        </w:tc>
      </w:tr>
      <w:tr>
        <w:trPr/>
        <w:tc>
          <w:tcPr>
            <w:tcW w:w="4411" w:type="dxa"/>
            <w:tcBorders/>
            <w:shd w:fill="auto"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Collection of notes receivable</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181,911</w:t>
            </w:r>
          </w:p>
        </w:tc>
      </w:tr>
      <w:tr>
        <w:trPr/>
        <w:tc>
          <w:tcPr>
            <w:tcW w:w="4411" w:type="dxa"/>
            <w:tcBorders/>
            <w:shd w:fill="CCEEFF"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Cash consideration for acquisition of business, net of cash acquired</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(62,371,226)</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(75,678,000)</w:t>
            </w:r>
          </w:p>
        </w:tc>
      </w:tr>
      <w:tr>
        <w:trPr/>
        <w:tc>
          <w:tcPr>
            <w:tcW w:w="4411" w:type="dxa"/>
            <w:tcBorders/>
            <w:shd w:fill="auto"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Purchase of fixed assets</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(14,813,145)</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(5,638,085)</w:t>
            </w:r>
          </w:p>
        </w:tc>
      </w:tr>
      <w:tr>
        <w:trPr/>
        <w:tc>
          <w:tcPr>
            <w:tcW w:w="4411" w:type="dxa"/>
            <w:tcBorders/>
            <w:shd w:fill="CCEEFF"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Purchase of intangible assets</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88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(29,580)</w:t>
            </w:r>
          </w:p>
        </w:tc>
      </w:tr>
      <w:tr>
        <w:trPr/>
        <w:tc>
          <w:tcPr>
            <w:tcW w:w="4411" w:type="dxa"/>
            <w:tcBorders/>
            <w:shd w:fill="auto"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Investment in private entity</w:t>
            </w:r>
          </w:p>
        </w:tc>
        <w:tc>
          <w:tcPr>
            <w:tcW w:w="326" w:type="dxa"/>
            <w:tcBorders/>
            <w:shd w:fill="auto" w:val="clear"/>
            <w:vAlign w:val="center"/>
          </w:tcPr>
          <w:p>
            <w:pPr>
              <w:pStyle w:val="TableContents"/>
              <w:spacing w:before="0" w:after="1"/>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(2,000,000)</w:t>
            </w:r>
          </w:p>
        </w:tc>
        <w:tc>
          <w:tcPr>
            <w:tcW w:w="326" w:type="dxa"/>
            <w:tcBorders/>
            <w:shd w:fill="auto" w:val="clear"/>
            <w:vAlign w:val="center"/>
          </w:tcPr>
          <w:p>
            <w:pPr>
              <w:pStyle w:val="TableContents"/>
              <w:spacing w:before="0" w:after="1"/>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4411" w:type="dxa"/>
            <w:tcBorders/>
            <w:shd w:fill="CCEEFF"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Net cash used in investing activities</w:t>
            </w:r>
          </w:p>
        </w:tc>
        <w:tc>
          <w:tcPr>
            <w:tcW w:w="326" w:type="dxa"/>
            <w:tcBorders/>
            <w:shd w:fill="CCEEFF" w:val="clear"/>
            <w:vAlign w:val="center"/>
          </w:tcPr>
          <w:p>
            <w:pPr>
              <w:pStyle w:val="TableContents"/>
              <w:spacing w:before="0" w:after="1"/>
              <w:ind w:left="0" w:right="0" w:hanging="0"/>
              <w:rPr/>
            </w:pPr>
            <w:r>
              <w:rPr/>
              <w:t>​</w:t>
            </w:r>
          </w:p>
        </w:tc>
        <w:tc>
          <w:tcPr>
            <w:tcW w:w="18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5"/>
              </w:rPr>
            </w:pPr>
            <w:r>
              <w:rPr>
                <w:rFonts w:ascii="Times New Roman;Times;serif" w:hAnsi="Times New Roman;Times;serif"/>
                <w:b/>
                <w:sz w:val="15"/>
              </w:rPr>
              <w:t>(79,184,371)</w:t>
            </w:r>
          </w:p>
        </w:tc>
        <w:tc>
          <w:tcPr>
            <w:tcW w:w="326" w:type="dxa"/>
            <w:tcBorders/>
            <w:shd w:fill="CCEEFF" w:val="clear"/>
            <w:vAlign w:val="center"/>
          </w:tcPr>
          <w:p>
            <w:pPr>
              <w:pStyle w:val="TableContents"/>
              <w:spacing w:before="0" w:after="1"/>
              <w:ind w:left="0" w:right="0" w:hanging="0"/>
              <w:rPr/>
            </w:pPr>
            <w:r>
              <w:rPr/>
              <w:t>​</w:t>
            </w:r>
          </w:p>
        </w:tc>
        <w:tc>
          <w:tcPr>
            <w:tcW w:w="18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5"/>
              </w:rPr>
            </w:pPr>
            <w:r>
              <w:rPr>
                <w:rFonts w:ascii="Times New Roman;Times;serif" w:hAnsi="Times New Roman;Times;serif"/>
                <w:b/>
                <w:sz w:val="15"/>
              </w:rPr>
              <w:t>(81,163,754)</w:t>
            </w:r>
          </w:p>
        </w:tc>
      </w:tr>
      <w:tr>
        <w:trPr/>
        <w:tc>
          <w:tcPr>
            <w:tcW w:w="44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rPr/>
            </w:pPr>
            <w:r>
              <w:rPr/>
              <w:t>​</w:t>
            </w:r>
          </w:p>
        </w:tc>
      </w:tr>
      <w:tr>
        <w:trPr/>
        <w:tc>
          <w:tcPr>
            <w:tcW w:w="4411" w:type="dxa"/>
            <w:tcBorders/>
            <w:shd w:fill="CCEEFF"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Cash flows from financing activities:</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pPr>
            <w:r>
              <w:rPr/>
              <w:t>  </w:t>
            </w:r>
          </w:p>
        </w:tc>
      </w:tr>
      <w:tr>
        <w:trPr/>
        <w:tc>
          <w:tcPr>
            <w:tcW w:w="4411" w:type="dxa"/>
            <w:tcBorders/>
            <w:shd w:fill="auto"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Proceeds from issuance of debt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132,517,383</w:t>
            </w:r>
          </w:p>
        </w:tc>
      </w:tr>
      <w:tr>
        <w:trPr/>
        <w:tc>
          <w:tcPr>
            <w:tcW w:w="4411" w:type="dxa"/>
            <w:tcBorders/>
            <w:shd w:fill="CCEEFF"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Repayment of notes payable</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(134,498)</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(4,865,502)</w:t>
            </w:r>
          </w:p>
        </w:tc>
      </w:tr>
      <w:tr>
        <w:trPr/>
        <w:tc>
          <w:tcPr>
            <w:tcW w:w="4411" w:type="dxa"/>
            <w:tcBorders/>
            <w:shd w:fill="auto"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Proceeds from issuance of common stock, net of issuance costs</w:t>
            </w:r>
          </w:p>
        </w:tc>
        <w:tc>
          <w:tcPr>
            <w:tcW w:w="326" w:type="dxa"/>
            <w:tcBorders/>
            <w:shd w:fill="auto" w:val="clear"/>
            <w:vAlign w:val="center"/>
          </w:tcPr>
          <w:p>
            <w:pPr>
              <w:pStyle w:val="TableContents"/>
              <w:spacing w:before="0" w:after="1"/>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511,393</w:t>
            </w:r>
          </w:p>
        </w:tc>
        <w:tc>
          <w:tcPr>
            <w:tcW w:w="326" w:type="dxa"/>
            <w:tcBorders/>
            <w:shd w:fill="auto" w:val="clear"/>
            <w:vAlign w:val="center"/>
          </w:tcPr>
          <w:p>
            <w:pPr>
              <w:pStyle w:val="TableContents"/>
              <w:spacing w:before="0" w:after="1"/>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50,283,142</w:t>
            </w:r>
          </w:p>
        </w:tc>
      </w:tr>
      <w:tr>
        <w:trPr/>
        <w:tc>
          <w:tcPr>
            <w:tcW w:w="4411" w:type="dxa"/>
            <w:tcBorders/>
            <w:shd w:fill="CCEEFF"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Net cash provided by financing activities</w:t>
            </w:r>
          </w:p>
        </w:tc>
        <w:tc>
          <w:tcPr>
            <w:tcW w:w="326" w:type="dxa"/>
            <w:tcBorders/>
            <w:shd w:fill="CCEEFF" w:val="clear"/>
            <w:vAlign w:val="center"/>
          </w:tcPr>
          <w:p>
            <w:pPr>
              <w:pStyle w:val="TableContents"/>
              <w:spacing w:before="0" w:after="1"/>
              <w:ind w:left="0" w:right="0" w:hanging="0"/>
              <w:rPr/>
            </w:pPr>
            <w:r>
              <w:rPr/>
              <w:t>​</w:t>
            </w:r>
          </w:p>
        </w:tc>
        <w:tc>
          <w:tcPr>
            <w:tcW w:w="18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5"/>
              </w:rPr>
            </w:pPr>
            <w:r>
              <w:rPr>
                <w:rFonts w:ascii="Times New Roman;Times;serif" w:hAnsi="Times New Roman;Times;serif"/>
                <w:b/>
                <w:sz w:val="15"/>
              </w:rPr>
              <w:t>376,895</w:t>
            </w:r>
          </w:p>
        </w:tc>
        <w:tc>
          <w:tcPr>
            <w:tcW w:w="326" w:type="dxa"/>
            <w:tcBorders/>
            <w:shd w:fill="CCEEFF" w:val="clear"/>
            <w:vAlign w:val="center"/>
          </w:tcPr>
          <w:p>
            <w:pPr>
              <w:pStyle w:val="TableContents"/>
              <w:spacing w:before="0" w:after="1"/>
              <w:ind w:left="0" w:right="0" w:hanging="0"/>
              <w:rPr/>
            </w:pPr>
            <w:r>
              <w:rPr/>
              <w:t>​</w:t>
            </w:r>
          </w:p>
        </w:tc>
        <w:tc>
          <w:tcPr>
            <w:tcW w:w="18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5"/>
              </w:rPr>
            </w:pPr>
            <w:r>
              <w:rPr>
                <w:rFonts w:ascii="Times New Roman;Times;serif" w:hAnsi="Times New Roman;Times;serif"/>
                <w:b/>
                <w:sz w:val="15"/>
              </w:rPr>
              <w:t>177,935,023</w:t>
            </w:r>
          </w:p>
        </w:tc>
      </w:tr>
      <w:tr>
        <w:trPr/>
        <w:tc>
          <w:tcPr>
            <w:tcW w:w="44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rPr/>
            </w:pPr>
            <w:r>
              <w:rPr/>
              <w:t>​</w:t>
            </w:r>
          </w:p>
        </w:tc>
      </w:tr>
      <w:tr>
        <w:trPr/>
        <w:tc>
          <w:tcPr>
            <w:tcW w:w="4411" w:type="dxa"/>
            <w:tcBorders/>
            <w:shd w:fill="CCEEFF"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Net (decrease) increase in cash and cash equivalents</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(67,450,964)</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105,168,981</w:t>
            </w:r>
          </w:p>
        </w:tc>
      </w:tr>
      <w:tr>
        <w:trPr/>
        <w:tc>
          <w:tcPr>
            <w:tcW w:w="4411" w:type="dxa"/>
            <w:tcBorders/>
            <w:shd w:fill="auto"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Cash and cash equivalents at beginning of period</w:t>
            </w:r>
          </w:p>
        </w:tc>
        <w:tc>
          <w:tcPr>
            <w:tcW w:w="326" w:type="dxa"/>
            <w:tcBorders/>
            <w:shd w:fill="auto" w:val="clear"/>
            <w:vAlign w:val="center"/>
          </w:tcPr>
          <w:p>
            <w:pPr>
              <w:pStyle w:val="TableContents"/>
              <w:spacing w:before="0" w:after="1"/>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106,400,216</w:t>
            </w:r>
          </w:p>
        </w:tc>
        <w:tc>
          <w:tcPr>
            <w:tcW w:w="326" w:type="dxa"/>
            <w:tcBorders/>
            <w:shd w:fill="auto" w:val="clear"/>
            <w:vAlign w:val="center"/>
          </w:tcPr>
          <w:p>
            <w:pPr>
              <w:pStyle w:val="TableContents"/>
              <w:spacing w:before="0" w:after="1"/>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1,231,235</w:t>
            </w:r>
          </w:p>
        </w:tc>
      </w:tr>
      <w:tr>
        <w:trPr/>
        <w:tc>
          <w:tcPr>
            <w:tcW w:w="4411" w:type="dxa"/>
            <w:tcBorders/>
            <w:shd w:fill="CCEEFF" w:val="clear"/>
            <w:vAlign w:val="center"/>
          </w:tcPr>
          <w:p>
            <w:pPr>
              <w:pStyle w:val="TableContents"/>
              <w:spacing w:before="0" w:after="1"/>
              <w:ind w:left="0" w:right="0" w:hanging="0"/>
              <w:rPr>
                <w:rFonts w:ascii="Times New Roman;Times;serif" w:hAnsi="Times New Roman;Times;serif"/>
                <w:b/>
                <w:sz w:val="15"/>
              </w:rPr>
            </w:pPr>
            <w:r>
              <w:rPr>
                <w:rFonts w:ascii="Times New Roman;Times;serif" w:hAnsi="Times New Roman;Times;serif"/>
                <w:b/>
                <w:sz w:val="15"/>
              </w:rPr>
              <w:t>Cash and cash equivalents at end of period</w:t>
            </w:r>
          </w:p>
        </w:tc>
        <w:tc>
          <w:tcPr>
            <w:tcW w:w="326" w:type="dxa"/>
            <w:tcBorders/>
            <w:shd w:fill="CCEEFF" w:val="clear"/>
            <w:vAlign w:val="center"/>
          </w:tcPr>
          <w:p>
            <w:pPr>
              <w:pStyle w:val="TableContents"/>
              <w:spacing w:before="0" w:after="1"/>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5"/>
              </w:rPr>
            </w:pPr>
            <w:r>
              <w:rPr>
                <w:rFonts w:ascii="Times New Roman;Times;serif" w:hAnsi="Times New Roman;Times;serif"/>
                <w:b/>
                <w:sz w:val="15"/>
              </w:rPr>
              <w:t>$</w:t>
            </w:r>
          </w:p>
        </w:tc>
        <w:tc>
          <w:tcPr>
            <w:tcW w:w="88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5"/>
              </w:rPr>
            </w:pPr>
            <w:r>
              <w:rPr>
                <w:rFonts w:ascii="Times New Roman;Times;serif" w:hAnsi="Times New Roman;Times;serif"/>
                <w:b/>
                <w:sz w:val="15"/>
              </w:rPr>
              <w:t>38,949,253</w:t>
            </w:r>
          </w:p>
        </w:tc>
        <w:tc>
          <w:tcPr>
            <w:tcW w:w="326" w:type="dxa"/>
            <w:tcBorders/>
            <w:shd w:fill="CCEEFF" w:val="clear"/>
            <w:vAlign w:val="center"/>
          </w:tcPr>
          <w:p>
            <w:pPr>
              <w:pStyle w:val="TableContents"/>
              <w:spacing w:before="0" w:after="1"/>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sz w:val="15"/>
              </w:rPr>
            </w:pPr>
            <w:r>
              <w:rPr>
                <w:rFonts w:ascii="Times New Roman;Times;serif" w:hAnsi="Times New Roman;Times;serif"/>
                <w:b/>
                <w:sz w:val="15"/>
              </w:rPr>
              <w:t>$</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5"/>
              </w:rPr>
            </w:pPr>
            <w:r>
              <w:rPr>
                <w:rFonts w:ascii="Times New Roman;Times;serif" w:hAnsi="Times New Roman;Times;serif"/>
                <w:b/>
                <w:sz w:val="15"/>
              </w:rPr>
              <w:t>106,400,216</w:t>
            </w:r>
          </w:p>
        </w:tc>
      </w:tr>
      <w:tr>
        <w:trPr/>
        <w:tc>
          <w:tcPr>
            <w:tcW w:w="44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rPr>
                <w:color w:val="FF0000"/>
              </w:rPr>
            </w:pPr>
            <w:r>
              <w:rPr>
                <w:color w:val="FF0000"/>
              </w:rPr>
              <w:t>​</w:t>
            </w:r>
          </w:p>
        </w:tc>
      </w:tr>
      <w:tr>
        <w:trPr/>
        <w:tc>
          <w:tcPr>
            <w:tcW w:w="4411" w:type="dxa"/>
            <w:tcBorders/>
            <w:shd w:fill="CCEEFF"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Supplemental disclosure of cash flow information:</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pPr>
            <w:r>
              <w:rPr/>
              <w:t>  </w:t>
            </w:r>
          </w:p>
        </w:tc>
      </w:tr>
      <w:tr>
        <w:trPr/>
        <w:tc>
          <w:tcPr>
            <w:tcW w:w="4411" w:type="dxa"/>
            <w:tcBorders/>
            <w:shd w:fill="auto"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Cash paid for interest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15,423,990</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5,759,220</w:t>
            </w:r>
          </w:p>
        </w:tc>
      </w:tr>
      <w:tr>
        <w:trPr/>
        <w:tc>
          <w:tcPr>
            <w:tcW w:w="4411" w:type="dxa"/>
            <w:tcBorders/>
            <w:shd w:fill="CCEEFF"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Cash paid for income taxes</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12,340,000</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2,100,000</w:t>
            </w:r>
          </w:p>
        </w:tc>
      </w:tr>
      <w:tr>
        <w:trPr/>
        <w:tc>
          <w:tcPr>
            <w:tcW w:w="44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rPr/>
            </w:pPr>
            <w:r>
              <w:rPr/>
              <w:t>​</w:t>
            </w:r>
          </w:p>
        </w:tc>
      </w:tr>
      <w:tr>
        <w:trPr/>
        <w:tc>
          <w:tcPr>
            <w:tcW w:w="4411" w:type="dxa"/>
            <w:tcBorders/>
            <w:shd w:fill="CCEEFF"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Supplemental disclosure of non-cash investing and financing activities:</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pPr>
            <w:r>
              <w:rPr/>
              <w:t>  </w:t>
            </w:r>
          </w:p>
        </w:tc>
      </w:tr>
      <w:tr>
        <w:trPr/>
        <w:tc>
          <w:tcPr>
            <w:tcW w:w="4411" w:type="dxa"/>
            <w:tcBorders/>
            <w:shd w:fill="auto"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Settling of note receivable for equipment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131,389</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w:t>
            </w:r>
          </w:p>
        </w:tc>
        <w:tc>
          <w:tcPr>
            <w:tcW w:w="931" w:type="dxa"/>
            <w:tcBorders/>
            <w:shd w:fill="auto" w:val="clear"/>
            <w:vAlign w:val="center"/>
          </w:tcPr>
          <w:p>
            <w:pPr>
              <w:pStyle w:val="TableContents"/>
              <w:spacing w:before="0" w:after="1"/>
              <w:ind w:left="0" w:right="0" w:hanging="0"/>
              <w:jc w:val="right"/>
              <w:rPr/>
            </w:pPr>
            <w:r>
              <w:rPr/>
              <w:t>—</w:t>
            </w:r>
          </w:p>
        </w:tc>
      </w:tr>
      <w:tr>
        <w:trPr/>
        <w:tc>
          <w:tcPr>
            <w:tcW w:w="4411" w:type="dxa"/>
            <w:tcBorders/>
            <w:shd w:fill="CCEEFF"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Issuance of debt for acquisition</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17,000,000</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pPr>
            <w:r>
              <w:rPr/>
              <w:t>—</w:t>
            </w:r>
          </w:p>
        </w:tc>
      </w:tr>
      <w:tr>
        <w:trPr/>
        <w:tc>
          <w:tcPr>
            <w:tcW w:w="4411" w:type="dxa"/>
            <w:tcBorders/>
            <w:shd w:fill="auto"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Return of common stock</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555,010</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184,536</w:t>
            </w:r>
          </w:p>
        </w:tc>
      </w:tr>
      <w:tr>
        <w:trPr/>
        <w:tc>
          <w:tcPr>
            <w:tcW w:w="4411" w:type="dxa"/>
            <w:tcBorders/>
            <w:shd w:fill="CCEEFF"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Issuance of stock as payment for acquisitions</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15,777,373</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22,744,003</w:t>
            </w:r>
          </w:p>
        </w:tc>
      </w:tr>
      <w:tr>
        <w:trPr/>
        <w:tc>
          <w:tcPr>
            <w:tcW w:w="4411" w:type="dxa"/>
            <w:tcBorders/>
            <w:shd w:fill="auto"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Deferred tax liability from acquisition</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(3,214,080)</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pPr>
            <w:r>
              <w:rPr/>
              <w:t>—</w:t>
            </w:r>
          </w:p>
        </w:tc>
      </w:tr>
      <w:tr>
        <w:trPr/>
        <w:tc>
          <w:tcPr>
            <w:tcW w:w="4411" w:type="dxa"/>
            <w:tcBorders/>
            <w:shd w:fill="CCEEFF"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Issuance of preferred stock in connection with private offerings</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88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49,688,553</w:t>
            </w:r>
          </w:p>
        </w:tc>
      </w:tr>
      <w:tr>
        <w:trPr/>
        <w:tc>
          <w:tcPr>
            <w:tcW w:w="4411" w:type="dxa"/>
            <w:tcBorders/>
            <w:shd w:fill="auto"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Conversion of preferred stock to common stock</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272,000</w:t>
            </w:r>
          </w:p>
        </w:tc>
      </w:tr>
      <w:tr>
        <w:trPr/>
        <w:tc>
          <w:tcPr>
            <w:tcW w:w="4411" w:type="dxa"/>
            <w:tcBorders/>
            <w:shd w:fill="CCEEFF"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Acquisitions:</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88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pPr>
            <w:r>
              <w:rPr/>
              <w:t>​</w:t>
            </w:r>
          </w:p>
        </w:tc>
      </w:tr>
      <w:tr>
        <w:trPr/>
        <w:tc>
          <w:tcPr>
            <w:tcW w:w="4411" w:type="dxa"/>
            <w:tcBorders/>
            <w:shd w:fill="auto"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Tangible and Intangible assets acquired, net of cash</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34,402,043</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pPr>
            <w:r>
              <w:rPr/>
              <w:t>—</w:t>
            </w:r>
          </w:p>
        </w:tc>
      </w:tr>
      <w:tr>
        <w:trPr/>
        <w:tc>
          <w:tcPr>
            <w:tcW w:w="4411" w:type="dxa"/>
            <w:tcBorders/>
            <w:shd w:fill="CCEEFF"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Liabilities assumed</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(1,837,221)</w:t>
            </w:r>
          </w:p>
        </w:tc>
        <w:tc>
          <w:tcPr>
            <w:tcW w:w="326"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pPr>
            <w:r>
              <w:rPr/>
              <w:t>—</w:t>
            </w:r>
          </w:p>
        </w:tc>
      </w:tr>
      <w:tr>
        <w:trPr/>
        <w:tc>
          <w:tcPr>
            <w:tcW w:w="4411" w:type="dxa"/>
            <w:tcBorders/>
            <w:shd w:fill="auto" w:val="clear"/>
            <w:vAlign w:val="center"/>
          </w:tcPr>
          <w:p>
            <w:pPr>
              <w:pStyle w:val="TableContents"/>
              <w:spacing w:before="0" w:after="1"/>
              <w:ind w:left="0" w:right="0" w:hanging="0"/>
              <w:rPr>
                <w:rFonts w:ascii="Times New Roman;Times;serif" w:hAnsi="Times New Roman;Times;serif"/>
                <w:sz w:val="15"/>
              </w:rPr>
            </w:pPr>
            <w:r>
              <w:rPr>
                <w:rFonts w:ascii="Times New Roman;Times;serif" w:hAnsi="Times New Roman;Times;serif"/>
                <w:sz w:val="15"/>
              </w:rPr>
              <w:t>Goodwill</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15"/>
              </w:rPr>
            </w:pPr>
            <w:r>
              <w:rPr>
                <w:rFonts w:ascii="Times New Roman;Times;serif" w:hAnsi="Times New Roman;Times;serif"/>
                <w:sz w:val="15"/>
              </w:rPr>
              <w:t>62,368,339</w:t>
            </w:r>
          </w:p>
        </w:tc>
        <w:tc>
          <w:tcPr>
            <w:tcW w:w="326"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45" w:hanging="0"/>
              <w:jc w:val="right"/>
              <w:rPr/>
            </w:pPr>
            <w:r>
              <w:rPr/>
              <w:t>—</w:t>
            </w:r>
          </w:p>
        </w:tc>
      </w:tr>
    </w:tbl>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776" w:name="_Hlk129365450"/>
      <w:bookmarkStart w:id="777" w:name="_0f3fd10e_fd0c_44f5_a9e1_eb07d6bc2eca"/>
      <w:bookmarkEnd w:id="776"/>
      <w:bookmarkEnd w:id="777"/>
      <w:r>
        <w:rPr>
          <w:rFonts w:ascii="Times New Roman;Times;serif" w:hAnsi="Times New Roman;Times;serif"/>
          <w:b/>
          <w:sz w:val="20"/>
        </w:rPr>
        <w:t>MEDICINE MAN TECHNOLOGIES, INC.</w:t>
      </w:r>
    </w:p>
    <w:p>
      <w:pPr>
        <w:pStyle w:val="TextBody"/>
        <w:spacing w:before="0" w:after="240"/>
        <w:ind w:left="0" w:right="0" w:hanging="0"/>
        <w:jc w:val="center"/>
        <w:rPr>
          <w:rFonts w:ascii="Times New Roman;Times;serif" w:hAnsi="Times New Roman;Times;serif"/>
          <w:b/>
          <w:sz w:val="20"/>
        </w:rPr>
      </w:pPr>
      <w:bookmarkStart w:id="778" w:name="NOTESTOTHEFINANCIALSTATEMENTS_361288"/>
      <w:bookmarkEnd w:id="778"/>
      <w:r>
        <w:rPr>
          <w:rFonts w:ascii="Times New Roman;Times;serif" w:hAnsi="Times New Roman;Times;serif"/>
          <w:b/>
          <w:sz w:val="20"/>
        </w:rPr>
        <w:t>NOTES TO THE CONSOLIDATED FINANCIAL STATEMENTS</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1.</w:t>
      </w:r>
      <w:r>
        <w:rPr>
          <w:rFonts w:ascii="Times New Roman;Times;serif" w:hAnsi="Times New Roman;Times;serif"/>
          <w:b/>
          <w:sz w:val="20"/>
        </w:rPr>
        <w:t>Organization and Nature of Operations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val="false"/>
          <w:i/>
          <w:sz w:val="20"/>
        </w:rPr>
        <w:t>Business Description</w:t>
      </w:r>
      <w:r>
        <w:rPr>
          <w:rFonts w:ascii="Times New Roman;Times;serif" w:hAnsi="Times New Roman;Times;serif"/>
          <w:b/>
          <w:sz w:val="20"/>
        </w:rPr>
        <w:t xml:space="preserve"> – </w:t>
      </w:r>
      <w:r>
        <w:rPr>
          <w:rFonts w:ascii="Times New Roman;Times;serif" w:hAnsi="Times New Roman;Times;serif"/>
          <w:b w:val="false"/>
          <w:i/>
          <w:sz w:val="20"/>
        </w:rPr>
        <w:t>Business Activity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were incorporated in Nevada on March 20, 2014. On May 1, 2014, the Company entered into an exclusive Technology License Agreement with Medicine Man Denver whereby Medicine Man Denver granted us a license to use all of their proprietary processes they have developed, implemented and practiced at their cannabis facilities relating to the commercial growth, cultivation, marketing and distribution of medical marijuana and recreational marijuana pursuant to relevant state laws and the right to use and to license such information, including trade secrets, skills and experience (present and future). The Company’s operations are organized into three different segments as follows: (i) Retail, consisting of retail locations for sale of cannabis products in Colorado and New Mexico, (ii) Wholesale, consisting of manufacturing, cultivation and sale of wholesale cannabis and non-cannabis products, and (iii) Other, consisting of all other income and expenses, including those related to certain in-store marketing and promotional activities and corporate operations.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April 20, 2020, the Company rebranded and conducts its business under the trade name, Schwazze. The corporate name of the Company continues to be Medicine Man Technologies, Inc. Effective April 21, 2020, the Company commenced trading under the OTC ticker symbol SHWZ. On March 23, 2022, the Company began trading on the NEO, a tier one Canadian Stock exchange based in Toronto, Ontario, under the ticker symbol SHWZ.</w:t>
      </w:r>
    </w:p>
    <w:p>
      <w:pPr>
        <w:pStyle w:val="TextBody"/>
        <w:spacing w:before="0" w:after="240"/>
        <w:ind w:left="0" w:right="0" w:hanging="0"/>
        <w:rPr>
          <w:rFonts w:ascii="Times New Roman;Times;serif" w:hAnsi="Times New Roman;Times;serif"/>
          <w:sz w:val="20"/>
        </w:rPr>
      </w:pPr>
      <w:bookmarkStart w:id="779" w:name="_Hlk129119696"/>
      <w:bookmarkEnd w:id="779"/>
      <w:r>
        <w:rPr>
          <w:rFonts w:ascii="Times New Roman;Times;serif" w:hAnsi="Times New Roman;Times;serif"/>
          <w:b/>
          <w:i w:val="false"/>
          <w:caps w:val="false"/>
          <w:smallCaps w:val="false"/>
          <w:sz w:val="20"/>
        </w:rPr>
        <w:t>2.</w:t>
      </w:r>
      <w:r>
        <w:rPr>
          <w:rFonts w:ascii="Times New Roman;Times;serif" w:hAnsi="Times New Roman;Times;serif"/>
          <w:b/>
          <w:sz w:val="20"/>
        </w:rPr>
        <w:t>Accounting Policies and Estimates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Basis of Presentation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These accompanying financial statements have been prepared in accordance with GAAP and pursuant to the rules and regulations of the SEC for consolidated financial statements. All intercompany accounts and transactions are eliminated in consolidation.</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Use of Estimates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preparation of financial statements in conformity with GAAP requires management to make estimates and assumptions that affect the amounts reported therein. Due to the inherent uncertainty involved in making estimates, actual results reported in future periods may be based upon amounts that differ from these estimates.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Reclassifications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Certain prior period amounts have been reclassified to conform to the current period presentation. These reclassifications had no impact on net earnings and financial position. In accordance with ASC 230 </w:t>
      </w:r>
      <w:r>
        <w:rPr>
          <w:rFonts w:ascii="Times New Roman;Times;serif" w:hAnsi="Times New Roman;Times;serif"/>
          <w:i/>
          <w:sz w:val="20"/>
        </w:rPr>
        <w:t>Statement of Cash Flows,</w:t>
      </w:r>
      <w:r>
        <w:rPr>
          <w:rFonts w:ascii="Times New Roman;Times;serif" w:hAnsi="Times New Roman;Times;serif"/>
          <w:sz w:val="20"/>
        </w:rPr>
        <w:t xml:space="preserve"> the Company updated its 2021 statement of cash flows presentation to reflect cash proceeds from financing and the change in the derivative from the valuation date. This change had no impact on net earnings and financial position.</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Accounting for Business Combinations and Acquisitions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accounts for acquisitions in which it obtains control of one or more businesses as a business combination. The purchase price of the acquired businesses is allocated to the tangible and intangible assets acquired and liabilities assumed based on their estimated fair values at the acquisition date. The excess of the purchase price over those fair values is recognized as goodwill. During the measurement period, which may be up to one year from the acquisition date, the Company may record adjustments, in the period in which they are determined, to the assets acquired and liabilities assumed with the corresponding offset to goodwill. If the assets acquired are not a business, the Company accounts for the transaction or other event as an asset acquisition. Under both methods, the Company recognizes the identifiable assets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bookmarkStart w:id="780" w:name="Tc_jHy-xhKOe0O02As3UGIsjg_4_6"/>
      <w:bookmarkStart w:id="781" w:name="Tc_JmcZRGeZxE6O_TomRJsMCw_4_0"/>
      <w:bookmarkStart w:id="782" w:name="Tc_8d62lnqo0Uel6zfmdtZFXA_3_3"/>
      <w:bookmarkStart w:id="783" w:name="Tc_-QUXwMDyjEGSRbCOH6qaXQ_3_0"/>
      <w:bookmarkStart w:id="784" w:name="Tc_VdSwp_TpJEGKBF17wAPTjA_2_5"/>
      <w:bookmarkStart w:id="785" w:name="Tc_flYIDpl3xU-ZpO-flXWmdg_2_2"/>
      <w:bookmarkStart w:id="786" w:name="Tc_Noy04cWwtUKZspBGhGrSbA_1_5"/>
      <w:bookmarkStart w:id="787" w:name="Tc_94mhuICcqE-tpXYADHNzQA_1_2"/>
      <w:bookmarkEnd w:id="780"/>
      <w:bookmarkEnd w:id="781"/>
      <w:bookmarkEnd w:id="782"/>
      <w:bookmarkEnd w:id="783"/>
      <w:bookmarkEnd w:id="784"/>
      <w:bookmarkEnd w:id="785"/>
      <w:bookmarkEnd w:id="786"/>
      <w:bookmarkEnd w:id="787"/>
      <w:r>
        <w:rPr>
          <w:rFonts w:ascii="Times New Roman;Times;serif" w:hAnsi="Times New Roman;Times;serif"/>
          <w:sz w:val="20"/>
        </w:rPr>
        <w:t>acquired, the liabilities assumed, and any noncontrolling interest in the acquired entity. In addition, for transactions that are business combinations, the Company evaluates the existence of goodwill or a gain from a bargain purchase.</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Fair Value Measurements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fair value hierarchy is based on three levels of inputs, of which the first two are considered observable and the last unobservable, as follows: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Level 1 – Quoted prices in active markets for identical assets or liabilities.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Level 3 – Unobservable inputs that are supported by little or no market activity and that are significant to the measurement of the fair value of the assets or liabilities.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financial instruments consist of cash, accounts receivable, notes receivable, investments, tenant deposits, accounts payable, accrued liabilities, notes payable, derivative liability and warrant liability. The carrying values of these financial instruments approximate their fair value due to their short maturities. The carrying amount of the Company’s debt approximates fair value because the interest rates on these instruments approximate the interest rate on debt with similar terms available to us. The Company’s derivative liability was adjusted to fair market value at the end of each reporting period, using Level 3 inputs.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is the Company’s assets and liabilities measured at fair value on a recurring and nonrecurring basis on December 31, 2022 and December 31, 2021, using quoted prices in active markets for identical assets (Level 1), significant other observable inputs (Level 2), and significant unobservable inputs (Level 3):</w:t>
      </w:r>
    </w:p>
    <w:p>
      <w:pPr>
        <w:pStyle w:val="TextBody"/>
        <w:spacing w:before="0" w:after="0"/>
        <w:ind w:left="0" w:right="0" w:hanging="0"/>
        <w:rPr/>
      </w:pPr>
      <w:r>
        <w:rPr/>
        <w:t>​</w:t>
      </w:r>
    </w:p>
    <w:tbl>
      <w:tblPr>
        <w:tblW w:w="8168" w:type="dxa"/>
        <w:jc w:val="left"/>
        <w:tblInd w:w="0" w:type="dxa"/>
        <w:tblCellMar>
          <w:top w:w="0" w:type="dxa"/>
          <w:left w:w="0" w:type="dxa"/>
          <w:bottom w:w="0" w:type="dxa"/>
          <w:right w:w="0" w:type="dxa"/>
        </w:tblCellMar>
      </w:tblPr>
      <w:tblGrid>
        <w:gridCol w:w="5191"/>
        <w:gridCol w:w="326"/>
        <w:gridCol w:w="138"/>
        <w:gridCol w:w="1002"/>
        <w:gridCol w:w="326"/>
        <w:gridCol w:w="137"/>
        <w:gridCol w:w="1048"/>
      </w:tblGrid>
      <w:tr>
        <w:trPr/>
        <w:tc>
          <w:tcPr>
            <w:tcW w:w="51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3296285" cy="175260"/>
                      <wp:effectExtent l="0" t="0" r="0" b="0"/>
                      <wp:wrapNone/>
                      <wp:docPr id="74" name="Frame74"/>
                      <a:graphic xmlns:a="http://schemas.openxmlformats.org/drawingml/2006/main">
                        <a:graphicData uri="http://schemas.microsoft.com/office/word/2010/wordprocessingShape">
                          <wps:wsp>
                            <wps:cNvSpPr txBox="1"/>
                            <wps:spPr>
                              <a:xfrm>
                                <a:off x="0" y="0"/>
                                <a:ext cx="32962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5" name="Frame7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87630" cy="175260"/>
                      <wp:effectExtent l="0" t="0" r="0" b="0"/>
                      <wp:wrapNone/>
                      <wp:docPr id="76" name="Frame76"/>
                      <a:graphic xmlns:a="http://schemas.openxmlformats.org/drawingml/2006/main">
                        <a:graphicData uri="http://schemas.microsoft.com/office/word/2010/wordprocessingShape">
                          <wps:wsp>
                            <wps:cNvSpPr txBox="1"/>
                            <wps:spPr>
                              <a:xfrm>
                                <a:off x="0" y="0"/>
                                <a:ext cx="876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0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36270" cy="175260"/>
                      <wp:effectExtent l="0" t="0" r="0" b="0"/>
                      <wp:wrapNone/>
                      <wp:docPr id="77" name="Frame77"/>
                      <a:graphic xmlns:a="http://schemas.openxmlformats.org/drawingml/2006/main">
                        <a:graphicData uri="http://schemas.microsoft.com/office/word/2010/wordprocessingShape">
                          <wps:wsp>
                            <wps:cNvSpPr txBox="1"/>
                            <wps:spPr>
                              <a:xfrm>
                                <a:off x="0" y="0"/>
                                <a:ext cx="6362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8" name="Frame7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86995" cy="175260"/>
                      <wp:effectExtent l="0" t="0" r="0" b="0"/>
                      <wp:wrapNone/>
                      <wp:docPr id="79" name="Frame79"/>
                      <a:graphic xmlns:a="http://schemas.openxmlformats.org/drawingml/2006/main">
                        <a:graphicData uri="http://schemas.microsoft.com/office/word/2010/wordprocessingShape">
                          <wps:wsp>
                            <wps:cNvSpPr txBox="1"/>
                            <wps:spPr>
                              <a:xfrm>
                                <a:off x="0" y="0"/>
                                <a:ext cx="869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4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65480" cy="175260"/>
                      <wp:effectExtent l="0" t="0" r="0" b="0"/>
                      <wp:wrapNone/>
                      <wp:docPr id="80" name="Frame80"/>
                      <a:graphic xmlns:a="http://schemas.openxmlformats.org/drawingml/2006/main">
                        <a:graphicData uri="http://schemas.microsoft.com/office/word/2010/wordprocessingShape">
                          <wps:wsp>
                            <wps:cNvSpPr txBox="1"/>
                            <wps:spPr>
                              <a:xfrm>
                                <a:off x="0" y="0"/>
                                <a:ext cx="6654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1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14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shd w:fill="auto" w:val="clear"/>
            <w:vAlign w:val="center"/>
          </w:tcPr>
          <w:p>
            <w:pPr>
              <w:pStyle w:val="TableContents"/>
              <w:spacing w:before="0" w:after="1"/>
              <w:ind w:left="0" w:right="0" w:hanging="0"/>
              <w:jc w:val="center"/>
              <w:rPr/>
            </w:pPr>
            <w:r>
              <w:rPr/>
              <w:t>​</w:t>
            </w:r>
          </w:p>
        </w:tc>
        <w:tc>
          <w:tcPr>
            <w:tcW w:w="118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51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14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jc w:val="center"/>
              <w:rPr/>
            </w:pPr>
            <w:r>
              <w:rPr/>
              <w:t>    </w:t>
            </w:r>
          </w:p>
        </w:tc>
        <w:tc>
          <w:tcPr>
            <w:tcW w:w="118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51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Level 1 - Marketable Securities Available-for-Sale – Recurring</w:t>
            </w:r>
          </w:p>
        </w:tc>
        <w:tc>
          <w:tcPr>
            <w:tcW w:w="326" w:type="dxa"/>
            <w:tcBorders/>
            <w:shd w:fill="CCEEFF" w:val="clear"/>
            <w:vAlign w:val="center"/>
          </w:tcPr>
          <w:p>
            <w:pPr>
              <w:pStyle w:val="TableContents"/>
              <w:spacing w:before="0" w:after="1"/>
              <w:ind w:left="0" w:right="0" w:hanging="0"/>
              <w:jc w:val="center"/>
              <w:rPr/>
            </w:pPr>
            <w:r>
              <w:rPr/>
              <w:t>​</w:t>
            </w:r>
          </w:p>
        </w:tc>
        <w:tc>
          <w:tcPr>
            <w:tcW w:w="138" w:type="dxa"/>
            <w:tcBorders/>
            <w:shd w:fill="CCEEFF" w:val="clear"/>
            <w:vAlign w:val="center"/>
          </w:tcPr>
          <w:p>
            <w:pPr>
              <w:pStyle w:val="TableContents"/>
              <w:spacing w:before="0" w:after="1"/>
              <w:ind w:left="0" w:right="0" w:hanging="0"/>
              <w:rPr/>
            </w:pPr>
            <w:r>
              <w:rPr/>
              <w:t>​</w:t>
            </w:r>
          </w:p>
        </w:tc>
        <w:tc>
          <w:tcPr>
            <w:tcW w:w="100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center"/>
              <w:rPr/>
            </w:pPr>
            <w:r>
              <w:rPr/>
              <w:t>​</w:t>
            </w:r>
          </w:p>
        </w:tc>
        <w:tc>
          <w:tcPr>
            <w:tcW w:w="137" w:type="dxa"/>
            <w:tcBorders/>
            <w:shd w:fill="CCEEFF" w:val="clear"/>
            <w:vAlign w:val="center"/>
          </w:tcPr>
          <w:p>
            <w:pPr>
              <w:pStyle w:val="TableContents"/>
              <w:spacing w:before="0" w:after="1"/>
              <w:ind w:left="0" w:right="0" w:hanging="0"/>
              <w:rPr/>
            </w:pPr>
            <w:r>
              <w:rPr/>
              <w:t>​</w:t>
            </w:r>
          </w:p>
        </w:tc>
        <w:tc>
          <w:tcPr>
            <w:tcW w:w="104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493,553</w:t>
            </w:r>
          </w:p>
        </w:tc>
      </w:tr>
      <w:tr>
        <w:trPr/>
        <w:tc>
          <w:tcPr>
            <w:tcW w:w="51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Level 3 - Marketable Securities Available-for-Sale – Recurring</w:t>
            </w:r>
          </w:p>
        </w:tc>
        <w:tc>
          <w:tcPr>
            <w:tcW w:w="326" w:type="dxa"/>
            <w:tcBorders/>
            <w:shd w:fill="auto" w:val="clear"/>
            <w:vAlign w:val="center"/>
          </w:tcPr>
          <w:p>
            <w:pPr>
              <w:pStyle w:val="TableContents"/>
              <w:spacing w:before="0" w:after="1"/>
              <w:ind w:left="0" w:right="0" w:hanging="0"/>
              <w:rPr/>
            </w:pPr>
            <w:r>
              <w:rPr/>
              <w:t>​</w:t>
            </w:r>
          </w:p>
        </w:tc>
        <w:tc>
          <w:tcPr>
            <w:tcW w:w="138" w:type="dxa"/>
            <w:tcBorders/>
            <w:shd w:fill="auto" w:val="clear"/>
            <w:vAlign w:val="center"/>
          </w:tcPr>
          <w:p>
            <w:pPr>
              <w:pStyle w:val="TableContents"/>
              <w:spacing w:before="0" w:after="1"/>
              <w:ind w:left="0" w:right="0" w:hanging="0"/>
              <w:rPr/>
            </w:pPr>
            <w:r>
              <w:rPr/>
              <w:t>​</w:t>
            </w:r>
          </w:p>
        </w:tc>
        <w:tc>
          <w:tcPr>
            <w:tcW w:w="100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454,283</w:t>
            </w:r>
          </w:p>
        </w:tc>
        <w:tc>
          <w:tcPr>
            <w:tcW w:w="326" w:type="dxa"/>
            <w:tcBorders/>
            <w:shd w:fill="auto" w:val="clear"/>
            <w:vAlign w:val="center"/>
          </w:tcPr>
          <w:p>
            <w:pPr>
              <w:pStyle w:val="TableContents"/>
              <w:spacing w:before="0" w:after="1"/>
              <w:ind w:left="0" w:right="0" w:hanging="0"/>
              <w:rPr/>
            </w:pPr>
            <w:r>
              <w:rPr/>
              <w:t>​</w:t>
            </w:r>
          </w:p>
        </w:tc>
        <w:tc>
          <w:tcPr>
            <w:tcW w:w="137" w:type="dxa"/>
            <w:tcBorders/>
            <w:shd w:fill="auto" w:val="clear"/>
            <w:vAlign w:val="center"/>
          </w:tcPr>
          <w:p>
            <w:pPr>
              <w:pStyle w:val="TableContents"/>
              <w:spacing w:before="0" w:after="1"/>
              <w:ind w:left="0" w:right="0" w:hanging="0"/>
              <w:rPr/>
            </w:pPr>
            <w:r>
              <w:rPr/>
              <w:t>​</w:t>
            </w:r>
          </w:p>
        </w:tc>
        <w:tc>
          <w:tcPr>
            <w:tcW w:w="1048" w:type="dxa"/>
            <w:tcBorders/>
            <w:shd w:fill="auto" w:val="clear"/>
            <w:vAlign w:val="center"/>
          </w:tcPr>
          <w:p>
            <w:pPr>
              <w:pStyle w:val="TableContents"/>
              <w:spacing w:before="0" w:after="1"/>
              <w:ind w:left="0" w:right="68" w:hanging="0"/>
              <w:jc w:val="right"/>
              <w:rPr/>
            </w:pPr>
            <w:r>
              <w:rPr/>
              <w:t>—</w:t>
            </w:r>
          </w:p>
        </w:tc>
      </w:tr>
    </w:tbl>
    <w:p>
      <w:pPr>
        <w:pStyle w:val="TextBody"/>
        <w:spacing w:before="0" w:after="240"/>
        <w:ind w:left="0" w:right="0" w:hanging="0"/>
        <w:jc w:val="both"/>
        <w:rPr/>
      </w:pPr>
      <w:r>
        <w:rPr/>
        <w:t>​</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Marketable Securities at Fair Value on a Recurring Basis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Certain assets are measured at fair value on a recurring basis. The Level 1 position consists of an investment in equity securities of Canada House Wellness Group, Inc., a publicly traded company whose securities are actively quoted on the Toronto Stock Exchange. As of December 31, 2022, the equity investment in Canada House Wellness Group, Inc. was determined to be Level 3 as the entity has halted trading due to a merger and is scheduled to resume trading once the purchase is complete. The Company used the last trading price to record the value at market as the observable and active market price has been halted. </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Investments held at cost</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Investments without readily determinable fair value are measured at cost, less impairment. If the Company identifies an observable price change in an orderly transaction for an investment held at cost, it will measure the investment at fair value as of the date the observable transaction occurred. The Company shall reassess at each reporting period whether such investments should continue to be measured at cost, less impairment, or another method. Any resulting gain or loss from a change in measurement will be recorded in other income and expenses on the consolidated statement of comprehensive income. Investments held at cost are reported within investments on the consolidated balance sheets. The Company has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bookmarkStart w:id="788" w:name="Tc_G7rYg9aFTEaEc9KhgbVsDA_7_5"/>
      <w:bookmarkStart w:id="789" w:name="Tc_tvn14q5NbUWSznqXwXZf-g_7_2"/>
      <w:bookmarkStart w:id="790" w:name="Tc_sPKpPrOeYku37JGDkNf2cg_6_0"/>
      <w:bookmarkStart w:id="791" w:name="Tc_FOnBvkh1REG_8ORAn_xczA_5_0"/>
      <w:bookmarkStart w:id="792" w:name="Tc_F6LJdIvp30m-E2AxVbbz4g_4_5"/>
      <w:bookmarkStart w:id="793" w:name="Tc_jx-Xm9KRCUSrFcWR_sEFhg_4_2"/>
      <w:bookmarkStart w:id="794" w:name="Tc_TIppCUXBXEuSG1Mas7xWPQ_4_0"/>
      <w:bookmarkStart w:id="795" w:name="Tc_zEXUcfOI8UO36A7ESmR2AA_2_5"/>
      <w:bookmarkStart w:id="796" w:name="Tc_0AHvqaIAD0KCDi5_RmRbNg_2_2"/>
      <w:bookmarkStart w:id="797" w:name="Tc_X665veipUE62v-A3im0s6w_1_5"/>
      <w:bookmarkStart w:id="798" w:name="Tc_oGfQJepw5U6_WdWKdkbO8g_1_2"/>
      <w:bookmarkEnd w:id="788"/>
      <w:bookmarkEnd w:id="789"/>
      <w:bookmarkEnd w:id="790"/>
      <w:bookmarkEnd w:id="791"/>
      <w:bookmarkEnd w:id="792"/>
      <w:bookmarkEnd w:id="793"/>
      <w:bookmarkEnd w:id="794"/>
      <w:bookmarkEnd w:id="795"/>
      <w:bookmarkEnd w:id="796"/>
      <w:bookmarkEnd w:id="797"/>
      <w:bookmarkEnd w:id="798"/>
      <w:r>
        <w:rPr>
          <w:rFonts w:ascii="Times New Roman;Times;serif" w:hAnsi="Times New Roman;Times;serif"/>
          <w:sz w:val="20"/>
        </w:rPr>
        <w:t>less than a 20% investment in a private company and does not have significant influence over the underlying entity. The fair value of the investment does not have a determinable fair value. The Company has accounted for this investment under the cost method and therefore records the investment at historical cost. Any dividends received from this investment are recorded in the consolidated statements of comprehensive income. As of December 31, 2022 and 2021, the investment totaled $2,000,000 and $0, respectively.</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Fair Value of Financial Instruments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carrying amounts of cash and current assets and liabilities approximate fair value because of the short-term maturity of these items. These fair value estimates are subjective in nature and involve uncertainties and matters of significant judgment and, therefore, cannot be determined with precision. Changes in assumptions could significantly affect these estimates. </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Cash and Cash Equivalents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Cash and cash equivalents are carried at cost or amortized cost and represent cash on hand, deposits placed with banks or other financial institutions and all highly liquid investments with an original maturity of three months or less as of the purchase date. The Company had $38,949,253 and $106,400,216 classified as cash and cash equivalents as of December 31, 2022, and December 31, 2021, respectively.    </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Accounts Receivable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extends unsecured credit to its customers in the ordinary course of business. These accounts receivable relate to the Company’s wholesale and other revenue segments. Accounts receivable are recorded when a milestone is reached at a point in time resulting in funds being due for delivered goods or services, and where payment is reasonably assured. Wholesale revenues are generally collected within 14 to 30 days after invoice is sent.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depicts the composition of our accounts receivable as of December 31, 2022, and December 31, 2021:</w:t>
      </w:r>
    </w:p>
    <w:p>
      <w:pPr>
        <w:pStyle w:val="TextBody"/>
        <w:spacing w:before="0" w:after="0"/>
        <w:ind w:left="0" w:right="0" w:hanging="0"/>
        <w:rPr/>
      </w:pPr>
      <w:r>
        <w:rPr/>
        <w:t>​</w:t>
      </w:r>
    </w:p>
    <w:tbl>
      <w:tblPr>
        <w:tblW w:w="6770" w:type="dxa"/>
        <w:jc w:val="left"/>
        <w:tblInd w:w="0" w:type="dxa"/>
        <w:tblCellMar>
          <w:top w:w="0" w:type="dxa"/>
          <w:left w:w="0" w:type="dxa"/>
          <w:bottom w:w="0" w:type="dxa"/>
          <w:right w:w="0" w:type="dxa"/>
        </w:tblCellMar>
      </w:tblPr>
      <w:tblGrid>
        <w:gridCol w:w="3721"/>
        <w:gridCol w:w="326"/>
        <w:gridCol w:w="211"/>
        <w:gridCol w:w="931"/>
        <w:gridCol w:w="326"/>
        <w:gridCol w:w="211"/>
        <w:gridCol w:w="1044"/>
      </w:tblGrid>
      <w:tr>
        <w:trPr/>
        <w:tc>
          <w:tcPr>
            <w:tcW w:w="3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362835" cy="175260"/>
                      <wp:effectExtent l="0" t="0" r="0" b="0"/>
                      <wp:wrapNone/>
                      <wp:docPr id="81" name="Frame81"/>
                      <a:graphic xmlns:a="http://schemas.openxmlformats.org/drawingml/2006/main">
                        <a:graphicData uri="http://schemas.microsoft.com/office/word/2010/wordprocessingShape">
                          <wps:wsp>
                            <wps:cNvSpPr txBox="1"/>
                            <wps:spPr>
                              <a:xfrm>
                                <a:off x="0" y="0"/>
                                <a:ext cx="2362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07010" cy="175260"/>
                      <wp:effectExtent l="0" t="0" r="0" b="0"/>
                      <wp:wrapNone/>
                      <wp:docPr id="82" name="Frame8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3985" cy="175260"/>
                      <wp:effectExtent l="0" t="0" r="0" b="0"/>
                      <wp:wrapNone/>
                      <wp:docPr id="83" name="Frame8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591185" cy="175260"/>
                      <wp:effectExtent l="0" t="0" r="0" b="0"/>
                      <wp:wrapNone/>
                      <wp:docPr id="84" name="Frame84"/>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5" name="Frame8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3985" cy="175260"/>
                      <wp:effectExtent l="0" t="0" r="0" b="0"/>
                      <wp:wrapNone/>
                      <wp:docPr id="86" name="Frame8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62940" cy="175260"/>
                      <wp:effectExtent l="0" t="0" r="0" b="0"/>
                      <wp:wrapNone/>
                      <wp:docPr id="87" name="Frame87"/>
                      <a:graphic xmlns:a="http://schemas.openxmlformats.org/drawingml/2006/main">
                        <a:graphicData uri="http://schemas.microsoft.com/office/word/2010/wordprocessingShape">
                          <wps:wsp>
                            <wps:cNvSpPr txBox="1"/>
                            <wps:spPr>
                              <a:xfrm>
                                <a:off x="0" y="0"/>
                                <a:ext cx="6629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7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4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shd w:fill="auto" w:val="clear"/>
            <w:vAlign w:val="center"/>
          </w:tcPr>
          <w:p>
            <w:pPr>
              <w:pStyle w:val="TableContents"/>
              <w:spacing w:before="0" w:after="0"/>
              <w:ind w:left="0" w:right="0" w:hanging="0"/>
              <w:jc w:val="center"/>
              <w:rPr/>
            </w:pPr>
            <w:r>
              <w:rPr/>
              <w:t>​</w:t>
            </w:r>
          </w:p>
        </w:tc>
        <w:tc>
          <w:tcPr>
            <w:tcW w:w="125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7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    </w:t>
            </w:r>
          </w:p>
        </w:tc>
        <w:tc>
          <w:tcPr>
            <w:tcW w:w="125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37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44" w:type="dxa"/>
            <w:tcBorders/>
            <w:shd w:fill="auto" w:val="clear"/>
            <w:vAlign w:val="center"/>
          </w:tcPr>
          <w:p>
            <w:pPr>
              <w:pStyle w:val="TableContents"/>
              <w:spacing w:before="0" w:after="0"/>
              <w:ind w:left="0" w:right="0" w:hanging="0"/>
              <w:rPr/>
            </w:pPr>
            <w:r>
              <w:rPr/>
              <w:t>​</w:t>
            </w:r>
          </w:p>
        </w:tc>
      </w:tr>
      <w:tr>
        <w:trPr/>
        <w:tc>
          <w:tcPr>
            <w:tcW w:w="37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receivable - trade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4,564,918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4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4,001,874</w:t>
            </w:r>
          </w:p>
        </w:tc>
      </w:tr>
      <w:tr>
        <w:trPr/>
        <w:tc>
          <w:tcPr>
            <w:tcW w:w="37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receivable - litigation, non-current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4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303,086</w:t>
            </w:r>
          </w:p>
        </w:tc>
      </w:tr>
      <w:tr>
        <w:trPr/>
        <w:tc>
          <w:tcPr>
            <w:tcW w:w="37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Allowance for doubtful accounts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(92,940)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4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(135,046)</w:t>
            </w:r>
          </w:p>
        </w:tc>
      </w:tr>
      <w:tr>
        <w:trPr/>
        <w:tc>
          <w:tcPr>
            <w:tcW w:w="37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4,471,978</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44" w:type="dxa"/>
            <w:tcBorders>
              <w:bottom w:val="double" w:sz="6" w:space="0" w:color="000000"/>
            </w:tcBorders>
            <w:shd w:fill="auto" w:val="clear"/>
            <w:tcMar>
              <w:bottom w:w="28" w:type="dxa"/>
            </w:tcMar>
            <w:vAlign w:val="center"/>
          </w:tcPr>
          <w:p>
            <w:pPr>
              <w:pStyle w:val="TableContents"/>
              <w:spacing w:before="0" w:after="0"/>
              <w:ind w:left="0" w:right="68" w:hanging="0"/>
              <w:jc w:val="right"/>
              <w:rPr>
                <w:rFonts w:ascii="Times New Roman;Times;serif" w:hAnsi="Times New Roman;Times;serif"/>
                <w:sz w:val="20"/>
              </w:rPr>
            </w:pPr>
            <w:r>
              <w:rPr>
                <w:rFonts w:ascii="Times New Roman;Times;serif" w:hAnsi="Times New Roman;Times;serif"/>
                <w:sz w:val="20"/>
              </w:rPr>
              <w:t>4,169,914</w:t>
            </w:r>
          </w:p>
        </w:tc>
      </w:tr>
    </w:tbl>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establishes an allowance for doubtful accounts based on management’s assessment of the collectability of trade receivables. A considerable amount of judgment is required in assessing the amount of the allowance. The Company makes judgments about the creditworthiness of each customer based on ongoing credit evaluations and monitors current economic trends that might impact the level of credit losses in the future. If the financial condition of the customers were to deteriorate, resulting in their inability to make payments, a specific allowance will be required.</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Inventory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Inventories of purchased finished goods and packing materials are initially valued at cost and subsequently at the lower of cost and net realizable value. Cultivated inventories include direct and indirect costs of production, including costs of materials, labor and depreciation related to cultivation. Such costs are capitalized as incurred, and subsequently included within cost of goods sold within the consolidated statements of comprehensive income, at the time the products are sold. Net realizable value is determined as the estimated selling price in the ordinary course of business, less reasonable costs associated with the sale. Cost is determined using the weighted average cost basis. Products for resale and supplies and consumables are valued at lower of cost and net realizable value. In calculating final inventory values, management is required to compare the inventory cost to estimated net realizable value.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bookmarkStart w:id="799" w:name="Tc_-FQvlbXm3kusV29rzXbDcA_6_0"/>
      <w:bookmarkStart w:id="800" w:name="Tc_kW7zVKlH_E6-UVkU0P875A_5_2"/>
      <w:bookmarkStart w:id="801" w:name="Tc_sGjYkOFTnEGMtWHFKK6YxQ_5_0"/>
      <w:bookmarkStart w:id="802" w:name="Tc_eE4rAeq3yEm0sp6NJCWtxA_4_2"/>
      <w:bookmarkStart w:id="803" w:name="Tc_3lRX9OKXJUepLz83g_fHEQ_4_0"/>
      <w:bookmarkStart w:id="804" w:name="Tc_ZqB_sEgVnkKFGUb-_ZYGCA_3_0"/>
      <w:bookmarkStart w:id="805" w:name="Tc_1pe59XjPtUehtb9ETRngaQ_2_0"/>
      <w:bookmarkStart w:id="806" w:name="Tc_s2Vkg_OEa0qGV8-OleGxQw_1_0"/>
      <w:bookmarkEnd w:id="799"/>
      <w:bookmarkEnd w:id="800"/>
      <w:bookmarkEnd w:id="801"/>
      <w:bookmarkEnd w:id="802"/>
      <w:bookmarkEnd w:id="803"/>
      <w:bookmarkEnd w:id="804"/>
      <w:bookmarkEnd w:id="805"/>
      <w:bookmarkEnd w:id="806"/>
      <w:r>
        <w:rPr>
          <w:rFonts w:ascii="Times New Roman;Times;serif" w:hAnsi="Times New Roman;Times;serif"/>
          <w:sz w:val="20"/>
        </w:rPr>
        <w:t xml:space="preserve">The net realizable value of inventories represents the estimated selling price for inventories in the ordinary course of business, less all estimated costs of completion and costs necessary to make the sale. The determination of net realizable value requires significant judgment, including consideration of factors such as shrinkage, the aging of and future demand for inventory, expected future selling price the Company expects to realize by selling the inventory, and the contractual arrangements with customers. Reserves for excess and obsolete inventory are based upon quantities on hand, projected volumes from demand forecasts and net realizable value. The estimates are judgmental in nature and are made at a point in time, using available information, expected business plans, and expected market conditions. As a result, the actual amount received on sale could differ from the estimated value of inventory. Periodic reviews are performed on the inventory balance. The impact of changes in inventory reserves is reflected in cost of goods sold. </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Property and Equipment, net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Purchases of property and equipment are recorded at cost, net of accumulated depreciation and impairment losses, if any. Improvements and replacements of property and equipment are capitalized. Maintenance and repairs that do not improve or extend the lives of property and equipment are charged to expense as incurred. When assets are sold or retired, its cost and related accumulated depreciation are removed from the accounts and any gain or loss is reported in the consolidated statement of operations. Depreciation is provided over the estimated economic useful lives of each class of assets and is computed using the straight-line method. The assets’ residual values, useful lives, and methods of depreciation are reviewed at each financial statement year-end and adjusted prospectively, if appropriate.</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Depreciation on property and equipment is recorded using the straight-line method over the following expected useful lives at the following annual rates: </w:t>
      </w:r>
    </w:p>
    <w:p>
      <w:pPr>
        <w:pStyle w:val="TextBody"/>
        <w:spacing w:before="0" w:after="240"/>
        <w:ind w:left="0" w:right="0" w:hanging="0"/>
        <w:jc w:val="both"/>
        <w:rPr/>
      </w:pPr>
      <w:r>
        <w:rPr/>
        <w:t>​</w:t>
      </w:r>
    </w:p>
    <w:tbl>
      <w:tblPr>
        <w:tblW w:w="6973" w:type="dxa"/>
        <w:jc w:val="left"/>
        <w:tblInd w:w="0" w:type="dxa"/>
        <w:tblCellMar>
          <w:top w:w="0" w:type="dxa"/>
          <w:left w:w="0" w:type="dxa"/>
          <w:bottom w:w="0" w:type="dxa"/>
          <w:right w:w="0" w:type="dxa"/>
        </w:tblCellMar>
      </w:tblPr>
      <w:tblGrid>
        <w:gridCol w:w="2731"/>
        <w:gridCol w:w="326"/>
        <w:gridCol w:w="3916"/>
      </w:tblGrid>
      <w:tr>
        <w:trPr/>
        <w:tc>
          <w:tcPr>
            <w:tcW w:w="27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734185" cy="175260"/>
                      <wp:effectExtent l="0" t="0" r="0" b="0"/>
                      <wp:wrapNone/>
                      <wp:docPr id="88" name="Frame88"/>
                      <a:graphic xmlns:a="http://schemas.openxmlformats.org/drawingml/2006/main">
                        <a:graphicData uri="http://schemas.microsoft.com/office/word/2010/wordprocessingShape">
                          <wps:wsp>
                            <wps:cNvSpPr txBox="1"/>
                            <wps:spPr>
                              <a:xfrm>
                                <a:off x="0" y="0"/>
                                <a:ext cx="1734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7010" cy="175260"/>
                      <wp:effectExtent l="0" t="0" r="0" b="0"/>
                      <wp:wrapNone/>
                      <wp:docPr id="89" name="Frame8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486660" cy="175260"/>
                      <wp:effectExtent l="0" t="0" r="0" b="0"/>
                      <wp:wrapNone/>
                      <wp:docPr id="90" name="Frame90"/>
                      <a:graphic xmlns:a="http://schemas.openxmlformats.org/drawingml/2006/main">
                        <a:graphicData uri="http://schemas.microsoft.com/office/word/2010/wordprocessingShape">
                          <wps:wsp>
                            <wps:cNvSpPr txBox="1"/>
                            <wps:spPr>
                              <a:xfrm>
                                <a:off x="0" y="0"/>
                                <a:ext cx="2486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7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Land</w:t>
            </w:r>
          </w:p>
        </w:tc>
        <w:tc>
          <w:tcPr>
            <w:tcW w:w="326" w:type="dxa"/>
            <w:tcBorders/>
            <w:shd w:fill="CCEEFF" w:val="clear"/>
            <w:vAlign w:val="center"/>
          </w:tcPr>
          <w:p>
            <w:pPr>
              <w:pStyle w:val="TableContents"/>
              <w:spacing w:before="0" w:after="0"/>
              <w:ind w:left="0" w:right="0" w:hanging="0"/>
              <w:jc w:val="center"/>
              <w:rPr/>
            </w:pPr>
            <w:r>
              <w:rPr/>
              <w:t>    </w:t>
            </w:r>
          </w:p>
        </w:tc>
        <w:tc>
          <w:tcPr>
            <w:tcW w:w="39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Indefinite</w:t>
            </w:r>
          </w:p>
        </w:tc>
      </w:tr>
      <w:tr>
        <w:trPr/>
        <w:tc>
          <w:tcPr>
            <w:tcW w:w="27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Building</w:t>
            </w:r>
          </w:p>
        </w:tc>
        <w:tc>
          <w:tcPr>
            <w:tcW w:w="326" w:type="dxa"/>
            <w:tcBorders/>
            <w:shd w:fill="auto" w:val="clear"/>
            <w:vAlign w:val="center"/>
          </w:tcPr>
          <w:p>
            <w:pPr>
              <w:pStyle w:val="TableContents"/>
              <w:spacing w:before="0" w:after="0"/>
              <w:ind w:left="0" w:right="0" w:hanging="0"/>
              <w:rPr/>
            </w:pPr>
            <w:r>
              <w:rPr/>
              <w:t> </w:t>
            </w:r>
          </w:p>
        </w:tc>
        <w:tc>
          <w:tcPr>
            <w:tcW w:w="3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39 years</w:t>
            </w:r>
          </w:p>
        </w:tc>
      </w:tr>
      <w:tr>
        <w:trPr/>
        <w:tc>
          <w:tcPr>
            <w:tcW w:w="27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CCEEFF" w:val="clear"/>
            <w:vAlign w:val="center"/>
          </w:tcPr>
          <w:p>
            <w:pPr>
              <w:pStyle w:val="TableContents"/>
              <w:spacing w:before="0" w:after="0"/>
              <w:ind w:left="0" w:right="0" w:hanging="0"/>
              <w:rPr/>
            </w:pPr>
            <w:r>
              <w:rPr/>
              <w:t>    </w:t>
            </w:r>
          </w:p>
        </w:tc>
        <w:tc>
          <w:tcPr>
            <w:tcW w:w="39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Lesser of the lease term or estimated useful life</w:t>
            </w:r>
          </w:p>
        </w:tc>
      </w:tr>
      <w:tr>
        <w:trPr/>
        <w:tc>
          <w:tcPr>
            <w:tcW w:w="27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Furniture and fixtures</w:t>
            </w:r>
          </w:p>
        </w:tc>
        <w:tc>
          <w:tcPr>
            <w:tcW w:w="326" w:type="dxa"/>
            <w:tcBorders/>
            <w:shd w:fill="auto" w:val="clear"/>
            <w:vAlign w:val="center"/>
          </w:tcPr>
          <w:p>
            <w:pPr>
              <w:pStyle w:val="TableContents"/>
              <w:spacing w:before="0" w:after="0"/>
              <w:ind w:left="0" w:right="0" w:hanging="0"/>
              <w:rPr/>
            </w:pPr>
            <w:r>
              <w:rPr/>
              <w:t> </w:t>
            </w:r>
          </w:p>
        </w:tc>
        <w:tc>
          <w:tcPr>
            <w:tcW w:w="3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3-5 years</w:t>
            </w:r>
          </w:p>
        </w:tc>
      </w:tr>
      <w:tr>
        <w:trPr/>
        <w:tc>
          <w:tcPr>
            <w:tcW w:w="27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Vehicles, machinery and tools</w:t>
            </w:r>
          </w:p>
        </w:tc>
        <w:tc>
          <w:tcPr>
            <w:tcW w:w="326" w:type="dxa"/>
            <w:tcBorders/>
            <w:shd w:fill="CCEEFF" w:val="clear"/>
            <w:vAlign w:val="center"/>
          </w:tcPr>
          <w:p>
            <w:pPr>
              <w:pStyle w:val="TableContents"/>
              <w:spacing w:before="0" w:after="0"/>
              <w:ind w:left="0" w:right="0" w:hanging="0"/>
              <w:rPr/>
            </w:pPr>
            <w:r>
              <w:rPr/>
              <w:t> </w:t>
            </w:r>
          </w:p>
        </w:tc>
        <w:tc>
          <w:tcPr>
            <w:tcW w:w="39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3-5 years</w:t>
            </w:r>
          </w:p>
        </w:tc>
      </w:tr>
      <w:tr>
        <w:trPr/>
        <w:tc>
          <w:tcPr>
            <w:tcW w:w="27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Software, servers and equipment</w:t>
            </w:r>
          </w:p>
        </w:tc>
        <w:tc>
          <w:tcPr>
            <w:tcW w:w="326" w:type="dxa"/>
            <w:tcBorders/>
            <w:shd w:fill="auto" w:val="clear"/>
            <w:vAlign w:val="center"/>
          </w:tcPr>
          <w:p>
            <w:pPr>
              <w:pStyle w:val="TableContents"/>
              <w:spacing w:before="0" w:after="0"/>
              <w:ind w:left="0" w:right="0" w:hanging="0"/>
              <w:rPr/>
            </w:pPr>
            <w:r>
              <w:rPr/>
              <w:t>​</w:t>
            </w:r>
          </w:p>
        </w:tc>
        <w:tc>
          <w:tcPr>
            <w:tcW w:w="3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 years</w:t>
            </w:r>
          </w:p>
        </w:tc>
      </w:tr>
    </w:tbl>
    <w:p>
      <w:pPr>
        <w:pStyle w:val="TextBody"/>
        <w:spacing w:before="0" w:after="0"/>
        <w:ind w:left="0" w:right="0" w:hanging="0"/>
        <w:rPr>
          <w:color w:val="FF0000"/>
        </w:rPr>
      </w:pPr>
      <w:r>
        <w:rPr>
          <w:color w:val="FF0000"/>
        </w:rPr>
        <w:t>​</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Prepaid Expenses and Other Assets (Current and Non-Current)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Prepaid expenses and other assets as of December 31, 2022 and December 31, 2021 were $6,820,649 and $3,038,176, respectively. As of December 31, 2022, this balance included $3,881,627 in prepaid expenses $1,527,256 in security deposits and $1,411,766 in prepaid inventory. As of December 31, 2021, other assets included $1,587,770 in prepaid expenses, $514,962 in security deposits and $935,444 in prepaid inventory. Prepaid expenses were primarily comprised of insurance premiums, membership dues, conferences and seminars, and other general and administrative costs. </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 xml:space="preserve">Goodwill and Intangible Assets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Goodwill represents the future economic benefit arising from other assets acquired that could not be individually identified and separately recognized. The goodwill arising from the Company’s acquisitions is attributable to the value of the potential expanded market opportunity with new customers. Intangible assets have either an identifiable or indefinite useful life. Intangible assets with identifiable useful lives are amortized on a straight-line basis over their economic or legal life, whichever is shorter. The Company’s amortizable intangible assets consist of licensing agreements, product licenses and registrations, and intellectual property or trade secrets. Their estimated useful lives range from 3 to 15 years.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Goodwill and indefinite-lived assets are not amortized but are subject to annual impairment testing unless circumstances dictate more frequent assessments. The Company performs an annual impairment assessment for goodwill during the fourth quarter of each year and more frequently whenever events or changes in circumstances indicate that the fair value of the asset may be less than the carrying amount. Goodwill impairment testing is a two-step process performed at the reporting unit level. Step one compares the fair value of the reporting unit to its carrying amount. The fair value of the reporting unit is determined by considering both the income approach and market approaches. The fair values calculated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bookmarkStart w:id="807" w:name="_532e2f73_94bf_497b_b873_0df8343e531d_3"/>
      <w:bookmarkStart w:id="808" w:name="_532e2f73_94bf_497b_b873_0df8343e531d_2"/>
      <w:bookmarkStart w:id="809" w:name="_532e2f73_94bf_497b_b873_0df8343e531d"/>
      <w:bookmarkEnd w:id="807"/>
      <w:bookmarkEnd w:id="808"/>
      <w:bookmarkEnd w:id="809"/>
      <w:r>
        <w:rPr>
          <w:rFonts w:ascii="Times New Roman;Times;serif" w:hAnsi="Times New Roman;Times;serif"/>
          <w:sz w:val="20"/>
        </w:rPr>
        <w:t>under the income approach and market approaches are weighted based on circumstances surrounding the reporting unit. Under the income approach, the Company determines fair value based on estimated future cash flows of the reporting unit, which are discounted to the present value using discount factors that consider the timing and risk of cash flows. For the discount rate, the Company relies on the capital asset pricing model approach, which includes an assessment of the risk-free interest rate, the rate of return from publicly traded stocks, the Company’s risk relative to the overall market, the Company’s size and industry and other Company-specific risks. Other significant assumptions used in the income approach include the terminal values, growth rates, future capital expenditures and changes in future working capital requirements. The market approaches use key multiples from guideline businesses that are comparable and are traded on a public market. If the fair value of the reporting unit is greater than its carrying amount, there is no impairment. If the reporting unit’s carrying amount exceeds its fair value, then the second step must be completed to measure the amount of impairment, if any. Step two calculates the implied fair value of goodwill by deducting the fair value of all tangible and intangible net assets of the reporting unit from the fair value of the reporting unit as calculated in step one. In this step, the fair value of the reporting unit is allocated to all of the reporting unit’s assets and liabilities in a hypothetical purchase price allocation as if the reporting unit had been acquired on that date. If the carrying amount of goodwill exceeds the implied fair value of goodwill, an impairment loss is recognized in an amount equal to the excess.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Determining the fair value of a reporting unit is judgmental in nature and requires the use of significant estimates and assumptions, including revenue growth rates, strategic plans, and future market conditions, among others. There can be no assurance that the Company’s estimates and assumptions made for purposes of the goodwill impairment testing will prove to be accurate predictions of the future. Changes in assumptions and estimates could cause the Company to perform an impairment test prior to scheduled annual impairment tests.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Long-Lived Assets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evaluates the recoverability of its long-lived assets, including property, plant and equipment, and certain identifiable intangible assets, whenever events or changes in circumstances have indicated that an asset may not be recoverable. The long-lived asset is grouped with other assets at the lowest level for which identifiable cash flows are largely independent of the cash flows of other groups of assets and liabilities. If the sum of the projected undiscounted cash flows is less than the carrying value of the assets, the assets are written down to the estimated fair value. The Company performs impairments tests of long-lived assets on an annual basis or more frequently in certain circumstances. Factors which could trigger an impairment review include significant underperformance relative to historical or projected future operating results, significant changes in the manner of use of the assets or the strategy for the business, a significant decrease in the market value of the assets or significant negative industry or economic trends.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evaluated the recoverability of its long-lived assets as of December 31, 2022, and recorded an impairment charge of approximately $89,706 related to discontinued operations for cultivation facilities in New Mexico and Colorado, and therefore presented under loss on business disposition in the accompanying consolidated statement of comprehensive (loss) income. No such impairment existed as of December 31, 2021.</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Accounts Payable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Accounts payable as of December 31, 2022 and 2021, were $7,910,511 and $2,585,705, respectively, and were comprised of trade payables for various purchases and services rendered during the ordinary course of business.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Accrued Expenses and Other Liabilities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Accrued expenses and other liabilities as of December 31, 2022, and December 31, 2021, were $10,314,958 and $5,592,222, respectively. As of December 31, 2022, this was comprised of accrued payroll of $1,511,245, accrued interest of $3,422,760, operating expenses of $4,746,455, and escrow payable of $634,498. As of December 31, 2021, accrued expenses and other liabilities comprised of accrued payroll of $301,312, accrued interest of $1,425,278, and operating expenses of $3,865,632.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Derivative Liabilities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uses the fair-value method of accounting for derivative liabilities and such liabilities are remeasured at each reporting date with changes in fair value recorded in the period incurred. The fair value is estimated using a Monte Carlo simulation model.     </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Revenue Recognition and Related Allowances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revenue recognition policy is significant because the amount and timing of revenue is a key component of our results of operations. Certain criteria are required to be met in order to recognize revenue. If these criteria are not met, then the associated revenue is deferred until the criteria are met. When consideration is received in advance of the delivery of goods or services, a contract liability is recorded. Revenue contracts are identified when accepted by customers and represent a single performance obligation to sell the Company’s products to a customer.</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three main revenue streams: retail, wholesale, and other.</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Retail and wholesale sales are recorded at the time that control of the products is transferred to customers. In evaluating the timing of the transfer of control of products to customers, the Company considers several indicators, including significant risks and rewards of products, its right to payment, and the legal title of the products. Based on the assessment of control indicators, sales are generally recognized when products are delivered to customers.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Other revenue consists of other income and expenses, including related to, licensing and consulting services, facility design services, facility management services, the Company’s Three A Light™ publication, and corporate operations. During 2022, the Company discontinued its consulting entity and therefore has ceased operations related to consulting and the Company’s Three A Light™ publication.   Revenue is recognized when the obligations to the client are fulfilled which is determined when milestones in the contract are achieved and target harvest yields are exceeded or earned upon the completion of the seminar. The Company also recognizes expense reimbursement from clients as revenue for expenses incurred during certain jobs.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At some locations, the Company offers a loyalty reward program to its retail customers. A portion of the revenue generated in a sale to a customer participating in the program is allocated to the loyalty points earned. The amount allocated to the points earned is deferred until the loyalty points are redeemed or expire. As of December 31, 2022, and 2021, the loyalty liability totaled $1,590,346 and $1,485,224, respectively, and is included in accrued expenses the accompanying consolidated balance sheets. </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Costs of Goods and Services Sold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Costs of goods and services sold are comprised of related expenses incurred while supporting the sales of the Company’s products and services.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General and Administrative Expenses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General and administrative expenses are comprised of all expenses not linked to the production or advertising of the Company’s services.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Advertising and Marketing Costs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Advertising and marketing costs are expensed as incurred and totaled $2,369,223 and $971,419 as of December 31, 2022 and December 31, 2021, respectively.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Stock Based Compensation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accounts for share-based payments pursuant to ASC 718, </w:t>
      </w:r>
      <w:r>
        <w:rPr>
          <w:rFonts w:ascii="Times New Roman;Times;serif" w:hAnsi="Times New Roman;Times;serif"/>
          <w:i/>
          <w:sz w:val="20"/>
        </w:rPr>
        <w:t>Stock Compensation</w:t>
      </w:r>
      <w:r>
        <w:rPr>
          <w:rFonts w:ascii="Times New Roman;Times;serif" w:hAnsi="Times New Roman;Times;serif"/>
          <w:sz w:val="20"/>
        </w:rPr>
        <w:t xml:space="preserve"> and, accordingly, the Company records compensation expense for share-based awards based upon an assessment of the grant date fair value for stock options using the Black-Scholes option pricing model.</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Stock compensation expense for stock options is recognized over the vesting period of the award or expensed immediately under ASC 718 and Emerging Issues Task Force 96-18 when stock or options are awarded for previous or current service without further recourse.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Share-based expense paid through direct stock grants is expensed as occurred. Since the Common Stock is publicly traded, the value is determined based on the number of shares of Common Stock issued and the trading value of the Common Stock on the date of the transaction.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recognized $2,672,713 and $5,037,879 in expense for stock-based compensation from common stock options and common stock issued to employees, officers, and directors during December 31, 2022 and December 31, 2021, respectively. </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Income Taxes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ASC 740, Income Taxes requires the use of the asset and liability method of accounting for income taxes. Under the asset and liability method of ASC 740, deferred tax assets and liabilities are recognized for the future tax consequences attributable to temporary differences between the financial statement carrying amounts of existing assets and liabilities and their respective tax bases.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Deferred tax assets are regularly assessed to determine the likelihood they will be recovered from future taxable income. A valuation allowance is established when we believe it is more likely than not that the future realization of all or some of a deferred tax asset will not be achieved. In evaluating our ability to recover deferred tax assets within the jurisdiction which they arise, we consider all available positive and negative evidence. Factors reviewed include the cumulative pre-tax book income for the past three years, scheduled reversals of deferred tax liabilities, our history of earnings and reliability of our forecasts, projections of pre-tax book income over the foreseeable future, and the impact of any feasible and prudent tax planning strategies.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assesses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the tax benefit to be recognized is measured at the largest amount of benefit that is greater than 50 percent likely of being realized upon ultimate settlement. We recognize the impact of a tax position in our financial statements only if that position is more likely than not of being sustained upon examination by taxing authorities, based on the technical merits of the position. Tax authorities regularly examine our returns in the jurisdictions in which we do business, and we regularly assess the tax risk of our return filing positions. Due to the complexity of some of the uncertainties, the ultimate resolution may result in payments that are materially different from our current estimate of the tax liability. These differences, as well as any interest and penalties, will be reflected in the provision for income taxes in the period in which they are determined.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the Company operates in the cannabis industry, it is subject to the limits of the Internal Revenue Code (“IRC”) Section 280E under which the Company is only allowed to deduct expenses directly related to sales of product. This results in permanent differences between ordinary and necessary business expenses deemed non-allowable under IRC Section 280E.</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Right of Use Assets and Lease Liabilities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February 2016, the FASB issued ASU No. 2016-02, </w:t>
      </w:r>
      <w:r>
        <w:rPr>
          <w:rFonts w:ascii="Times New Roman;Times;serif" w:hAnsi="Times New Roman;Times;serif"/>
          <w:i/>
          <w:sz w:val="20"/>
        </w:rPr>
        <w:t>Leases (Topic 842)</w:t>
      </w:r>
      <w:r>
        <w:rPr>
          <w:rFonts w:ascii="Times New Roman;Times;serif" w:hAnsi="Times New Roman;Times;serif"/>
          <w:sz w:val="20"/>
        </w:rPr>
        <w:t xml:space="preserve">. The standard requires lessees to recognize almost all leases on the balance sheet as a Right-of-Use (“ROU”) asset and a lease liability and requires leases to be classified as either an operating or a finance type lease. The standard excludes leases of intangible assets or inventory. The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standard became effective for the Company beginning January 1, 2019. The Company adopted ASC 842 using the modified retrospective approach, by applying the new standard to all leases existing at the date of initial application. Results and disclosure requirements for reporting periods beginning after January 1, 2019 are presented under ASC 842. The Company elected the package of practical expedients permitted under the standard, which also allowed the Company to carry forward historical lease classifications. The Company also elected the practical expedient related to treating lease and non-lease components as a single lease component for all equipment leases as well as electing a policy exclusion permitting leases with an original lease term of less than one year to be excluded from the ROU assets and lease liabilities.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Under ASC 842, the Company determines if an arrangement is a lease at inception. ROU assets and liabilities are recognized at commencement date based on the present value of remaining lease payments over the lease term. For this purpose, the Company considers only payments that are fixed and determinable at the time of commencement. As most of the Company’s leases do not provide an implicit rate, the Company estimated the incremental borrowing rate in determining the present value of lease payments. The ROU asset also includes any lease payments made prior to commencement and is recorded net of any lease incentives received. The Company’s lease terms may include options to extend or terminate the lease when it is reasonably certain that the Company will exercise such options.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Operating leases are included in operating lease ROU assets and operating lease liabilities, current and non-current, on the Company’s consolidated balance sheets.</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Recently Adopted Accounting Pronouncements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implemented all new accounting pronouncements that are in effect and that may impact its financial statements. Pronouncements that are not applicable to the Company or where it has been determined do not have a significant impact on the financial statements have been excluded herein.</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February 2020, the FASB issued ASU 2020-02, </w:t>
      </w:r>
      <w:r>
        <w:rPr>
          <w:rFonts w:ascii="Times New Roman;Times;serif" w:hAnsi="Times New Roman;Times;serif"/>
          <w:i/>
          <w:sz w:val="20"/>
        </w:rPr>
        <w:t>Financial Instruments-Credit Losses (Topic 326) and Leases (Topic 842) - Amendments to SEC Paragraphs Pursuant to SEC Staff Accounting Bulletin No. 119 and Update to SEC Section on Effective Date Related to Accounting Standards Update No (ASU). 2016-02, Leases (Topic 842), </w:t>
      </w:r>
      <w:r>
        <w:rPr>
          <w:rFonts w:ascii="Times New Roman;Times;serif" w:hAnsi="Times New Roman;Times;serif"/>
          <w:sz w:val="20"/>
        </w:rPr>
        <w:t xml:space="preserve">which amends the effective date of the original pronouncement for smaller reporting companies. ASU 2016-13 and its amendments will be effective for the Company for interim and annual periods in fiscal years beginning after December 15, 2022. As of January 1, 2022, the Company adopted ASU 2016-02, Leases (Topic 842), the adoption of this ASU did not have a material impact on the Company’s consolidated financial statements. </w:t>
      </w:r>
    </w:p>
    <w:p>
      <w:pPr>
        <w:pStyle w:val="TextBody"/>
        <w:spacing w:before="0" w:after="120"/>
        <w:ind w:left="0" w:right="0" w:hanging="0"/>
        <w:jc w:val="both"/>
        <w:rPr/>
      </w:pPr>
      <w:r>
        <w:rPr>
          <w:highlight w:val="white"/>
        </w:rPr>
        <w:t>​</w:t>
      </w:r>
      <w:r>
        <w:rPr>
          <w:rFonts w:ascii="Times New Roman;Times;serif" w:hAnsi="Times New Roman;Times;serif"/>
          <w:sz w:val="20"/>
          <w:highlight w:val="white"/>
        </w:rPr>
        <w:br/>
        <w:t xml:space="preserve">On August 5, 2020, the FASB issued </w:t>
      </w:r>
      <w:r>
        <w:rPr>
          <w:rFonts w:ascii="Times New Roman;Times;serif" w:hAnsi="Times New Roman;Times;serif"/>
          <w:i/>
          <w:sz w:val="20"/>
          <w:highlight w:val="white"/>
        </w:rPr>
        <w:t>ASU No. 2020-06, Debt - Debt with Conversion and Other Options (Subtopic 470-20) and Derivatives and Hedging - Contracts in Entity’s Own Equity (Subtopic 815-40)</w:t>
      </w:r>
      <w:r>
        <w:rPr>
          <w:rFonts w:ascii="Times New Roman;Times;serif" w:hAnsi="Times New Roman;Times;serif"/>
          <w:sz w:val="20"/>
          <w:highlight w:val="white"/>
        </w:rPr>
        <w:t>: Accounting for Convertible Instruments and Contracts in an Entity’s Own Equity, to improve financial reporting associated with accounting for convertible instruments and contracts in an entity’s own equity. The amendments in this ASU are effective for public business entities for fiscal years beginning after December 15, 2021, including interim periods within those fiscal years. The adoption of this standard did not have a material impact on the Company's consolidated financial statements.</w:t>
      </w:r>
    </w:p>
    <w:p>
      <w:pPr>
        <w:pStyle w:val="TextBody"/>
        <w:spacing w:before="0" w:after="240"/>
        <w:ind w:left="0" w:right="0" w:hanging="0"/>
        <w:rPr/>
      </w:pPr>
      <w:r>
        <w:rPr/>
        <w:t>​</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w:t>
      </w:r>
      <w:r>
        <w:rPr>
          <w:rFonts w:ascii="Times New Roman;Times;serif" w:hAnsi="Times New Roman;Times;serif"/>
          <w:b/>
          <w:sz w:val="20"/>
        </w:rPr>
        <w:t>Notes Receivable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March 12, 2021, the Company sold equipment to Colorado Cannabis Company. The consideration for the sale included a zero interest note receivable, issued to the Company with payments of $11,944 on the first of each month for 24 months. As of December 31, 2022 and 2021 the outstanding balance, including penalties for late payments, on the notes receivable from Colorado Cannabis Company totaled $11,944 and $143,333, respectively.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810" w:name="Tc_QJdTLhPBzUOpcoTxniqxAg_5_4"/>
      <w:bookmarkStart w:id="811" w:name="Tc_jcV_NEhm70qybtUadyxDYQ_5_1"/>
      <w:bookmarkStart w:id="812" w:name="Tc_1ewBIqRtW0eToVL_OAVVoA_5_0"/>
      <w:bookmarkStart w:id="813" w:name="Tc_6hggQaw1CEWRSemgBjfdlA_4_0"/>
      <w:bookmarkStart w:id="814" w:name="Tc_jVAxAiLJP0apFMYBbGSNRA_3_0"/>
      <w:bookmarkStart w:id="815" w:name="Tc_fYiDYYMjt0GEXGLzrKBF9A_2_4"/>
      <w:bookmarkStart w:id="816" w:name="Tc_0VwiY4Jv8EGebSSJ77TBkg_2_1"/>
      <w:bookmarkStart w:id="817" w:name="Tc_C_wBgT-A2EyvwPrXS9ro4g_2_0"/>
      <w:bookmarkStart w:id="818" w:name="Tc_0AdLjlmof0KBpErg0hxpPQ_1_5"/>
      <w:bookmarkStart w:id="819" w:name="Tc_VQSeuxnt8UynKC4Ts9ZE9w_1_2"/>
      <w:bookmarkEnd w:id="810"/>
      <w:bookmarkEnd w:id="811"/>
      <w:bookmarkEnd w:id="812"/>
      <w:bookmarkEnd w:id="813"/>
      <w:bookmarkEnd w:id="814"/>
      <w:bookmarkEnd w:id="815"/>
      <w:bookmarkEnd w:id="816"/>
      <w:bookmarkEnd w:id="817"/>
      <w:bookmarkEnd w:id="818"/>
      <w:bookmarkEnd w:id="819"/>
      <w:r>
        <w:rPr>
          <w:rFonts w:ascii="Times New Roman;Times;serif" w:hAnsi="Times New Roman;Times;serif"/>
          <w:b/>
          <w:i w:val="false"/>
          <w:caps w:val="false"/>
          <w:smallCaps w:val="false"/>
          <w:sz w:val="20"/>
        </w:rPr>
        <w:t>5.</w:t>
      </w:r>
      <w:r>
        <w:rPr>
          <w:rFonts w:ascii="Times New Roman;Times;serif" w:hAnsi="Times New Roman;Times;serif"/>
          <w:b/>
          <w:sz w:val="20"/>
        </w:rPr>
        <w:t>Inventory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inventory consists of the following at December 31:</w:t>
      </w:r>
    </w:p>
    <w:p>
      <w:pPr>
        <w:pStyle w:val="TextBody"/>
        <w:spacing w:before="0" w:after="0"/>
        <w:ind w:left="0" w:right="0" w:hanging="0"/>
        <w:rPr/>
      </w:pPr>
      <w:r>
        <w:rPr/>
        <w:t>​</w:t>
      </w:r>
    </w:p>
    <w:tbl>
      <w:tblPr>
        <w:tblW w:w="4232" w:type="dxa"/>
        <w:jc w:val="left"/>
        <w:tblInd w:w="0" w:type="dxa"/>
        <w:tblCellMar>
          <w:top w:w="0" w:type="dxa"/>
          <w:left w:w="0" w:type="dxa"/>
          <w:bottom w:w="0" w:type="dxa"/>
          <w:right w:w="0" w:type="dxa"/>
        </w:tblCellMar>
      </w:tblPr>
      <w:tblGrid>
        <w:gridCol w:w="1516"/>
        <w:gridCol w:w="211"/>
        <w:gridCol w:w="1036"/>
        <w:gridCol w:w="109"/>
        <w:gridCol w:w="211"/>
        <w:gridCol w:w="1149"/>
      </w:tblGrid>
      <w:tr>
        <w:trPr/>
        <w:tc>
          <w:tcPr>
            <w:tcW w:w="15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962660" cy="175260"/>
                      <wp:effectExtent l="0" t="0" r="0" b="0"/>
                      <wp:wrapNone/>
                      <wp:docPr id="91" name="Frame91"/>
                      <a:graphic xmlns:a="http://schemas.openxmlformats.org/drawingml/2006/main">
                        <a:graphicData uri="http://schemas.microsoft.com/office/word/2010/wordprocessingShape">
                          <wps:wsp>
                            <wps:cNvSpPr txBox="1"/>
                            <wps:spPr>
                              <a:xfrm>
                                <a:off x="0" y="0"/>
                                <a:ext cx="962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3985" cy="175260"/>
                      <wp:effectExtent l="0" t="0" r="0" b="0"/>
                      <wp:wrapNone/>
                      <wp:docPr id="92" name="Frame9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57860" cy="175260"/>
                      <wp:effectExtent l="0" t="0" r="0" b="0"/>
                      <wp:wrapNone/>
                      <wp:docPr id="93" name="Frame93"/>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9215" cy="175260"/>
                      <wp:effectExtent l="0" t="0" r="0" b="0"/>
                      <wp:wrapNone/>
                      <wp:docPr id="94" name="Frame9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33985" cy="175260"/>
                      <wp:effectExtent l="0" t="0" r="0" b="0"/>
                      <wp:wrapNone/>
                      <wp:docPr id="95" name="Frame9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729615" cy="175260"/>
                      <wp:effectExtent l="0" t="0" r="0" b="0"/>
                      <wp:wrapNone/>
                      <wp:docPr id="96" name="Frame96"/>
                      <a:graphic xmlns:a="http://schemas.openxmlformats.org/drawingml/2006/main">
                        <a:graphicData uri="http://schemas.microsoft.com/office/word/2010/wordprocessingShape">
                          <wps:wsp>
                            <wps:cNvSpPr txBox="1"/>
                            <wps:spPr>
                              <a:xfrm>
                                <a:off x="0" y="0"/>
                                <a:ext cx="7296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51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2022</w:t>
            </w:r>
          </w:p>
        </w:tc>
        <w:tc>
          <w:tcPr>
            <w:tcW w:w="109" w:type="dxa"/>
            <w:tcBorders/>
            <w:shd w:fill="auto" w:val="clear"/>
            <w:vAlign w:val="center"/>
          </w:tcPr>
          <w:p>
            <w:pPr>
              <w:pStyle w:val="TableContents"/>
              <w:spacing w:before="0" w:after="1"/>
              <w:ind w:left="0" w:right="0" w:hanging="0"/>
              <w:jc w:val="center"/>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w:t>
            </w:r>
          </w:p>
        </w:tc>
        <w:tc>
          <w:tcPr>
            <w:tcW w:w="1149"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2021</w:t>
            </w:r>
          </w:p>
        </w:tc>
      </w:tr>
      <w:tr>
        <w:trPr/>
        <w:tc>
          <w:tcPr>
            <w:tcW w:w="15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Raw Materials</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2,325,482</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4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12,676</w:t>
            </w:r>
          </w:p>
        </w:tc>
      </w:tr>
      <w:tr>
        <w:trPr/>
        <w:tc>
          <w:tcPr>
            <w:tcW w:w="15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Work in Process</w:t>
            </w:r>
          </w:p>
        </w:tc>
        <w:tc>
          <w:tcPr>
            <w:tcW w:w="211"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14,504,490</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14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5,535,992</w:t>
            </w:r>
          </w:p>
        </w:tc>
      </w:tr>
      <w:tr>
        <w:trPr/>
        <w:tc>
          <w:tcPr>
            <w:tcW w:w="15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Finished Goods</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0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5,724,210</w:t>
            </w:r>
          </w:p>
        </w:tc>
        <w:tc>
          <w:tcPr>
            <w:tcW w:w="109"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14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5,573,329</w:t>
            </w:r>
          </w:p>
        </w:tc>
      </w:tr>
      <w:tr>
        <w:trPr/>
        <w:tc>
          <w:tcPr>
            <w:tcW w:w="15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Inventories</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22,554,182</w:t>
            </w:r>
          </w:p>
        </w:tc>
        <w:tc>
          <w:tcPr>
            <w:tcW w:w="109"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49" w:type="dxa"/>
            <w:tcBorders>
              <w:bottom w:val="double" w:sz="6" w:space="0" w:color="000000"/>
            </w:tcBorders>
            <w:shd w:fill="auto" w:val="clear"/>
            <w:tcMar>
              <w:bottom w:w="28" w:type="dxa"/>
            </w:tcMar>
            <w:vAlign w:val="center"/>
          </w:tcPr>
          <w:p>
            <w:pPr>
              <w:pStyle w:val="TableContents"/>
              <w:spacing w:before="0" w:after="1"/>
              <w:ind w:left="0" w:right="68" w:hanging="0"/>
              <w:jc w:val="right"/>
              <w:rPr>
                <w:rFonts w:ascii="Times New Roman;Times;serif" w:hAnsi="Times New Roman;Times;serif"/>
                <w:sz w:val="20"/>
              </w:rPr>
            </w:pPr>
            <w:r>
              <w:rPr>
                <w:rFonts w:ascii="Times New Roman;Times;serif" w:hAnsi="Times New Roman;Times;serif"/>
                <w:sz w:val="20"/>
              </w:rPr>
              <w:t>11,121,997</w:t>
            </w:r>
          </w:p>
        </w:tc>
      </w:tr>
    </w:tbl>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2022 and 2021, the company did not recognize any adjustment to net realizable value within its inventory.</w:t>
      </w:r>
    </w:p>
    <w:p>
      <w:pPr>
        <w:pStyle w:val="TextBody"/>
        <w:spacing w:before="0" w:after="240"/>
        <w:ind w:left="0" w:right="0" w:hanging="0"/>
        <w:jc w:val="both"/>
        <w:rPr/>
      </w:pPr>
      <w:r>
        <w:rPr/>
        <w:t>​</w:t>
      </w:r>
    </w:p>
    <w:p>
      <w:pPr>
        <w:pStyle w:val="TextBody"/>
        <w:spacing w:before="0" w:after="240"/>
        <w:ind w:left="0" w:right="0" w:hanging="0"/>
        <w:jc w:val="left"/>
        <w:rPr>
          <w:rFonts w:ascii="Times New Roman;Times;serif" w:hAnsi="Times New Roman;Times;serif"/>
          <w:sz w:val="20"/>
        </w:rPr>
      </w:pPr>
      <w:bookmarkStart w:id="820" w:name="Tc_9cToTJw7Fk2KagU3Q4UMbA_12_5"/>
      <w:bookmarkStart w:id="821" w:name="Tc_vWNzuMEZIkuw8I_NTNhaYg_12_2"/>
      <w:bookmarkStart w:id="822" w:name="Tc_ziJ-lCCJH0yDpl2GdquFLA_12_0"/>
      <w:bookmarkStart w:id="823" w:name="Tc_BFDX0Mgj-0qcmJikql5xjQ_11_0"/>
      <w:bookmarkStart w:id="824" w:name="Tc_qWwJJIpW2U2DQHR0ySvX-g_10_5"/>
      <w:bookmarkStart w:id="825" w:name="Tc_tJCdjvBub0m0l8X3gex75A_10_2"/>
      <w:bookmarkStart w:id="826" w:name="Tc_J_9Etst8BkK7Y15MaQBO8Q_10_0"/>
      <w:bookmarkStart w:id="827" w:name="Tc_YWIViw7k1UGwcdW2xSqvAA_9_0"/>
      <w:bookmarkStart w:id="828" w:name="Tc_g-qeQ32UYEu45Ey_WGDV0Q_8_0"/>
      <w:bookmarkStart w:id="829" w:name="Tc_WXpo87aF5kmNBb0ArkZ2kQ_7_0"/>
      <w:bookmarkStart w:id="830" w:name="Tc_k1-h2rJ150eWdHwK7vx2eQ_6_0"/>
      <w:bookmarkStart w:id="831" w:name="Tc_bzTKvpUoFUmlmXuJGplSJg_5_0"/>
      <w:bookmarkStart w:id="832" w:name="Tc_eMsc-YrzLEuAJ16CD5_lMw_4_0"/>
      <w:bookmarkStart w:id="833" w:name="Tc_OLUdaqCyM0OyWK67AnSsig_3_5"/>
      <w:bookmarkStart w:id="834" w:name="Tc_V-SvlYDETEO9YmMlfXRGHA_3_2"/>
      <w:bookmarkStart w:id="835" w:name="Tc_ioek7-FKmkS6NLKtFRguuA_3_0"/>
      <w:bookmarkStart w:id="836" w:name="Tc_gdUek2ST10WXRP0iRgI9qA_2_5"/>
      <w:bookmarkStart w:id="837" w:name="Tc_fq-1VQ94bU-mLkUWxq9zeA_2_2"/>
      <w:bookmarkStart w:id="838" w:name="Tc_2gOQwaxNcUmENlLmxBO76g_1_5"/>
      <w:bookmarkStart w:id="839" w:name="Tc_NbKcfMvSVkCLZ0hdtw07sw_1_2"/>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r>
        <w:rPr>
          <w:rFonts w:ascii="Times New Roman;Times;serif" w:hAnsi="Times New Roman;Times;serif"/>
          <w:b/>
          <w:i w:val="false"/>
          <w:caps w:val="false"/>
          <w:smallCaps w:val="false"/>
          <w:sz w:val="20"/>
        </w:rPr>
        <w:t>6.</w:t>
      </w:r>
      <w:r>
        <w:rPr>
          <w:rFonts w:ascii="Times New Roman;Times;serif" w:hAnsi="Times New Roman;Times;serif"/>
          <w:b/>
          <w:sz w:val="20"/>
        </w:rPr>
        <w:t>Property and Equipment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Property and equipment are recorded at cost, net of accumulated depreciation and are comprised of the following:</w:t>
      </w:r>
    </w:p>
    <w:p>
      <w:pPr>
        <w:pStyle w:val="TextBody"/>
        <w:spacing w:before="0" w:after="0"/>
        <w:ind w:left="0" w:right="0" w:hanging="0"/>
        <w:rPr/>
      </w:pPr>
      <w:r>
        <w:rPr/>
        <w:t>​</w:t>
      </w:r>
    </w:p>
    <w:tbl>
      <w:tblPr>
        <w:tblW w:w="7610" w:type="dxa"/>
        <w:jc w:val="left"/>
        <w:tblInd w:w="0" w:type="dxa"/>
        <w:tblCellMar>
          <w:top w:w="0" w:type="dxa"/>
          <w:left w:w="0" w:type="dxa"/>
          <w:bottom w:w="0" w:type="dxa"/>
          <w:right w:w="0" w:type="dxa"/>
        </w:tblCellMar>
      </w:tblPr>
      <w:tblGrid>
        <w:gridCol w:w="4336"/>
        <w:gridCol w:w="326"/>
        <w:gridCol w:w="211"/>
        <w:gridCol w:w="1051"/>
        <w:gridCol w:w="326"/>
        <w:gridCol w:w="211"/>
        <w:gridCol w:w="1149"/>
      </w:tblGrid>
      <w:tr>
        <w:trPr/>
        <w:tc>
          <w:tcPr>
            <w:tcW w:w="43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753360" cy="175260"/>
                      <wp:effectExtent l="0" t="0" r="0" b="0"/>
                      <wp:wrapNone/>
                      <wp:docPr id="97" name="Frame97"/>
                      <a:graphic xmlns:a="http://schemas.openxmlformats.org/drawingml/2006/main">
                        <a:graphicData uri="http://schemas.microsoft.com/office/word/2010/wordprocessingShape">
                          <wps:wsp>
                            <wps:cNvSpPr txBox="1"/>
                            <wps:spPr>
                              <a:xfrm>
                                <a:off x="0" y="0"/>
                                <a:ext cx="27533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8" name="Frame9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33985" cy="175260"/>
                      <wp:effectExtent l="0" t="0" r="0" b="0"/>
                      <wp:wrapNone/>
                      <wp:docPr id="99" name="Frame9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67385" cy="175260"/>
                      <wp:effectExtent l="0" t="0" r="0" b="0"/>
                      <wp:wrapNone/>
                      <wp:docPr id="100" name="Frame100"/>
                      <a:graphic xmlns:a="http://schemas.openxmlformats.org/drawingml/2006/main">
                        <a:graphicData uri="http://schemas.microsoft.com/office/word/2010/wordprocessingShape">
                          <wps:wsp>
                            <wps:cNvSpPr txBox="1"/>
                            <wps:spPr>
                              <a:xfrm>
                                <a:off x="0" y="0"/>
                                <a:ext cx="6673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1" name="Frame10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3985" cy="175260"/>
                      <wp:effectExtent l="0" t="0" r="0" b="0"/>
                      <wp:wrapNone/>
                      <wp:docPr id="102" name="Frame10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729615" cy="175260"/>
                      <wp:effectExtent l="0" t="0" r="0" b="0"/>
                      <wp:wrapNone/>
                      <wp:docPr id="103" name="Frame103"/>
                      <a:graphic xmlns:a="http://schemas.openxmlformats.org/drawingml/2006/main">
                        <a:graphicData uri="http://schemas.microsoft.com/office/word/2010/wordprocessingShape">
                          <wps:wsp>
                            <wps:cNvSpPr txBox="1"/>
                            <wps:spPr>
                              <a:xfrm>
                                <a:off x="0" y="0"/>
                                <a:ext cx="7296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3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26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shd w:fill="auto" w:val="clear"/>
            <w:vAlign w:val="center"/>
          </w:tcPr>
          <w:p>
            <w:pPr>
              <w:pStyle w:val="TableContents"/>
              <w:spacing w:before="0" w:after="1"/>
              <w:ind w:left="0" w:right="0" w:hanging="0"/>
              <w:rPr/>
            </w:pPr>
            <w:r>
              <w:rPr/>
              <w:t>​</w:t>
            </w:r>
          </w:p>
        </w:tc>
        <w:tc>
          <w:tcPr>
            <w:tcW w:w="136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3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26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rPr/>
            </w:pPr>
            <w:r>
              <w:rPr/>
              <w:t>    </w:t>
            </w:r>
          </w:p>
        </w:tc>
        <w:tc>
          <w:tcPr>
            <w:tcW w:w="136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43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Land</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3,716,438</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4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35,000</w:t>
            </w:r>
          </w:p>
        </w:tc>
      </w:tr>
      <w:tr>
        <w:trPr/>
        <w:tc>
          <w:tcPr>
            <w:tcW w:w="43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Building</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05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4,830,976</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14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2,910,976</w:t>
            </w:r>
          </w:p>
        </w:tc>
      </w:tr>
      <w:tr>
        <w:trPr/>
        <w:tc>
          <w:tcPr>
            <w:tcW w:w="43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0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4,100,165</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14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853,599</w:t>
            </w:r>
          </w:p>
        </w:tc>
      </w:tr>
      <w:tr>
        <w:trPr/>
        <w:tc>
          <w:tcPr>
            <w:tcW w:w="43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Furniture and fixtures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05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655,698</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14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300,798</w:t>
            </w:r>
          </w:p>
        </w:tc>
      </w:tr>
      <w:tr>
        <w:trPr/>
        <w:tc>
          <w:tcPr>
            <w:tcW w:w="43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Vehicles, machinery, and tools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0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3,796,695</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14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2,152,129</w:t>
            </w:r>
          </w:p>
        </w:tc>
      </w:tr>
      <w:tr>
        <w:trPr/>
        <w:tc>
          <w:tcPr>
            <w:tcW w:w="43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Software, servers and equipment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05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4,132,621</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14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2,550,154</w:t>
            </w:r>
          </w:p>
        </w:tc>
      </w:tr>
      <w:tr>
        <w:trPr/>
        <w:tc>
          <w:tcPr>
            <w:tcW w:w="43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Construction in process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05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10,756,410</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14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3,439,543</w:t>
            </w:r>
          </w:p>
        </w:tc>
      </w:tr>
      <w:tr>
        <w:trPr/>
        <w:tc>
          <w:tcPr>
            <w:tcW w:w="4336"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 Asset Cost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1051" w:type="dxa"/>
            <w:tcBorders/>
            <w:shd w:fill="auto"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31,989,003</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1149" w:type="dxa"/>
            <w:tcBorders/>
            <w:shd w:fill="auto"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12,242,199</w:t>
            </w:r>
          </w:p>
        </w:tc>
      </w:tr>
      <w:tr>
        <w:trPr/>
        <w:tc>
          <w:tcPr>
            <w:tcW w:w="43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Less: Accumulated depreciation</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05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(4,899,977)</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14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(1,988,973)</w:t>
            </w:r>
          </w:p>
        </w:tc>
      </w:tr>
      <w:tr>
        <w:trPr/>
        <w:tc>
          <w:tcPr>
            <w:tcW w:w="4336"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 property and equipment, net of depreciation</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105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27,089,026</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1149" w:type="dxa"/>
            <w:tcBorders>
              <w:bottom w:val="double" w:sz="6" w:space="0" w:color="000000"/>
            </w:tcBorders>
            <w:shd w:fill="auto" w:val="clear"/>
            <w:tcMar>
              <w:bottom w:w="28" w:type="dxa"/>
            </w:tcMar>
            <w:vAlign w:val="center"/>
          </w:tcPr>
          <w:p>
            <w:pPr>
              <w:pStyle w:val="TableContents"/>
              <w:spacing w:before="0" w:after="1"/>
              <w:ind w:left="0" w:right="68" w:hanging="0"/>
              <w:jc w:val="right"/>
              <w:rPr>
                <w:rFonts w:ascii="Times New Roman;Times;serif" w:hAnsi="Times New Roman;Times;serif"/>
                <w:b/>
                <w:sz w:val="20"/>
              </w:rPr>
            </w:pPr>
            <w:r>
              <w:rPr>
                <w:rFonts w:ascii="Times New Roman;Times;serif" w:hAnsi="Times New Roman;Times;serif"/>
                <w:b/>
                <w:sz w:val="20"/>
              </w:rPr>
              <w:t>10,253,226</w:t>
            </w:r>
          </w:p>
        </w:tc>
      </w:tr>
    </w:tbl>
    <w:p>
      <w:pPr>
        <w:pStyle w:val="TextBody"/>
        <w:spacing w:before="0" w:after="0"/>
        <w:ind w:left="0" w:right="0" w:hanging="0"/>
        <w:rPr/>
      </w:pPr>
      <w:r>
        <w:rPr/>
        <w:t>​</w:t>
      </w:r>
    </w:p>
    <w:p>
      <w:pPr>
        <w:pStyle w:val="TextBody"/>
        <w:spacing w:before="0" w:after="240"/>
        <w:ind w:left="0" w:right="0" w:hanging="0"/>
        <w:jc w:val="both"/>
        <w:rPr/>
      </w:pPr>
      <w:r>
        <w:rPr/>
        <w:t>​</w:t>
      </w:r>
      <w:r>
        <w:rPr>
          <w:rFonts w:ascii="Times New Roman;Times;serif" w:hAnsi="Times New Roman;Times;serif"/>
          <w:sz w:val="20"/>
        </w:rPr>
        <w:br/>
        <w:t>Construction in process represents construction in progress related to both cultivation and dispensary facilities not yet completed or otherwise not ready for use.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Depreciation expense for the years ended December 31, 2022 and 2021 was $2,911,004 and $1,124,571, respectively.</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7.</w:t>
      </w:r>
      <w:r>
        <w:rPr>
          <w:rFonts w:ascii="Times New Roman;Times;serif" w:hAnsi="Times New Roman;Times;serif"/>
          <w:b/>
          <w:sz w:val="20"/>
        </w:rPr>
        <w:t>Business Combinations</w:t>
      </w:r>
    </w:p>
    <w:p>
      <w:pPr>
        <w:pStyle w:val="TextBody"/>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On February 4, 2021, the Company acquired the assets of (i) Colorado Health Consultants LLC and (ii) Mountain View 44</w:t>
      </w:r>
      <w:r>
        <w:rPr>
          <w:rFonts w:ascii="Times New Roman;Times;serif" w:hAnsi="Times New Roman;Times;serif"/>
          <w:sz w:val="15"/>
        </w:rPr>
        <w:t>th</w:t>
      </w:r>
      <w:r>
        <w:rPr>
          <w:rFonts w:ascii="Times New Roman;Times;serif" w:hAnsi="Times New Roman;Times;serif"/>
          <w:sz w:val="20"/>
        </w:rPr>
        <w:t xml:space="preserve"> LLC under separate asset purchase agreements. On March 2, 2021, the Company acquired the assets of (i) Starbuds Aurora LLC, (ii) SB Arapahoe LLC, (iii) Citi-Med LLC, (iv) Starbuds Louisville LLC and (v) KEW LLC under separate asset purchase agreements. The Company closed the acquisition of thirteen Star Buds dispensaries and one cultivation facility in tranches, and the complete consummation of the acquisition was finalized on March 2, 2021. The aggregate purchase price was $118,000,000. The Company accounted for the transaction utilizing purchase price accounting stating that the book value approximates the fair market value of the assets acquired. The purchase price accounting resulted in the Company valuing the investment as $27,054,025 of goodwill.</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July 21, 2021, the Company acquired the assets of Southern Colorado Growers under the applicable asset purchase agreement. The Company utilized purchase price accounting stating that net book value approximates fair market value of the assets acquired. The purchase price accounting resulted in $1,810,323 of goodwill.</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3, 2021, the Company and all the Subsidiary Guarantors entered into the Note Purchase Agreement with 31 Note Investors, pursuant to which the Company agreed to issue and sell to the Note Investors 13% senior secured convertible notes due December 7, 2026 (the “Investor Notes”) in an aggregate principal amount of $95,000,000 for an aggregate purchase price of $93,100,000 (reflecting an original issue discount of $1,900,000, or 2%) in a private placement. On December 7, 2021, the Company consummated the private placement and issued and sold the Investor Notes pursuant to the Indenture entered into among the Company, Chicago Admin, LLC, as collateral agent (the “Indenture Collateral Agent”), Ankura Trust Company, LLC, as Indenture Trustee, and the Indenture. The Company received net proceeds of approximately $92 million at the closing, after deducting a commission to the placement agent and estimated offering expenses. The Investor Notes will mature five years after issuance unless earlier repurchased, redeemed, or converted. The Investor Notes bear interest at 13% per year paid quarterly commencing March 31, 2022 in cash for an amount equal to the amount payable on such date as if the Investor Notes were subject to an annual interest rate of 9%, with the remainder of the accrued interest payable as an increase to the principal amount of the Investor Notes. The proceeds from the Investor Notes are required to be used to fund previously identified acquisitions and other growth initiatives.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On December 21, 2021, the Company acquired the assets of Smoking Gun under the applicable asset purchase agreement. The Company utilized purchase price accounting to value assets acquired, which values s</w:t>
      </w:r>
      <w:r>
        <w:rPr>
          <w:rFonts w:ascii="Times New Roman;Times;serif" w:hAnsi="Times New Roman;Times;serif"/>
          <w:sz w:val="20"/>
          <w:highlight w:val="white"/>
        </w:rPr>
        <w:t xml:space="preserve">uch assets at approximately fair market value. The purchase price accounting resulted in $640,001 of goodwill. </w:t>
      </w:r>
    </w:p>
    <w:p>
      <w:pPr>
        <w:pStyle w:val="TextBody"/>
        <w:spacing w:before="0" w:after="0"/>
        <w:ind w:left="0" w:right="0" w:hanging="0"/>
        <w:jc w:val="both"/>
        <w:rPr>
          <w:highlight w:val="white"/>
        </w:rPr>
      </w:pPr>
      <w:r>
        <w:rPr>
          <w:highlight w:val="white"/>
        </w:rPr>
        <w:t>​</w:t>
      </w:r>
    </w:p>
    <w:p>
      <w:pPr>
        <w:pStyle w:val="TextBody"/>
        <w:spacing w:before="0" w:after="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 xml:space="preserve">On January 26, 2022, the Company acquired the assets of Drift, and Black Box Licensing, LLC, which operates dispensaries in Colorado, under the applicable asset purchase agreement. The Company utilized purchase price accounting to value assets acquired, which values such assets at approximately fair market value. The purchase price accounting resulted in $3,344,555 of goodwill and intangibles, however valuation has not been finalized. </w:t>
      </w:r>
    </w:p>
    <w:p>
      <w:pPr>
        <w:pStyle w:val="TextBody"/>
        <w:spacing w:before="0" w:after="240"/>
        <w:ind w:left="0" w:right="0" w:hanging="0"/>
        <w:jc w:val="both"/>
        <w:rPr>
          <w:highlight w:val="white"/>
        </w:rPr>
      </w:pPr>
      <w:r>
        <w:rPr>
          <w:highlight w:val="white"/>
        </w:rPr>
        <w:t>​</w:t>
      </w:r>
    </w:p>
    <w:p>
      <w:pPr>
        <w:pStyle w:val="TextBody"/>
        <w:spacing w:before="0" w:after="0"/>
        <w:ind w:left="0" w:right="0" w:hanging="0"/>
        <w:rPr>
          <w:rFonts w:ascii="Times New Roman;Times;serif" w:hAnsi="Times New Roman;Times;serif"/>
          <w:sz w:val="20"/>
          <w:highlight w:val="white"/>
        </w:rPr>
      </w:pPr>
      <w:r>
        <w:rPr>
          <w:rFonts w:ascii="Times New Roman;Times;serif" w:hAnsi="Times New Roman;Times;serif"/>
          <w:sz w:val="20"/>
          <w:highlight w:val="white"/>
        </w:rPr>
        <w:t>On February 8, 2022, the Company acquired its New Mexico business under the Nuevo Purchase Agreement with the Nuevo Purchasers, RGA, Elemental, the equity holders of RGA and Elemental and William N. Ford, in his capacity as Representative, as amended on February 9, 2022. The Nuevo Purchasers acquired substantially all the operating assets of RGA and all of the equity of Elemental and assumed specified liabilities of RGA and Elemental. Pursuant to existing laws and regulations in New Mexico, the cannabis licenses for certain facilities managed by RGA are held by the NFPs.</w:t>
      </w:r>
    </w:p>
    <w:p>
      <w:pPr>
        <w:pStyle w:val="TextBody"/>
        <w:spacing w:before="0" w:after="0"/>
        <w:ind w:left="0" w:right="0" w:hanging="0"/>
        <w:rPr>
          <w:highlight w:val="white"/>
        </w:rPr>
      </w:pPr>
      <w:r>
        <w:rPr>
          <w:highlight w:val="white"/>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highlight w:val="white"/>
        </w:rPr>
        <w:t xml:space="preserve">At the closing, Nuevo Holding, LLC gained control over the NFPs by becoming the sole member of each of the NFPs and replacing the directors of the two NFPs with the Company’s Chief Executive Officer, Chief Financial Officer, General Counsel, and Corporate Secretary. The business acquired from RGA consists of serving as a branding, marketing and consulting company, licensing certain intellectual property related to the business of THC-based products to Elemental and the NFPs, providing consulting services to Elemental and the NFPs, and supporting Elemental and the NFPs to promote, support, and develop sales and distribution of products. Elemental is engaged in the business of creating and distributing cannabis-derived products to licensed cannabis producers. Elemental and the NFPs are in the business of cultivating, processing and dispensing marijuana in New Mexico, with 10 dispensaries, four cultivation facilities (three operating and one under development) and one manufacturing facility. The dispensaries are located in Albuquerque, Santa Fe, Roswell, Las Cruces, Grants and Las Vegas, New Mexico. The cultivation and manufacturing facilities are located in Albuquerque, New Mexico and consists of approximately 70,000 square feet of cultivation and 6,000 square feet of manufacturing. On the same date, Nuevo Holding, LLC entered into two separate Call Option Agreements containing substantially identical terms with each of the NFPs. Each Call Option Agreement gives Nuevo Holding, LLC the right to acquire 100% of the equity or 100% of the assets of the applicable NFP for a purchase price of $100 if, in the future, the New Mexico legislature adopts legislation that permits a NFP to (i) convert to a for-profit corporation and maintain its cannabis license or (ii) sell its assets (including its cannabis license) to a for-profit corporation. The aggregate closing consideration for the acquisitions was approximately (i) $32.2 million in cash, </w:t>
      </w:r>
      <w:r>
        <w:rPr>
          <w:rFonts w:ascii="Times New Roman;Times;serif" w:hAnsi="Times New Roman;Times;serif"/>
          <w:sz w:val="20"/>
        </w:rPr>
        <w:t>which included a $4.5 million cash earnout based on EBITDA of the acquired businesses for the calendar year 2021</w:t>
      </w:r>
      <w:r>
        <w:rPr>
          <w:rFonts w:ascii="Times New Roman;Times;serif" w:hAnsi="Times New Roman;Times;serif"/>
          <w:sz w:val="20"/>
          <w:highlight w:val="white"/>
        </w:rPr>
        <w:t>, and (ii) $17.0 million in the form of an unsecured promissory note issued by Nuevo Holding, LLC to RGA, the principal amount of which is payable on February 8, 2025 with interest payable monthly at an annual interest rate of 5%. The Company utilized purchase price accounting to value assets acquired, which values such assets at approximately fair market value. The purchase price accounting resulted in $34,981,571 of goodwill and intangibles, however valuation has not been finalized.</w:t>
      </w:r>
    </w:p>
    <w:p>
      <w:pPr>
        <w:pStyle w:val="TextBody"/>
        <w:spacing w:before="0" w:after="0"/>
        <w:ind w:left="0" w:right="0" w:hanging="0"/>
        <w:jc w:val="both"/>
        <w:rPr>
          <w:highlight w:val="white"/>
        </w:rPr>
      </w:pPr>
      <w:r>
        <w:rPr>
          <w:highlight w:val="white"/>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February 9, 2022, the Company acquired MCG, which operates dispensaries located in Colorado pursuant to the terms of an Agreement and Plan of Merger, dated November 15, 2021, with Emerald Fields Merger Sub, LLC, a wholly-owned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bookmarkStart w:id="840" w:name="Tc_68pciKq1DkqegvGD9vwHEA_5_8"/>
      <w:bookmarkStart w:id="841" w:name="Tc_O8eOQ7tl1Uy3Mhc0QVUbpw_5_5"/>
      <w:bookmarkStart w:id="842" w:name="Tc_X1NJ4onSJUOjkohJDzBxMA_5_2"/>
      <w:bookmarkStart w:id="843" w:name="Tc_tYHxf5VYak-9NPdAHGOiBA_5_0"/>
      <w:bookmarkStart w:id="844" w:name="Tc_6E1YtXi3pkyUPsVjxfN9Bw_4_3"/>
      <w:bookmarkStart w:id="845" w:name="Tc_jmZDYw-8X0Wudq1P1QRP6Q_4_0"/>
      <w:bookmarkStart w:id="846" w:name="Tc_I-YX98fSK0K6b7VsT-Y0bw_3_9"/>
      <w:bookmarkStart w:id="847" w:name="Tc_mJvg_FCarUGos_P9SQC0gg_3_6"/>
      <w:bookmarkStart w:id="848" w:name="Tc_BHwlehl8rEeY5eVbh50T3A_3_0"/>
      <w:bookmarkStart w:id="849" w:name="Tc_18SJPwA1mkqtjtoJtqcs3A_2_8"/>
      <w:bookmarkStart w:id="850" w:name="Tc_VdIk5Q3UG06nOpwvkY3ybg_2_5"/>
      <w:bookmarkStart w:id="851" w:name="Tc_yENXp3m0sEemx7vqvqqDOA_2_2"/>
      <w:bookmarkStart w:id="852" w:name="Tc_SFAu4RSXA0mfVW1ScNMGzQ_2_0"/>
      <w:bookmarkStart w:id="853" w:name="Tc_OWii8TgC2EudvhIQM0-ltg_1_8"/>
      <w:bookmarkStart w:id="854" w:name="Tc_j2O3vvX3HU-lSs9elaN7CQ_1_5"/>
      <w:bookmarkStart w:id="855" w:name="Tc_9CKPqbe-O02KWZFdO6cUKw_1_2"/>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r>
        <w:rPr>
          <w:rFonts w:ascii="Times New Roman;Times;serif" w:hAnsi="Times New Roman;Times;serif"/>
          <w:sz w:val="20"/>
        </w:rPr>
        <w:t xml:space="preserve">subsidiary of the Company, MCG, MCG’s owners and Donald Douglas Burkhalter and James Gulbrandsen in their capacity as the Member Representatives, as amended on February 9, 2022. The Company utilized purchase price accounting to value assets acquired, which values such assets at approximately fair market value. The purchase price accounting resulted in $16,810,479 of goodwill and $12,400,000 of intangibles.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February 15, 2022, the Company acquired substantially all of the operating assets of Brow related to its indoor cannabis cultivation operations located in Denver, Colorado (other than assets expressly excluded) and assumed certain liabilities for contracts acquired pursuant to the terms of the Asset Purchase Agreement, dated August 20, 2021, among Double Brow, Brow, and Brian Welsh, as the owner of Brow. The Company utilized purchase price accounting to value assets acquired, which values such assets at approximately fair market value. The purchase price accounting resulted in $1,792,000 of goodwill and $3,970,000 of intangibles.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May 31, 2022, the Company acquired substantially all of the operating assets of Urban Dispensary, which operates a dispensary and indoor cultivation in Colorado, pursuant to the terms of an Asset and Personal Goodwill Purchase Agreement, dated March 11, 2022, with Double Brow, Urban Dispensary, Productive Investments, LLC, and Patrick Johnson. Urban Dispensary operates an indoor cannabis cultivation facility and a single retail dispensary, each located in Denver, Colorado. The Company utilized purchase price accounting to value assets acquired, which values such assets at approximately fair market value. The purchase price accounting resulted in $2,849,868 of goodwill and intangibles, however valuation has not been finalized.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15, 2022, the Company acquired substantially all of the operating assets of two retail dispensaries of Lightshade pursuant to the terms of two separate Asset Purchase Agreements, dated September 9, 2022, by and among the Company, Double Brow, Lightshade, Thomas Alsburg, Steve Brooks, and John Fritzel, as amended. The Company acquired two retail dispensaries and the assets related thereto located in Denver, Colorado and Aurora, Colorado. The Company utilized purchase price accounting to value assets acquired, which values such assets at approximately fair market value. The purchase price accounting resulted in $2,589,866 of goodwill and intangibles, however valuation has not been finalized.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Also on December 15, 2022, the Company acquired certain of the operating assets of a retail dispensary of Pikes Peak Industries LLC d/b/a Bud EZ (“Bud EZ”) pursuant to the terms of a License Purchase Agreement, dated August 31, 2022, by and among the Company, Double Brow, Bud EZ, and John Jackson. Bud EZ operates a medical retail dispensary in Colorado Springs, Colorado. The Company utilized purchase price accounting to value assets acquired, which values such assets at approximately fair market value. The Company has not yet finalized the purchase price accounting and therefore no goodwill has been recognized as of December 31, 2022.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Acquisition related expenses incurred during the year ended years ended December 31, 2022 and 2021, totaled $6,822,000 and $2,779,000, respectively, and were recorded within selling, general and administrative expenses.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highlight w:val="white"/>
        </w:rPr>
        <w:t>These transactions were accounted for as a business combination in accordance with ASC 805, </w:t>
      </w:r>
      <w:r>
        <w:rPr>
          <w:rFonts w:ascii="Times New Roman;Times;serif" w:hAnsi="Times New Roman;Times;serif"/>
          <w:i/>
          <w:sz w:val="20"/>
          <w:highlight w:val="white"/>
        </w:rPr>
        <w:t>Business Combinations</w:t>
      </w:r>
      <w:r>
        <w:rPr>
          <w:rFonts w:ascii="Times New Roman;Times;serif" w:hAnsi="Times New Roman;Times;serif"/>
          <w:sz w:val="20"/>
          <w:highlight w:val="white"/>
        </w:rPr>
        <w:t> (“ASC 805”). In consideration of the sale and transfer of the acquired assets the Company paid as follows:</w:t>
      </w:r>
    </w:p>
    <w:p>
      <w:pPr>
        <w:pStyle w:val="TextBody"/>
        <w:spacing w:before="0" w:after="0"/>
        <w:ind w:left="0" w:right="0" w:hanging="0"/>
        <w:rPr/>
      </w:pPr>
      <w:r>
        <w:rPr/>
        <w:t>​</w:t>
      </w:r>
    </w:p>
    <w:tbl>
      <w:tblPr>
        <w:tblW w:w="8329" w:type="dxa"/>
        <w:jc w:val="left"/>
        <w:tblInd w:w="0" w:type="dxa"/>
        <w:tblCellMar>
          <w:top w:w="0" w:type="dxa"/>
          <w:left w:w="0" w:type="dxa"/>
          <w:bottom w:w="0" w:type="dxa"/>
          <w:right w:w="0" w:type="dxa"/>
        </w:tblCellMar>
      </w:tblPr>
      <w:tblGrid>
        <w:gridCol w:w="1771"/>
        <w:gridCol w:w="326"/>
        <w:gridCol w:w="266"/>
        <w:gridCol w:w="1309"/>
        <w:gridCol w:w="326"/>
        <w:gridCol w:w="424"/>
        <w:gridCol w:w="2081"/>
        <w:gridCol w:w="326"/>
        <w:gridCol w:w="234"/>
        <w:gridCol w:w="1266"/>
      </w:tblGrid>
      <w:tr>
        <w:trPr/>
        <w:tc>
          <w:tcPr>
            <w:tcW w:w="17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124585" cy="175260"/>
                      <wp:effectExtent l="0" t="0" r="0" b="0"/>
                      <wp:wrapNone/>
                      <wp:docPr id="104" name="Frame104"/>
                      <a:graphic xmlns:a="http://schemas.openxmlformats.org/drawingml/2006/main">
                        <a:graphicData uri="http://schemas.microsoft.com/office/word/2010/wordprocessingShape">
                          <wps:wsp>
                            <wps:cNvSpPr txBox="1"/>
                            <wps:spPr>
                              <a:xfrm>
                                <a:off x="0" y="0"/>
                                <a:ext cx="1124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5" name="Frame10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68910" cy="175260"/>
                      <wp:effectExtent l="0" t="0" r="0" b="0"/>
                      <wp:wrapNone/>
                      <wp:docPr id="106" name="Frame106"/>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831215" cy="175260"/>
                      <wp:effectExtent l="0" t="0" r="0" b="0"/>
                      <wp:wrapNone/>
                      <wp:docPr id="107" name="Frame107"/>
                      <a:graphic xmlns:a="http://schemas.openxmlformats.org/drawingml/2006/main">
                        <a:graphicData uri="http://schemas.microsoft.com/office/word/2010/wordprocessingShape">
                          <wps:wsp>
                            <wps:cNvSpPr txBox="1"/>
                            <wps:spPr>
                              <a:xfrm>
                                <a:off x="0" y="0"/>
                                <a:ext cx="831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8" name="Frame10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69240" cy="175260"/>
                      <wp:effectExtent l="0" t="0" r="0" b="0"/>
                      <wp:wrapNone/>
                      <wp:docPr id="109" name="Frame109"/>
                      <a:graphic xmlns:a="http://schemas.openxmlformats.org/drawingml/2006/main">
                        <a:graphicData uri="http://schemas.microsoft.com/office/word/2010/wordprocessingShape">
                          <wps:wsp>
                            <wps:cNvSpPr txBox="1"/>
                            <wps:spPr>
                              <a:xfrm>
                                <a:off x="0" y="0"/>
                                <a:ext cx="2692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321435" cy="175260"/>
                      <wp:effectExtent l="0" t="0" r="0" b="0"/>
                      <wp:wrapNone/>
                      <wp:docPr id="110" name="Frame110"/>
                      <a:graphic xmlns:a="http://schemas.openxmlformats.org/drawingml/2006/main">
                        <a:graphicData uri="http://schemas.microsoft.com/office/word/2010/wordprocessingShape">
                          <wps:wsp>
                            <wps:cNvSpPr txBox="1"/>
                            <wps:spPr>
                              <a:xfrm>
                                <a:off x="0" y="0"/>
                                <a:ext cx="1321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7010" cy="175260"/>
                      <wp:effectExtent l="0" t="0" r="0" b="0"/>
                      <wp:wrapNone/>
                      <wp:docPr id="111" name="Frame1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48590" cy="175260"/>
                      <wp:effectExtent l="0" t="0" r="0" b="0"/>
                      <wp:wrapNone/>
                      <wp:docPr id="112" name="Frame112"/>
                      <a:graphic xmlns:a="http://schemas.openxmlformats.org/drawingml/2006/main">
                        <a:graphicData uri="http://schemas.microsoft.com/office/word/2010/wordprocessingShape">
                          <wps:wsp>
                            <wps:cNvSpPr txBox="1"/>
                            <wps:spPr>
                              <a:xfrm>
                                <a:off x="0" y="0"/>
                                <a:ext cx="1485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803910" cy="175260"/>
                      <wp:effectExtent l="0" t="0" r="0" b="0"/>
                      <wp:wrapNone/>
                      <wp:docPr id="113" name="Frame113"/>
                      <a:graphic xmlns:a="http://schemas.openxmlformats.org/drawingml/2006/main">
                        <a:graphicData uri="http://schemas.microsoft.com/office/word/2010/wordprocessingShape">
                          <wps:wsp>
                            <wps:cNvSpPr txBox="1"/>
                            <wps:spPr>
                              <a:xfrm>
                                <a:off x="0" y="0"/>
                                <a:ext cx="803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7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5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Nuevo Holding LLC</w:t>
            </w:r>
          </w:p>
        </w:tc>
        <w:tc>
          <w:tcPr>
            <w:tcW w:w="326" w:type="dxa"/>
            <w:tcBorders/>
            <w:shd w:fill="auto" w:val="clear"/>
            <w:vAlign w:val="center"/>
          </w:tcPr>
          <w:p>
            <w:pPr>
              <w:pStyle w:val="TableContents"/>
              <w:spacing w:before="0" w:after="0"/>
              <w:ind w:left="0" w:right="0" w:hanging="0"/>
              <w:rPr/>
            </w:pPr>
            <w:r>
              <w:rPr/>
              <w:t>    </w:t>
            </w:r>
          </w:p>
        </w:tc>
        <w:tc>
          <w:tcPr>
            <w:tcW w:w="250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Emerald Fields Merger Sub, LLC</w:t>
            </w:r>
          </w:p>
        </w:tc>
        <w:tc>
          <w:tcPr>
            <w:tcW w:w="326" w:type="dxa"/>
            <w:tcBorders/>
            <w:shd w:fill="auto" w:val="clear"/>
            <w:vAlign w:val="center"/>
          </w:tcPr>
          <w:p>
            <w:pPr>
              <w:pStyle w:val="TableContents"/>
              <w:spacing w:before="0" w:after="0"/>
              <w:ind w:left="0" w:right="0" w:hanging="0"/>
              <w:rPr/>
            </w:pPr>
            <w:r>
              <w:rPr/>
              <w:t>    </w:t>
            </w:r>
          </w:p>
        </w:tc>
        <w:tc>
          <w:tcPr>
            <w:tcW w:w="15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Acquisitions</w:t>
            </w:r>
          </w:p>
        </w:tc>
      </w:tr>
      <w:tr>
        <w:trPr/>
        <w:tc>
          <w:tcPr>
            <w:tcW w:w="17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w:t>
            </w:r>
          </w:p>
        </w:tc>
        <w:tc>
          <w:tcPr>
            <w:tcW w:w="326" w:type="dxa"/>
            <w:tcBorders/>
            <w:shd w:fill="CCEEFF" w:val="clear"/>
            <w:vAlign w:val="center"/>
          </w:tcPr>
          <w:p>
            <w:pPr>
              <w:pStyle w:val="TableContents"/>
              <w:spacing w:before="0" w:after="0"/>
              <w:ind w:left="0" w:right="0" w:hanging="0"/>
              <w:rPr/>
            </w:pPr>
            <w:r>
              <w:rPr/>
              <w:t>    </w:t>
            </w:r>
          </w:p>
        </w:tc>
        <w:tc>
          <w:tcPr>
            <w:tcW w:w="2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0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32,202,123</w:t>
            </w:r>
          </w:p>
        </w:tc>
        <w:tc>
          <w:tcPr>
            <w:tcW w:w="326" w:type="dxa"/>
            <w:tcBorders/>
            <w:shd w:fill="CCEEFF" w:val="clear"/>
            <w:vAlign w:val="center"/>
          </w:tcPr>
          <w:p>
            <w:pPr>
              <w:pStyle w:val="TableContents"/>
              <w:spacing w:before="0" w:after="0"/>
              <w:ind w:left="0" w:right="0" w:hanging="0"/>
              <w:rPr/>
            </w:pPr>
            <w:r>
              <w:rPr/>
              <w:t>​</w:t>
            </w:r>
          </w:p>
        </w:tc>
        <w:tc>
          <w:tcPr>
            <w:tcW w:w="42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20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18,268,825</w:t>
            </w:r>
          </w:p>
        </w:tc>
        <w:tc>
          <w:tcPr>
            <w:tcW w:w="326" w:type="dxa"/>
            <w:tcBorders/>
            <w:shd w:fill="CCEEFF" w:val="clear"/>
            <w:vAlign w:val="center"/>
          </w:tcPr>
          <w:p>
            <w:pPr>
              <w:pStyle w:val="TableContents"/>
              <w:spacing w:before="0" w:after="0"/>
              <w:ind w:left="0" w:right="0" w:hanging="0"/>
              <w:rPr/>
            </w:pPr>
            <w:r>
              <w:rPr/>
              <w:t>​</w:t>
            </w:r>
          </w:p>
        </w:tc>
        <w:tc>
          <w:tcPr>
            <w:tcW w:w="23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12,044,553</w:t>
            </w:r>
          </w:p>
        </w:tc>
      </w:tr>
      <w:tr>
        <w:trPr/>
        <w:tc>
          <w:tcPr>
            <w:tcW w:w="177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Seller notes</w:t>
            </w:r>
          </w:p>
        </w:tc>
        <w:tc>
          <w:tcPr>
            <w:tcW w:w="326"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pPr>
            <w:r>
              <w:rPr/>
              <w:t> </w:t>
            </w:r>
          </w:p>
        </w:tc>
        <w:tc>
          <w:tcPr>
            <w:tcW w:w="130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17,000,000</w:t>
            </w:r>
          </w:p>
        </w:tc>
        <w:tc>
          <w:tcPr>
            <w:tcW w:w="326" w:type="dxa"/>
            <w:tcBorders/>
            <w:shd w:fill="auto" w:val="clear"/>
            <w:vAlign w:val="center"/>
          </w:tcPr>
          <w:p>
            <w:pPr>
              <w:pStyle w:val="TableContents"/>
              <w:spacing w:before="0" w:after="0"/>
              <w:ind w:left="0" w:right="0" w:hanging="0"/>
              <w:rPr/>
            </w:pPr>
            <w:r>
              <w:rPr/>
              <w:t>​</w:t>
            </w:r>
          </w:p>
        </w:tc>
        <w:tc>
          <w:tcPr>
            <w:tcW w:w="424" w:type="dxa"/>
            <w:tcBorders/>
            <w:shd w:fill="auto" w:val="clear"/>
            <w:vAlign w:val="center"/>
          </w:tcPr>
          <w:p>
            <w:pPr>
              <w:pStyle w:val="TableContents"/>
              <w:spacing w:before="0" w:after="0"/>
              <w:ind w:left="0" w:right="0" w:hanging="0"/>
              <w:rPr/>
            </w:pPr>
            <w:r>
              <w:rPr/>
              <w:t> </w:t>
            </w:r>
          </w:p>
        </w:tc>
        <w:tc>
          <w:tcPr>
            <w:tcW w:w="20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4" w:type="dxa"/>
            <w:tcBorders/>
            <w:shd w:fill="auto" w:val="clear"/>
            <w:vAlign w:val="center"/>
          </w:tcPr>
          <w:p>
            <w:pPr>
              <w:pStyle w:val="TableContents"/>
              <w:spacing w:before="0" w:after="0"/>
              <w:ind w:left="0" w:right="0" w:hanging="0"/>
              <w:rPr/>
            </w:pPr>
            <w:r>
              <w:rPr/>
              <w:t> </w:t>
            </w:r>
          </w:p>
        </w:tc>
        <w:tc>
          <w:tcPr>
            <w:tcW w:w="1266" w:type="dxa"/>
            <w:tcBorders/>
            <w:shd w:fill="auto" w:val="clear"/>
            <w:vAlign w:val="center"/>
          </w:tcPr>
          <w:p>
            <w:pPr>
              <w:pStyle w:val="TableContents"/>
              <w:spacing w:before="0" w:after="0"/>
              <w:ind w:left="0" w:right="0" w:hanging="0"/>
              <w:jc w:val="right"/>
              <w:rPr/>
            </w:pPr>
            <w:r>
              <w:rPr/>
              <w:t>—</w:t>
            </w:r>
          </w:p>
        </w:tc>
      </w:tr>
      <w:tr>
        <w:trPr/>
        <w:tc>
          <w:tcPr>
            <w:tcW w:w="177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Common stock</w:t>
            </w:r>
          </w:p>
        </w:tc>
        <w:tc>
          <w:tcPr>
            <w:tcW w:w="326" w:type="dxa"/>
            <w:tcBorders/>
            <w:shd w:fill="CCEEFF" w:val="clear"/>
            <w:vAlign w:val="center"/>
          </w:tcPr>
          <w:p>
            <w:pPr>
              <w:pStyle w:val="TableContents"/>
              <w:spacing w:before="0" w:after="0"/>
              <w:ind w:left="0" w:right="0" w:hanging="0"/>
              <w:rPr/>
            </w:pPr>
            <w:r>
              <w:rPr/>
              <w:t>​</w:t>
            </w:r>
          </w:p>
        </w:tc>
        <w:tc>
          <w:tcPr>
            <w:tcW w:w="26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309"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424"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20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11,600,000</w:t>
            </w:r>
          </w:p>
        </w:tc>
        <w:tc>
          <w:tcPr>
            <w:tcW w:w="326" w:type="dxa"/>
            <w:tcBorders/>
            <w:shd w:fill="CCEEFF" w:val="clear"/>
            <w:vAlign w:val="center"/>
          </w:tcPr>
          <w:p>
            <w:pPr>
              <w:pStyle w:val="TableContents"/>
              <w:spacing w:before="0" w:after="0"/>
              <w:ind w:left="0" w:right="0" w:hanging="0"/>
              <w:rPr/>
            </w:pPr>
            <w:r>
              <w:rPr/>
              <w:t>​</w:t>
            </w:r>
          </w:p>
        </w:tc>
        <w:tc>
          <w:tcPr>
            <w:tcW w:w="234"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6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4,137,855</w:t>
            </w:r>
          </w:p>
        </w:tc>
      </w:tr>
      <w:tr>
        <w:trPr/>
        <w:tc>
          <w:tcPr>
            <w:tcW w:w="177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Total purchase price</w:t>
            </w:r>
          </w:p>
        </w:tc>
        <w:tc>
          <w:tcPr>
            <w:tcW w:w="326" w:type="dxa"/>
            <w:tcBorders/>
            <w:shd w:fill="auto" w:val="clear"/>
            <w:vAlign w:val="center"/>
          </w:tcPr>
          <w:p>
            <w:pPr>
              <w:pStyle w:val="TableContents"/>
              <w:spacing w:before="0" w:after="0"/>
              <w:ind w:left="0" w:right="0" w:hanging="0"/>
              <w:rPr/>
            </w:pPr>
            <w:r>
              <w:rPr/>
              <w:t>​</w:t>
            </w:r>
          </w:p>
        </w:tc>
        <w:tc>
          <w:tcPr>
            <w:tcW w:w="26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0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49,202,123</w:t>
            </w:r>
          </w:p>
        </w:tc>
        <w:tc>
          <w:tcPr>
            <w:tcW w:w="326" w:type="dxa"/>
            <w:tcBorders/>
            <w:shd w:fill="auto" w:val="clear"/>
            <w:vAlign w:val="center"/>
          </w:tcPr>
          <w:p>
            <w:pPr>
              <w:pStyle w:val="TableContents"/>
              <w:spacing w:before="0" w:after="0"/>
              <w:ind w:left="0" w:right="0" w:hanging="0"/>
              <w:rPr/>
            </w:pPr>
            <w:r>
              <w:rPr/>
              <w:t>​</w:t>
            </w:r>
          </w:p>
        </w:tc>
        <w:tc>
          <w:tcPr>
            <w:tcW w:w="424"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20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29,868,825</w:t>
            </w:r>
          </w:p>
        </w:tc>
        <w:tc>
          <w:tcPr>
            <w:tcW w:w="326" w:type="dxa"/>
            <w:tcBorders/>
            <w:shd w:fill="auto" w:val="clear"/>
            <w:vAlign w:val="center"/>
          </w:tcPr>
          <w:p>
            <w:pPr>
              <w:pStyle w:val="TableContents"/>
              <w:spacing w:before="0" w:after="0"/>
              <w:ind w:left="0" w:right="0" w:hanging="0"/>
              <w:rPr/>
            </w:pPr>
            <w:r>
              <w:rPr/>
              <w:t>​</w:t>
            </w:r>
          </w:p>
        </w:tc>
        <w:tc>
          <w:tcPr>
            <w:tcW w:w="234"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6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16,182,408</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highlight w:val="yellow"/>
        </w:rPr>
      </w:pPr>
      <w:bookmarkStart w:id="856" w:name="Tc_BH0dlm_z8EaMyHokcWpJMw_17_8"/>
      <w:bookmarkStart w:id="857" w:name="Tc_Tqj5xN3lYkCnZKB8vHKc6Q_17_5"/>
      <w:bookmarkStart w:id="858" w:name="Tc_8uaDe56GAEuv_67Od6EkKg_17_2"/>
      <w:bookmarkStart w:id="859" w:name="Tc_E2K5eQOuokWe53mjTfh5tw_17_0"/>
      <w:bookmarkStart w:id="860" w:name="Tc_hGajdIfDiUesrkg4mJXYmg_16_0"/>
      <w:bookmarkStart w:id="861" w:name="Tc_wbJdYxsPck-9QMKqrn48fQ_15_9"/>
      <w:bookmarkStart w:id="862" w:name="Tc_InV7tK99N0G7G56Z6X-mAg_15_3"/>
      <w:bookmarkStart w:id="863" w:name="Tc_tFGo9W0Eek2GhbgMM7EBJQ_15_0"/>
      <w:bookmarkStart w:id="864" w:name="Tc_CPHnyWCfGUyTOo2zwh_hkQ_14_0"/>
      <w:bookmarkStart w:id="865" w:name="Tc_jFYK9HXh4USqMNoQFesk0A_13_9"/>
      <w:bookmarkStart w:id="866" w:name="Tc_ZjWPnInUJ0-q1Zcs6b4McQ_13_8"/>
      <w:bookmarkStart w:id="867" w:name="Tc_r7rZRsJGyUGTM36u5Dr7eA_13_5"/>
      <w:bookmarkStart w:id="868" w:name="Tc_pvVddzLAhU6poRN9efAjpA_13_2"/>
      <w:bookmarkStart w:id="869" w:name="Tc_PnZ2df8w3UOgWzkFpQzzcA_13_0"/>
      <w:bookmarkStart w:id="870" w:name="Tc_MpEnl8BCzkOYutg2JU8oeQ_12_0"/>
      <w:bookmarkStart w:id="871" w:name="Tc_bGgnhVgHZEmh5T1sbB5vZw_11_8"/>
      <w:bookmarkStart w:id="872" w:name="Tc_1CWhIJ5SLEGi2Qg0DD5JTQ_11_5"/>
      <w:bookmarkStart w:id="873" w:name="Tc_2UkLuQFB20qaosszK5BcLg_11_2"/>
      <w:bookmarkStart w:id="874" w:name="Tc_xq8ld4Tq3EGw8VQzGAS0gQ_11_0"/>
      <w:bookmarkStart w:id="875" w:name="Tc_Che910qptka2RCFK1hAlsg_10_0"/>
      <w:bookmarkStart w:id="876" w:name="Tc_coBH1eTyY0-fSWeF5I4ZgQ_9_3"/>
      <w:bookmarkStart w:id="877" w:name="Tc_PbHc2iVTgUy3A6uwQBulVQ_9_0"/>
      <w:bookmarkStart w:id="878" w:name="Tc_HnPo___UoEWuu9hhQS8aAA_8_9"/>
      <w:bookmarkStart w:id="879" w:name="Tc_cCmDqGgPSE66jpnTtnDVyw_8_6"/>
      <w:bookmarkStart w:id="880" w:name="Tc_IWe8pXiMZk6q0lSA2R0V8Q_8_0"/>
      <w:bookmarkStart w:id="881" w:name="Tc_YND91qH9u0ywftwnhWh9Jg_7_0"/>
      <w:bookmarkStart w:id="882" w:name="Tc_giiYHv72z0eVEIuWh85Epw_6_0"/>
      <w:bookmarkStart w:id="883" w:name="Tc_KoGVeFdsckql322-9jzBHQ_5_3"/>
      <w:bookmarkStart w:id="884" w:name="Tc_aGEFyDl-oEyS2bZ1aUB1Tw_5_0"/>
      <w:bookmarkStart w:id="885" w:name="Tc_e2N2hcU_SEyHI3SPc03CLQ_4_9"/>
      <w:bookmarkStart w:id="886" w:name="Tc_qFx-FxigmkuM6UTP_6Mosg_4_3"/>
      <w:bookmarkStart w:id="887" w:name="Tc__qpJvp4la0m_8whXIKx9Dw_4_0"/>
      <w:bookmarkStart w:id="888" w:name="Tc_2dFGOSldEU-1DFID1ucysg_3_8"/>
      <w:bookmarkStart w:id="889" w:name="Tc_RaEnoBpAAkKIzvEJ9lXH7Q_3_5"/>
      <w:bookmarkStart w:id="890" w:name="Tc_cDxbBvq-lESLMZIHIBHYQQ_3_2"/>
      <w:bookmarkStart w:id="891" w:name="Tc_tuYNvr28eEKEZ1oNTwdjjQ_3_0"/>
      <w:bookmarkStart w:id="892" w:name="Tc_4ApAh_qCe0qPasnn3iKAIA_2_0"/>
      <w:bookmarkStart w:id="893" w:name="Tc_Vo3zl-jCtEuvfAxTLVmwuQ_1_8"/>
      <w:bookmarkStart w:id="894" w:name="Tc_5m_1CJcB8EKX3FhglbO-Lg_1_5"/>
      <w:bookmarkStart w:id="895" w:name="Tc_7xQ2HhCx0kWaeNopn90-cA_1_2"/>
      <w:bookmarkStart w:id="896" w:name="Tc_JoYsmBuMW0uaX_aGi5ww-g_1_0"/>
      <w:bookmarkStart w:id="897" w:name="_a4bcc703_f78c_4c20_a0a7_0e68665c8a89"/>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r>
        <w:rPr>
          <w:highlight w:val="yellow"/>
        </w:rPr>
        <w:t>​</w:t>
      </w:r>
    </w:p>
    <w:tbl>
      <w:tblPr>
        <w:tblW w:w="10069" w:type="dxa"/>
        <w:jc w:val="left"/>
        <w:tblInd w:w="0" w:type="dxa"/>
        <w:tblCellMar>
          <w:top w:w="0" w:type="dxa"/>
          <w:left w:w="0" w:type="dxa"/>
          <w:bottom w:w="0" w:type="dxa"/>
          <w:right w:w="0" w:type="dxa"/>
        </w:tblCellMar>
      </w:tblPr>
      <w:tblGrid>
        <w:gridCol w:w="3511"/>
        <w:gridCol w:w="326"/>
        <w:gridCol w:w="266"/>
        <w:gridCol w:w="1309"/>
        <w:gridCol w:w="326"/>
        <w:gridCol w:w="424"/>
        <w:gridCol w:w="2081"/>
        <w:gridCol w:w="326"/>
        <w:gridCol w:w="234"/>
        <w:gridCol w:w="1266"/>
      </w:tblGrid>
      <w:tr>
        <w:trPr/>
        <w:tc>
          <w:tcPr>
            <w:tcW w:w="3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229485" cy="175260"/>
                      <wp:effectExtent l="0" t="0" r="0" b="0"/>
                      <wp:wrapNone/>
                      <wp:docPr id="114" name="Frame114"/>
                      <a:graphic xmlns:a="http://schemas.openxmlformats.org/drawingml/2006/main">
                        <a:graphicData uri="http://schemas.microsoft.com/office/word/2010/wordprocessingShape">
                          <wps:wsp>
                            <wps:cNvSpPr txBox="1"/>
                            <wps:spPr>
                              <a:xfrm>
                                <a:off x="0" y="0"/>
                                <a:ext cx="2229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5" name="Frame11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68910" cy="175260"/>
                      <wp:effectExtent l="0" t="0" r="0" b="0"/>
                      <wp:wrapNone/>
                      <wp:docPr id="116" name="Frame116"/>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831215" cy="175260"/>
                      <wp:effectExtent l="0" t="0" r="0" b="0"/>
                      <wp:wrapNone/>
                      <wp:docPr id="117" name="Frame117"/>
                      <a:graphic xmlns:a="http://schemas.openxmlformats.org/drawingml/2006/main">
                        <a:graphicData uri="http://schemas.microsoft.com/office/word/2010/wordprocessingShape">
                          <wps:wsp>
                            <wps:cNvSpPr txBox="1"/>
                            <wps:spPr>
                              <a:xfrm>
                                <a:off x="0" y="0"/>
                                <a:ext cx="831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8" name="Frame11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69240" cy="175260"/>
                      <wp:effectExtent l="0" t="0" r="0" b="0"/>
                      <wp:wrapNone/>
                      <wp:docPr id="119" name="Frame119"/>
                      <a:graphic xmlns:a="http://schemas.openxmlformats.org/drawingml/2006/main">
                        <a:graphicData uri="http://schemas.microsoft.com/office/word/2010/wordprocessingShape">
                          <wps:wsp>
                            <wps:cNvSpPr txBox="1"/>
                            <wps:spPr>
                              <a:xfrm>
                                <a:off x="0" y="0"/>
                                <a:ext cx="2692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321435" cy="175260"/>
                      <wp:effectExtent l="0" t="0" r="0" b="0"/>
                      <wp:wrapNone/>
                      <wp:docPr id="120" name="Frame120"/>
                      <a:graphic xmlns:a="http://schemas.openxmlformats.org/drawingml/2006/main">
                        <a:graphicData uri="http://schemas.microsoft.com/office/word/2010/wordprocessingShape">
                          <wps:wsp>
                            <wps:cNvSpPr txBox="1"/>
                            <wps:spPr>
                              <a:xfrm>
                                <a:off x="0" y="0"/>
                                <a:ext cx="1321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21" name="Frame12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48590" cy="175260"/>
                      <wp:effectExtent l="0" t="0" r="0" b="0"/>
                      <wp:wrapNone/>
                      <wp:docPr id="122" name="Frame122"/>
                      <a:graphic xmlns:a="http://schemas.openxmlformats.org/drawingml/2006/main">
                        <a:graphicData uri="http://schemas.microsoft.com/office/word/2010/wordprocessingShape">
                          <wps:wsp>
                            <wps:cNvSpPr txBox="1"/>
                            <wps:spPr>
                              <a:xfrm>
                                <a:off x="0" y="0"/>
                                <a:ext cx="1485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803910" cy="175260"/>
                      <wp:effectExtent l="0" t="0" r="0" b="0"/>
                      <wp:wrapNone/>
                      <wp:docPr id="123" name="Frame123"/>
                      <a:graphic xmlns:a="http://schemas.openxmlformats.org/drawingml/2006/main">
                        <a:graphicData uri="http://schemas.microsoft.com/office/word/2010/wordprocessingShape">
                          <wps:wsp>
                            <wps:cNvSpPr txBox="1"/>
                            <wps:spPr>
                              <a:xfrm>
                                <a:off x="0" y="0"/>
                                <a:ext cx="803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51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c>
          <w:tcPr>
            <w:tcW w:w="326" w:type="dxa"/>
            <w:tcBorders/>
            <w:shd w:fill="auto" w:val="clear"/>
            <w:vAlign w:val="center"/>
          </w:tcPr>
          <w:p>
            <w:pPr>
              <w:pStyle w:val="TableContents"/>
              <w:spacing w:before="0" w:after="0"/>
              <w:ind w:left="0" w:right="0" w:hanging="0"/>
              <w:rPr/>
            </w:pPr>
            <w:r>
              <w:rPr/>
              <w:t>    </w:t>
            </w:r>
          </w:p>
        </w:tc>
        <w:tc>
          <w:tcPr>
            <w:tcW w:w="15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Nuevo Holding LLC</w:t>
            </w:r>
          </w:p>
        </w:tc>
        <w:tc>
          <w:tcPr>
            <w:tcW w:w="326" w:type="dxa"/>
            <w:tcBorders/>
            <w:shd w:fill="auto" w:val="clear"/>
            <w:vAlign w:val="center"/>
          </w:tcPr>
          <w:p>
            <w:pPr>
              <w:pStyle w:val="TableContents"/>
              <w:spacing w:before="0" w:after="0"/>
              <w:ind w:left="0" w:right="0" w:hanging="0"/>
              <w:rPr/>
            </w:pPr>
            <w:r>
              <w:rPr/>
              <w:t>    </w:t>
            </w:r>
          </w:p>
        </w:tc>
        <w:tc>
          <w:tcPr>
            <w:tcW w:w="250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Emerald Fields Merger Sub, LLC</w:t>
            </w:r>
          </w:p>
        </w:tc>
        <w:tc>
          <w:tcPr>
            <w:tcW w:w="326" w:type="dxa"/>
            <w:tcBorders/>
            <w:shd w:fill="auto" w:val="clear"/>
            <w:vAlign w:val="center"/>
          </w:tcPr>
          <w:p>
            <w:pPr>
              <w:pStyle w:val="TableContents"/>
              <w:spacing w:before="0" w:after="0"/>
              <w:ind w:left="0" w:right="0" w:hanging="0"/>
              <w:rPr/>
            </w:pPr>
            <w:r>
              <w:rPr/>
              <w:t>    </w:t>
            </w:r>
          </w:p>
        </w:tc>
        <w:tc>
          <w:tcPr>
            <w:tcW w:w="15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Acquisitions</w:t>
            </w:r>
          </w:p>
        </w:tc>
      </w:tr>
      <w:tr>
        <w:trPr/>
        <w:tc>
          <w:tcPr>
            <w:tcW w:w="35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Assets acquired:</w:t>
            </w:r>
          </w:p>
        </w:tc>
        <w:tc>
          <w:tcPr>
            <w:tcW w:w="326" w:type="dxa"/>
            <w:tcBorders/>
            <w:shd w:fill="CCEEFF" w:val="clear"/>
            <w:vAlign w:val="center"/>
          </w:tcPr>
          <w:p>
            <w:pPr>
              <w:pStyle w:val="TableContents"/>
              <w:spacing w:before="0" w:after="0"/>
              <w:ind w:left="0" w:right="0" w:hanging="0"/>
              <w:rPr/>
            </w:pPr>
            <w:r>
              <w:rPr/>
              <w:t>​</w:t>
            </w:r>
          </w:p>
        </w:tc>
        <w:tc>
          <w:tcPr>
            <w:tcW w:w="266" w:type="dxa"/>
            <w:tcBorders/>
            <w:shd w:fill="CCEEFF" w:val="clear"/>
            <w:vAlign w:val="center"/>
          </w:tcPr>
          <w:p>
            <w:pPr>
              <w:pStyle w:val="TableContents"/>
              <w:spacing w:before="0" w:after="0"/>
              <w:ind w:left="0" w:right="0" w:hanging="0"/>
              <w:rPr/>
            </w:pPr>
            <w:r>
              <w:rPr/>
              <w:t>​</w:t>
            </w:r>
          </w:p>
        </w:tc>
        <w:tc>
          <w:tcPr>
            <w:tcW w:w="1309"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424" w:type="dxa"/>
            <w:tcBorders/>
            <w:shd w:fill="CCEEFF" w:val="clear"/>
            <w:vAlign w:val="center"/>
          </w:tcPr>
          <w:p>
            <w:pPr>
              <w:pStyle w:val="TableContents"/>
              <w:spacing w:before="0" w:after="0"/>
              <w:ind w:left="0" w:right="0" w:hanging="0"/>
              <w:rPr/>
            </w:pPr>
            <w:r>
              <w:rPr/>
              <w:t>​</w:t>
            </w:r>
          </w:p>
        </w:tc>
        <w:tc>
          <w:tcPr>
            <w:tcW w:w="20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34" w:type="dxa"/>
            <w:tcBorders/>
            <w:shd w:fill="CCEEFF" w:val="clear"/>
            <w:vAlign w:val="center"/>
          </w:tcPr>
          <w:p>
            <w:pPr>
              <w:pStyle w:val="TableContents"/>
              <w:spacing w:before="0" w:after="0"/>
              <w:ind w:left="0" w:right="0" w:hanging="0"/>
              <w:rPr/>
            </w:pPr>
            <w:r>
              <w:rPr/>
              <w:t>​</w:t>
            </w:r>
          </w:p>
        </w:tc>
        <w:tc>
          <w:tcPr>
            <w:tcW w:w="1266" w:type="dxa"/>
            <w:tcBorders/>
            <w:shd w:fill="CCEEFF" w:val="clear"/>
            <w:vAlign w:val="center"/>
          </w:tcPr>
          <w:p>
            <w:pPr>
              <w:pStyle w:val="TableContents"/>
              <w:spacing w:before="0" w:after="0"/>
              <w:ind w:left="0" w:right="0" w:hanging="0"/>
              <w:jc w:val="right"/>
              <w:rPr/>
            </w:pPr>
            <w:r>
              <w:rPr/>
              <w:t>  </w:t>
            </w:r>
          </w:p>
        </w:tc>
      </w:tr>
      <w:tr>
        <w:trPr/>
        <w:tc>
          <w:tcPr>
            <w:tcW w:w="35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w:t>
            </w:r>
          </w:p>
        </w:tc>
        <w:tc>
          <w:tcPr>
            <w:tcW w:w="326"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0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2,860,706</w:t>
            </w:r>
          </w:p>
        </w:tc>
        <w:tc>
          <w:tcPr>
            <w:tcW w:w="326" w:type="dxa"/>
            <w:tcBorders/>
            <w:shd w:fill="auto" w:val="clear"/>
            <w:vAlign w:val="center"/>
          </w:tcPr>
          <w:p>
            <w:pPr>
              <w:pStyle w:val="TableContents"/>
              <w:spacing w:before="0" w:after="0"/>
              <w:ind w:left="0" w:right="0" w:hanging="0"/>
              <w:rPr/>
            </w:pPr>
            <w:r>
              <w:rPr/>
              <w:t>​</w:t>
            </w:r>
          </w:p>
        </w:tc>
        <w:tc>
          <w:tcPr>
            <w:tcW w:w="42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20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650,469</w:t>
            </w:r>
          </w:p>
        </w:tc>
        <w:tc>
          <w:tcPr>
            <w:tcW w:w="326" w:type="dxa"/>
            <w:tcBorders/>
            <w:shd w:fill="auto" w:val="clear"/>
            <w:vAlign w:val="center"/>
          </w:tcPr>
          <w:p>
            <w:pPr>
              <w:pStyle w:val="TableContents"/>
              <w:spacing w:before="0" w:after="0"/>
              <w:ind w:left="0" w:right="0" w:hanging="0"/>
              <w:rPr/>
            </w:pPr>
            <w:r>
              <w:rPr/>
              <w:t>​</w:t>
            </w:r>
          </w:p>
        </w:tc>
        <w:tc>
          <w:tcPr>
            <w:tcW w:w="23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23,100</w:t>
            </w:r>
          </w:p>
        </w:tc>
      </w:tr>
      <w:tr>
        <w:trPr/>
        <w:tc>
          <w:tcPr>
            <w:tcW w:w="35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receivable</w:t>
            </w:r>
          </w:p>
        </w:tc>
        <w:tc>
          <w:tcPr>
            <w:tcW w:w="326" w:type="dxa"/>
            <w:tcBorders/>
            <w:shd w:fill="CCEEFF" w:val="clear"/>
            <w:vAlign w:val="center"/>
          </w:tcPr>
          <w:p>
            <w:pPr>
              <w:pStyle w:val="TableContents"/>
              <w:spacing w:before="0" w:after="0"/>
              <w:ind w:left="0" w:right="0" w:hanging="0"/>
              <w:rPr/>
            </w:pPr>
            <w:r>
              <w:rPr/>
              <w:t>​</w:t>
            </w:r>
          </w:p>
        </w:tc>
        <w:tc>
          <w:tcPr>
            <w:tcW w:w="266" w:type="dxa"/>
            <w:tcBorders/>
            <w:shd w:fill="CCEEFF" w:val="clear"/>
            <w:vAlign w:val="center"/>
          </w:tcPr>
          <w:p>
            <w:pPr>
              <w:pStyle w:val="TableContents"/>
              <w:spacing w:before="0" w:after="0"/>
              <w:ind w:left="0" w:right="0" w:hanging="0"/>
              <w:rPr/>
            </w:pPr>
            <w:r>
              <w:rPr/>
              <w:t>​</w:t>
            </w:r>
          </w:p>
        </w:tc>
        <w:tc>
          <w:tcPr>
            <w:tcW w:w="130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424" w:type="dxa"/>
            <w:tcBorders/>
            <w:shd w:fill="CCEEFF" w:val="clear"/>
            <w:vAlign w:val="center"/>
          </w:tcPr>
          <w:p>
            <w:pPr>
              <w:pStyle w:val="TableContents"/>
              <w:spacing w:before="0" w:after="0"/>
              <w:ind w:left="0" w:right="0" w:hanging="0"/>
              <w:rPr/>
            </w:pPr>
            <w:r>
              <w:rPr/>
              <w:t>​</w:t>
            </w:r>
          </w:p>
        </w:tc>
        <w:tc>
          <w:tcPr>
            <w:tcW w:w="20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196,879</w:t>
            </w:r>
          </w:p>
        </w:tc>
        <w:tc>
          <w:tcPr>
            <w:tcW w:w="326" w:type="dxa"/>
            <w:tcBorders/>
            <w:shd w:fill="CCEEFF" w:val="clear"/>
            <w:vAlign w:val="center"/>
          </w:tcPr>
          <w:p>
            <w:pPr>
              <w:pStyle w:val="TableContents"/>
              <w:spacing w:before="0" w:after="0"/>
              <w:ind w:left="0" w:right="0" w:hanging="0"/>
              <w:rPr/>
            </w:pPr>
            <w:r>
              <w:rPr/>
              <w:t>​</w:t>
            </w:r>
          </w:p>
        </w:tc>
        <w:tc>
          <w:tcPr>
            <w:tcW w:w="234" w:type="dxa"/>
            <w:tcBorders/>
            <w:shd w:fill="CCEEFF" w:val="clear"/>
            <w:vAlign w:val="center"/>
          </w:tcPr>
          <w:p>
            <w:pPr>
              <w:pStyle w:val="TableContents"/>
              <w:spacing w:before="0" w:after="0"/>
              <w:ind w:left="0" w:right="0" w:hanging="0"/>
              <w:rPr/>
            </w:pPr>
            <w:r>
              <w:rPr/>
              <w:t>​</w:t>
            </w:r>
          </w:p>
        </w:tc>
        <w:tc>
          <w:tcPr>
            <w:tcW w:w="1266" w:type="dxa"/>
            <w:tcBorders/>
            <w:shd w:fill="CCEEFF" w:val="clear"/>
            <w:vAlign w:val="center"/>
          </w:tcPr>
          <w:p>
            <w:pPr>
              <w:pStyle w:val="TableContents"/>
              <w:spacing w:before="0" w:after="0"/>
              <w:ind w:left="0" w:right="0" w:hanging="0"/>
              <w:jc w:val="right"/>
              <w:rPr/>
            </w:pPr>
            <w:r>
              <w:rPr/>
              <w:t>—</w:t>
            </w:r>
          </w:p>
        </w:tc>
      </w:tr>
      <w:tr>
        <w:trPr/>
        <w:tc>
          <w:tcPr>
            <w:tcW w:w="35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assets</w:t>
            </w:r>
          </w:p>
        </w:tc>
        <w:tc>
          <w:tcPr>
            <w:tcW w:w="326"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pPr>
            <w:r>
              <w:rPr/>
              <w:t>​</w:t>
            </w:r>
          </w:p>
        </w:tc>
        <w:tc>
          <w:tcPr>
            <w:tcW w:w="130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424" w:type="dxa"/>
            <w:tcBorders/>
            <w:shd w:fill="auto" w:val="clear"/>
            <w:vAlign w:val="center"/>
          </w:tcPr>
          <w:p>
            <w:pPr>
              <w:pStyle w:val="TableContents"/>
              <w:spacing w:before="0" w:after="0"/>
              <w:ind w:left="0" w:right="0" w:hanging="0"/>
              <w:rPr/>
            </w:pPr>
            <w:r>
              <w:rPr/>
              <w:t>​</w:t>
            </w:r>
          </w:p>
        </w:tc>
        <w:tc>
          <w:tcPr>
            <w:tcW w:w="20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156,000</w:t>
            </w:r>
          </w:p>
        </w:tc>
        <w:tc>
          <w:tcPr>
            <w:tcW w:w="326" w:type="dxa"/>
            <w:tcBorders/>
            <w:shd w:fill="auto" w:val="clear"/>
            <w:vAlign w:val="center"/>
          </w:tcPr>
          <w:p>
            <w:pPr>
              <w:pStyle w:val="TableContents"/>
              <w:spacing w:before="0" w:after="0"/>
              <w:ind w:left="0" w:right="0" w:hanging="0"/>
              <w:rPr/>
            </w:pPr>
            <w:r>
              <w:rPr/>
              <w:t>​</w:t>
            </w:r>
          </w:p>
        </w:tc>
        <w:tc>
          <w:tcPr>
            <w:tcW w:w="234" w:type="dxa"/>
            <w:tcBorders/>
            <w:shd w:fill="auto" w:val="clear"/>
            <w:vAlign w:val="center"/>
          </w:tcPr>
          <w:p>
            <w:pPr>
              <w:pStyle w:val="TableContents"/>
              <w:spacing w:before="0" w:after="0"/>
              <w:ind w:left="0" w:right="0" w:hanging="0"/>
              <w:rPr/>
            </w:pPr>
            <w:r>
              <w:rPr/>
              <w:t>​</w:t>
            </w:r>
          </w:p>
        </w:tc>
        <w:tc>
          <w:tcPr>
            <w:tcW w:w="12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605,112</w:t>
            </w:r>
          </w:p>
        </w:tc>
      </w:tr>
      <w:tr>
        <w:trPr/>
        <w:tc>
          <w:tcPr>
            <w:tcW w:w="35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Inventory</w:t>
            </w:r>
          </w:p>
        </w:tc>
        <w:tc>
          <w:tcPr>
            <w:tcW w:w="326" w:type="dxa"/>
            <w:tcBorders/>
            <w:shd w:fill="CCEEFF" w:val="clear"/>
            <w:vAlign w:val="center"/>
          </w:tcPr>
          <w:p>
            <w:pPr>
              <w:pStyle w:val="TableContents"/>
              <w:spacing w:before="0" w:after="0"/>
              <w:ind w:left="0" w:right="0" w:hanging="0"/>
              <w:rPr/>
            </w:pPr>
            <w:r>
              <w:rPr/>
              <w:t>​</w:t>
            </w:r>
          </w:p>
        </w:tc>
        <w:tc>
          <w:tcPr>
            <w:tcW w:w="266" w:type="dxa"/>
            <w:tcBorders/>
            <w:shd w:fill="CCEEFF" w:val="clear"/>
            <w:vAlign w:val="center"/>
          </w:tcPr>
          <w:p>
            <w:pPr>
              <w:pStyle w:val="TableContents"/>
              <w:spacing w:before="0" w:after="0"/>
              <w:ind w:left="0" w:right="0" w:hanging="0"/>
              <w:rPr/>
            </w:pPr>
            <w:r>
              <w:rPr/>
              <w:t> </w:t>
            </w:r>
          </w:p>
        </w:tc>
        <w:tc>
          <w:tcPr>
            <w:tcW w:w="130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9,584,428</w:t>
            </w:r>
          </w:p>
        </w:tc>
        <w:tc>
          <w:tcPr>
            <w:tcW w:w="326" w:type="dxa"/>
            <w:tcBorders/>
            <w:shd w:fill="CCEEFF" w:val="clear"/>
            <w:vAlign w:val="center"/>
          </w:tcPr>
          <w:p>
            <w:pPr>
              <w:pStyle w:val="TableContents"/>
              <w:spacing w:before="0" w:after="0"/>
              <w:ind w:left="0" w:right="0" w:hanging="0"/>
              <w:rPr/>
            </w:pPr>
            <w:r>
              <w:rPr/>
              <w:t>​</w:t>
            </w:r>
          </w:p>
        </w:tc>
        <w:tc>
          <w:tcPr>
            <w:tcW w:w="424" w:type="dxa"/>
            <w:tcBorders/>
            <w:shd w:fill="CCEEFF" w:val="clear"/>
            <w:vAlign w:val="center"/>
          </w:tcPr>
          <w:p>
            <w:pPr>
              <w:pStyle w:val="TableContents"/>
              <w:spacing w:before="0" w:after="0"/>
              <w:ind w:left="0" w:right="0" w:hanging="0"/>
              <w:rPr/>
            </w:pPr>
            <w:r>
              <w:rPr/>
              <w:t> </w:t>
            </w:r>
          </w:p>
        </w:tc>
        <w:tc>
          <w:tcPr>
            <w:tcW w:w="20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1,655,000</w:t>
            </w:r>
          </w:p>
        </w:tc>
        <w:tc>
          <w:tcPr>
            <w:tcW w:w="326" w:type="dxa"/>
            <w:tcBorders/>
            <w:shd w:fill="CCEEFF" w:val="clear"/>
            <w:vAlign w:val="center"/>
          </w:tcPr>
          <w:p>
            <w:pPr>
              <w:pStyle w:val="TableContents"/>
              <w:spacing w:before="0" w:after="0"/>
              <w:ind w:left="0" w:right="0" w:hanging="0"/>
              <w:rPr/>
            </w:pPr>
            <w:r>
              <w:rPr/>
              <w:t>​</w:t>
            </w:r>
          </w:p>
        </w:tc>
        <w:tc>
          <w:tcPr>
            <w:tcW w:w="234" w:type="dxa"/>
            <w:tcBorders/>
            <w:shd w:fill="CCEEFF" w:val="clear"/>
            <w:vAlign w:val="center"/>
          </w:tcPr>
          <w:p>
            <w:pPr>
              <w:pStyle w:val="TableContents"/>
              <w:spacing w:before="0" w:after="0"/>
              <w:ind w:left="0" w:right="0" w:hanging="0"/>
              <w:rPr/>
            </w:pPr>
            <w:r>
              <w:rPr/>
              <w:t> </w:t>
            </w:r>
          </w:p>
        </w:tc>
        <w:tc>
          <w:tcPr>
            <w:tcW w:w="12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982,156</w:t>
            </w:r>
          </w:p>
        </w:tc>
      </w:tr>
      <w:tr>
        <w:trPr/>
        <w:tc>
          <w:tcPr>
            <w:tcW w:w="35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Fixed assets</w:t>
            </w:r>
          </w:p>
        </w:tc>
        <w:tc>
          <w:tcPr>
            <w:tcW w:w="326"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pPr>
            <w:r>
              <w:rPr/>
              <w:t> </w:t>
            </w:r>
          </w:p>
        </w:tc>
        <w:tc>
          <w:tcPr>
            <w:tcW w:w="130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2,137,002</w:t>
            </w:r>
          </w:p>
        </w:tc>
        <w:tc>
          <w:tcPr>
            <w:tcW w:w="326" w:type="dxa"/>
            <w:tcBorders/>
            <w:shd w:fill="auto" w:val="clear"/>
            <w:vAlign w:val="center"/>
          </w:tcPr>
          <w:p>
            <w:pPr>
              <w:pStyle w:val="TableContents"/>
              <w:spacing w:before="0" w:after="0"/>
              <w:ind w:left="0" w:right="0" w:hanging="0"/>
              <w:rPr/>
            </w:pPr>
            <w:r>
              <w:rPr/>
              <w:t>​</w:t>
            </w:r>
          </w:p>
        </w:tc>
        <w:tc>
          <w:tcPr>
            <w:tcW w:w="424" w:type="dxa"/>
            <w:tcBorders/>
            <w:shd w:fill="auto" w:val="clear"/>
            <w:vAlign w:val="center"/>
          </w:tcPr>
          <w:p>
            <w:pPr>
              <w:pStyle w:val="TableContents"/>
              <w:spacing w:before="0" w:after="0"/>
              <w:ind w:left="0" w:right="0" w:hanging="0"/>
              <w:rPr/>
            </w:pPr>
            <w:r>
              <w:rPr/>
              <w:t> </w:t>
            </w:r>
          </w:p>
        </w:tc>
        <w:tc>
          <w:tcPr>
            <w:tcW w:w="20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2,687,000</w:t>
            </w:r>
          </w:p>
        </w:tc>
        <w:tc>
          <w:tcPr>
            <w:tcW w:w="326" w:type="dxa"/>
            <w:tcBorders/>
            <w:shd w:fill="auto" w:val="clear"/>
            <w:vAlign w:val="center"/>
          </w:tcPr>
          <w:p>
            <w:pPr>
              <w:pStyle w:val="TableContents"/>
              <w:spacing w:before="0" w:after="0"/>
              <w:ind w:left="0" w:right="0" w:hanging="0"/>
              <w:rPr/>
            </w:pPr>
            <w:r>
              <w:rPr/>
              <w:t>​</w:t>
            </w:r>
          </w:p>
        </w:tc>
        <w:tc>
          <w:tcPr>
            <w:tcW w:w="234" w:type="dxa"/>
            <w:tcBorders/>
            <w:shd w:fill="auto" w:val="clear"/>
            <w:vAlign w:val="center"/>
          </w:tcPr>
          <w:p>
            <w:pPr>
              <w:pStyle w:val="TableContents"/>
              <w:spacing w:before="0" w:after="0"/>
              <w:ind w:left="0" w:right="0" w:hanging="0"/>
              <w:rPr/>
            </w:pPr>
            <w:r>
              <w:rPr/>
              <w:t> </w:t>
            </w:r>
          </w:p>
        </w:tc>
        <w:tc>
          <w:tcPr>
            <w:tcW w:w="12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25,966</w:t>
            </w:r>
          </w:p>
        </w:tc>
      </w:tr>
      <w:tr>
        <w:trPr/>
        <w:tc>
          <w:tcPr>
            <w:tcW w:w="35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long term assets</w:t>
            </w:r>
          </w:p>
        </w:tc>
        <w:tc>
          <w:tcPr>
            <w:tcW w:w="326" w:type="dxa"/>
            <w:tcBorders/>
            <w:shd w:fill="CCEEFF" w:val="clear"/>
            <w:vAlign w:val="center"/>
          </w:tcPr>
          <w:p>
            <w:pPr>
              <w:pStyle w:val="TableContents"/>
              <w:spacing w:before="0" w:after="0"/>
              <w:ind w:left="0" w:right="0" w:hanging="0"/>
              <w:rPr/>
            </w:pPr>
            <w:r>
              <w:rPr/>
              <w:t>​</w:t>
            </w:r>
          </w:p>
        </w:tc>
        <w:tc>
          <w:tcPr>
            <w:tcW w:w="266" w:type="dxa"/>
            <w:tcBorders/>
            <w:shd w:fill="CCEEFF" w:val="clear"/>
            <w:vAlign w:val="center"/>
          </w:tcPr>
          <w:p>
            <w:pPr>
              <w:pStyle w:val="TableContents"/>
              <w:spacing w:before="0" w:after="0"/>
              <w:ind w:left="0" w:right="0" w:hanging="0"/>
              <w:rPr/>
            </w:pPr>
            <w:r>
              <w:rPr/>
              <w:t>​</w:t>
            </w:r>
          </w:p>
        </w:tc>
        <w:tc>
          <w:tcPr>
            <w:tcW w:w="130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c>
          <w:tcPr>
            <w:tcW w:w="326" w:type="dxa"/>
            <w:tcBorders/>
            <w:shd w:fill="CCEEFF" w:val="clear"/>
            <w:vAlign w:val="center"/>
          </w:tcPr>
          <w:p>
            <w:pPr>
              <w:pStyle w:val="TableContents"/>
              <w:spacing w:before="0" w:after="0"/>
              <w:ind w:left="0" w:right="0" w:hanging="0"/>
              <w:rPr/>
            </w:pPr>
            <w:r>
              <w:rPr/>
              <w:t>​</w:t>
            </w:r>
          </w:p>
        </w:tc>
        <w:tc>
          <w:tcPr>
            <w:tcW w:w="424" w:type="dxa"/>
            <w:tcBorders/>
            <w:shd w:fill="CCEEFF" w:val="clear"/>
            <w:vAlign w:val="center"/>
          </w:tcPr>
          <w:p>
            <w:pPr>
              <w:pStyle w:val="TableContents"/>
              <w:spacing w:before="0" w:after="0"/>
              <w:ind w:left="0" w:right="0" w:hanging="0"/>
              <w:rPr/>
            </w:pPr>
            <w:r>
              <w:rPr/>
              <w:t>​</w:t>
            </w:r>
          </w:p>
        </w:tc>
        <w:tc>
          <w:tcPr>
            <w:tcW w:w="20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34" w:type="dxa"/>
            <w:tcBorders/>
            <w:shd w:fill="CCEEFF" w:val="clear"/>
            <w:vAlign w:val="center"/>
          </w:tcPr>
          <w:p>
            <w:pPr>
              <w:pStyle w:val="TableContents"/>
              <w:spacing w:before="0" w:after="0"/>
              <w:ind w:left="0" w:right="0" w:hanging="0"/>
              <w:rPr/>
            </w:pPr>
            <w:r>
              <w:rPr/>
              <w:t>​</w:t>
            </w:r>
          </w:p>
        </w:tc>
        <w:tc>
          <w:tcPr>
            <w:tcW w:w="1266" w:type="dxa"/>
            <w:tcBorders/>
            <w:shd w:fill="CCEEFF" w:val="clear"/>
            <w:vAlign w:val="center"/>
          </w:tcPr>
          <w:p>
            <w:pPr>
              <w:pStyle w:val="TableContents"/>
              <w:spacing w:before="0" w:after="0"/>
              <w:ind w:left="0" w:right="0" w:hanging="0"/>
              <w:jc w:val="right"/>
              <w:rPr/>
            </w:pPr>
            <w:r>
              <w:rPr/>
              <w:t>—</w:t>
            </w:r>
          </w:p>
        </w:tc>
      </w:tr>
      <w:tr>
        <w:trPr/>
        <w:tc>
          <w:tcPr>
            <w:tcW w:w="35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Intangible assets</w:t>
            </w:r>
          </w:p>
        </w:tc>
        <w:tc>
          <w:tcPr>
            <w:tcW w:w="326"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pPr>
            <w:r>
              <w:rPr/>
              <w:t> </w:t>
            </w:r>
          </w:p>
        </w:tc>
        <w:tc>
          <w:tcPr>
            <w:tcW w:w="130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424" w:type="dxa"/>
            <w:tcBorders/>
            <w:shd w:fill="auto" w:val="clear"/>
            <w:vAlign w:val="center"/>
          </w:tcPr>
          <w:p>
            <w:pPr>
              <w:pStyle w:val="TableContents"/>
              <w:spacing w:before="0" w:after="0"/>
              <w:ind w:left="0" w:right="0" w:hanging="0"/>
              <w:rPr/>
            </w:pPr>
            <w:r>
              <w:rPr/>
              <w:t> </w:t>
            </w:r>
          </w:p>
        </w:tc>
        <w:tc>
          <w:tcPr>
            <w:tcW w:w="20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12,400,000</w:t>
            </w:r>
          </w:p>
        </w:tc>
        <w:tc>
          <w:tcPr>
            <w:tcW w:w="326" w:type="dxa"/>
            <w:tcBorders/>
            <w:shd w:fill="auto" w:val="clear"/>
            <w:vAlign w:val="center"/>
          </w:tcPr>
          <w:p>
            <w:pPr>
              <w:pStyle w:val="TableContents"/>
              <w:spacing w:before="0" w:after="0"/>
              <w:ind w:left="0" w:right="0" w:hanging="0"/>
              <w:rPr/>
            </w:pPr>
            <w:r>
              <w:rPr/>
              <w:t>​</w:t>
            </w:r>
          </w:p>
        </w:tc>
        <w:tc>
          <w:tcPr>
            <w:tcW w:w="234" w:type="dxa"/>
            <w:tcBorders/>
            <w:shd w:fill="auto" w:val="clear"/>
            <w:vAlign w:val="center"/>
          </w:tcPr>
          <w:p>
            <w:pPr>
              <w:pStyle w:val="TableContents"/>
              <w:spacing w:before="0" w:after="0"/>
              <w:ind w:left="0" w:right="0" w:hanging="0"/>
              <w:rPr/>
            </w:pPr>
            <w:r>
              <w:rPr/>
              <w:t> </w:t>
            </w:r>
          </w:p>
        </w:tc>
        <w:tc>
          <w:tcPr>
            <w:tcW w:w="12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3,970,000</w:t>
            </w:r>
          </w:p>
        </w:tc>
      </w:tr>
      <w:tr>
        <w:trPr/>
        <w:tc>
          <w:tcPr>
            <w:tcW w:w="35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Goodwill</w:t>
            </w:r>
          </w:p>
        </w:tc>
        <w:tc>
          <w:tcPr>
            <w:tcW w:w="326" w:type="dxa"/>
            <w:tcBorders/>
            <w:shd w:fill="CCEEFF" w:val="clear"/>
            <w:vAlign w:val="center"/>
          </w:tcPr>
          <w:p>
            <w:pPr>
              <w:pStyle w:val="TableContents"/>
              <w:spacing w:before="0" w:after="0"/>
              <w:ind w:left="0" w:right="0" w:hanging="0"/>
              <w:rPr/>
            </w:pPr>
            <w:r>
              <w:rPr/>
              <w:t>​</w:t>
            </w:r>
          </w:p>
        </w:tc>
        <w:tc>
          <w:tcPr>
            <w:tcW w:w="26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30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34,981,571</w:t>
            </w:r>
          </w:p>
        </w:tc>
        <w:tc>
          <w:tcPr>
            <w:tcW w:w="326" w:type="dxa"/>
            <w:tcBorders/>
            <w:shd w:fill="CCEEFF" w:val="clear"/>
            <w:vAlign w:val="center"/>
          </w:tcPr>
          <w:p>
            <w:pPr>
              <w:pStyle w:val="TableContents"/>
              <w:spacing w:before="0" w:after="0"/>
              <w:ind w:left="0" w:right="0" w:hanging="0"/>
              <w:rPr/>
            </w:pPr>
            <w:r>
              <w:rPr/>
              <w:t>​</w:t>
            </w:r>
          </w:p>
        </w:tc>
        <w:tc>
          <w:tcPr>
            <w:tcW w:w="424"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20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16,810,479</w:t>
            </w:r>
          </w:p>
        </w:tc>
        <w:tc>
          <w:tcPr>
            <w:tcW w:w="326" w:type="dxa"/>
            <w:tcBorders/>
            <w:shd w:fill="CCEEFF" w:val="clear"/>
            <w:vAlign w:val="center"/>
          </w:tcPr>
          <w:p>
            <w:pPr>
              <w:pStyle w:val="TableContents"/>
              <w:spacing w:before="0" w:after="0"/>
              <w:ind w:left="0" w:right="0" w:hanging="0"/>
              <w:rPr/>
            </w:pPr>
            <w:r>
              <w:rPr/>
              <w:t>​</w:t>
            </w:r>
          </w:p>
        </w:tc>
        <w:tc>
          <w:tcPr>
            <w:tcW w:w="234"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6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10,576,289</w:t>
            </w:r>
          </w:p>
        </w:tc>
      </w:tr>
      <w:tr>
        <w:trPr/>
        <w:tc>
          <w:tcPr>
            <w:tcW w:w="35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Assets acquired</w:t>
            </w:r>
          </w:p>
        </w:tc>
        <w:tc>
          <w:tcPr>
            <w:tcW w:w="326" w:type="dxa"/>
            <w:tcBorders/>
            <w:shd w:fill="auto" w:val="clear"/>
            <w:vAlign w:val="center"/>
          </w:tcPr>
          <w:p>
            <w:pPr>
              <w:pStyle w:val="TableContents"/>
              <w:spacing w:before="0" w:after="0"/>
              <w:ind w:left="0" w:right="0" w:hanging="0"/>
              <w:rPr/>
            </w:pPr>
            <w:r>
              <w:rPr/>
              <w:t>​</w:t>
            </w:r>
          </w:p>
        </w:tc>
        <w:tc>
          <w:tcPr>
            <w:tcW w:w="26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0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49,566,207</w:t>
            </w:r>
          </w:p>
        </w:tc>
        <w:tc>
          <w:tcPr>
            <w:tcW w:w="326" w:type="dxa"/>
            <w:tcBorders/>
            <w:shd w:fill="auto" w:val="clear"/>
            <w:vAlign w:val="center"/>
          </w:tcPr>
          <w:p>
            <w:pPr>
              <w:pStyle w:val="TableContents"/>
              <w:spacing w:before="0" w:after="0"/>
              <w:ind w:left="0" w:right="0" w:hanging="0"/>
              <w:rPr/>
            </w:pPr>
            <w:r>
              <w:rPr/>
              <w:t>​</w:t>
            </w:r>
          </w:p>
        </w:tc>
        <w:tc>
          <w:tcPr>
            <w:tcW w:w="424"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20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34,555,827</w:t>
            </w:r>
          </w:p>
        </w:tc>
        <w:tc>
          <w:tcPr>
            <w:tcW w:w="326" w:type="dxa"/>
            <w:tcBorders/>
            <w:shd w:fill="auto" w:val="clear"/>
            <w:vAlign w:val="center"/>
          </w:tcPr>
          <w:p>
            <w:pPr>
              <w:pStyle w:val="TableContents"/>
              <w:spacing w:before="0" w:after="0"/>
              <w:ind w:left="0" w:right="0" w:hanging="0"/>
              <w:rPr/>
            </w:pPr>
            <w:r>
              <w:rPr/>
              <w:t>​</w:t>
            </w:r>
          </w:p>
        </w:tc>
        <w:tc>
          <w:tcPr>
            <w:tcW w:w="234"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6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16,182,623</w:t>
            </w:r>
          </w:p>
        </w:tc>
      </w:tr>
      <w:tr>
        <w:trPr/>
        <w:tc>
          <w:tcPr>
            <w:tcW w:w="351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Liabilities and Equity assumed:</w:t>
            </w:r>
          </w:p>
        </w:tc>
        <w:tc>
          <w:tcPr>
            <w:tcW w:w="326" w:type="dxa"/>
            <w:tcBorders/>
            <w:shd w:fill="CCEEFF" w:val="clear"/>
            <w:vAlign w:val="center"/>
          </w:tcPr>
          <w:p>
            <w:pPr>
              <w:pStyle w:val="TableContents"/>
              <w:spacing w:before="0" w:after="0"/>
              <w:ind w:left="0" w:right="0" w:hanging="0"/>
              <w:rPr/>
            </w:pPr>
            <w:r>
              <w:rPr/>
              <w:t>​</w:t>
            </w:r>
          </w:p>
        </w:tc>
        <w:tc>
          <w:tcPr>
            <w:tcW w:w="266" w:type="dxa"/>
            <w:tcBorders/>
            <w:shd w:fill="CCEEFF" w:val="clear"/>
            <w:vAlign w:val="center"/>
          </w:tcPr>
          <w:p>
            <w:pPr>
              <w:pStyle w:val="TableContents"/>
              <w:spacing w:before="0" w:after="0"/>
              <w:ind w:left="0" w:right="0" w:hanging="0"/>
              <w:rPr/>
            </w:pPr>
            <w:r>
              <w:rPr/>
              <w:t> </w:t>
            </w:r>
          </w:p>
        </w:tc>
        <w:tc>
          <w:tcPr>
            <w:tcW w:w="1309"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424" w:type="dxa"/>
            <w:tcBorders/>
            <w:shd w:fill="CCEEFF" w:val="clear"/>
            <w:vAlign w:val="center"/>
          </w:tcPr>
          <w:p>
            <w:pPr>
              <w:pStyle w:val="TableContents"/>
              <w:spacing w:before="0" w:after="0"/>
              <w:ind w:left="0" w:right="0" w:hanging="0"/>
              <w:rPr/>
            </w:pPr>
            <w:r>
              <w:rPr/>
              <w:t> </w:t>
            </w:r>
          </w:p>
        </w:tc>
        <w:tc>
          <w:tcPr>
            <w:tcW w:w="208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34" w:type="dxa"/>
            <w:tcBorders/>
            <w:shd w:fill="CCEEFF" w:val="clear"/>
            <w:vAlign w:val="center"/>
          </w:tcPr>
          <w:p>
            <w:pPr>
              <w:pStyle w:val="TableContents"/>
              <w:spacing w:before="0" w:after="0"/>
              <w:ind w:left="0" w:right="0" w:hanging="0"/>
              <w:rPr/>
            </w:pPr>
            <w:r>
              <w:rPr/>
              <w:t> </w:t>
            </w:r>
          </w:p>
        </w:tc>
        <w:tc>
          <w:tcPr>
            <w:tcW w:w="1266" w:type="dxa"/>
            <w:tcBorders/>
            <w:shd w:fill="CCEEFF" w:val="clear"/>
            <w:vAlign w:val="center"/>
          </w:tcPr>
          <w:p>
            <w:pPr>
              <w:pStyle w:val="TableContents"/>
              <w:spacing w:before="0" w:after="0"/>
              <w:ind w:left="0" w:right="0" w:hanging="0"/>
              <w:jc w:val="right"/>
              <w:rPr/>
            </w:pPr>
            <w:r>
              <w:rPr/>
              <w:t>  </w:t>
            </w:r>
          </w:p>
        </w:tc>
      </w:tr>
      <w:tr>
        <w:trPr/>
        <w:tc>
          <w:tcPr>
            <w:tcW w:w="35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payable</w:t>
            </w:r>
          </w:p>
        </w:tc>
        <w:tc>
          <w:tcPr>
            <w:tcW w:w="326"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0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295,043</w:t>
            </w:r>
          </w:p>
        </w:tc>
        <w:tc>
          <w:tcPr>
            <w:tcW w:w="326" w:type="dxa"/>
            <w:tcBorders/>
            <w:shd w:fill="auto" w:val="clear"/>
            <w:vAlign w:val="center"/>
          </w:tcPr>
          <w:p>
            <w:pPr>
              <w:pStyle w:val="TableContents"/>
              <w:spacing w:before="0" w:after="0"/>
              <w:ind w:left="0" w:right="0" w:hanging="0"/>
              <w:rPr/>
            </w:pPr>
            <w:r>
              <w:rPr/>
              <w:t>​</w:t>
            </w:r>
          </w:p>
        </w:tc>
        <w:tc>
          <w:tcPr>
            <w:tcW w:w="42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20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458,622</w:t>
            </w:r>
          </w:p>
        </w:tc>
        <w:tc>
          <w:tcPr>
            <w:tcW w:w="326" w:type="dxa"/>
            <w:tcBorders/>
            <w:shd w:fill="auto" w:val="clear"/>
            <w:vAlign w:val="center"/>
          </w:tcPr>
          <w:p>
            <w:pPr>
              <w:pStyle w:val="TableContents"/>
              <w:spacing w:before="0" w:after="0"/>
              <w:ind w:left="0" w:right="0" w:hanging="0"/>
              <w:rPr/>
            </w:pPr>
            <w:r>
              <w:rPr/>
              <w:t>​</w:t>
            </w:r>
          </w:p>
        </w:tc>
        <w:tc>
          <w:tcPr>
            <w:tcW w:w="23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66" w:type="dxa"/>
            <w:tcBorders/>
            <w:shd w:fill="auto" w:val="clear"/>
            <w:vAlign w:val="center"/>
          </w:tcPr>
          <w:p>
            <w:pPr>
              <w:pStyle w:val="TableContents"/>
              <w:spacing w:before="0" w:after="0"/>
              <w:ind w:left="0" w:right="0" w:hanging="0"/>
              <w:jc w:val="right"/>
              <w:rPr/>
            </w:pPr>
            <w:r>
              <w:rPr/>
              <w:t>—</w:t>
            </w:r>
          </w:p>
        </w:tc>
      </w:tr>
      <w:tr>
        <w:trPr/>
        <w:tc>
          <w:tcPr>
            <w:tcW w:w="35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liabilities</w:t>
            </w:r>
          </w:p>
        </w:tc>
        <w:tc>
          <w:tcPr>
            <w:tcW w:w="326" w:type="dxa"/>
            <w:tcBorders/>
            <w:shd w:fill="CCEEFF" w:val="clear"/>
            <w:vAlign w:val="center"/>
          </w:tcPr>
          <w:p>
            <w:pPr>
              <w:pStyle w:val="TableContents"/>
              <w:spacing w:before="0" w:after="0"/>
              <w:ind w:left="0" w:right="0" w:hanging="0"/>
              <w:rPr/>
            </w:pPr>
            <w:r>
              <w:rPr/>
              <w:t>​</w:t>
            </w:r>
          </w:p>
        </w:tc>
        <w:tc>
          <w:tcPr>
            <w:tcW w:w="266" w:type="dxa"/>
            <w:tcBorders/>
            <w:shd w:fill="CCEEFF" w:val="clear"/>
            <w:vAlign w:val="center"/>
          </w:tcPr>
          <w:p>
            <w:pPr>
              <w:pStyle w:val="TableContents"/>
              <w:spacing w:before="0" w:after="0"/>
              <w:ind w:left="0" w:right="0" w:hanging="0"/>
              <w:rPr/>
            </w:pPr>
            <w:r>
              <w:rPr/>
              <w:t> </w:t>
            </w:r>
          </w:p>
        </w:tc>
        <w:tc>
          <w:tcPr>
            <w:tcW w:w="130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69,041</w:t>
            </w:r>
          </w:p>
        </w:tc>
        <w:tc>
          <w:tcPr>
            <w:tcW w:w="326" w:type="dxa"/>
            <w:tcBorders/>
            <w:shd w:fill="CCEEFF" w:val="clear"/>
            <w:vAlign w:val="center"/>
          </w:tcPr>
          <w:p>
            <w:pPr>
              <w:pStyle w:val="TableContents"/>
              <w:spacing w:before="0" w:after="0"/>
              <w:ind w:left="0" w:right="0" w:hanging="0"/>
              <w:rPr/>
            </w:pPr>
            <w:r>
              <w:rPr/>
              <w:t>​</w:t>
            </w:r>
          </w:p>
        </w:tc>
        <w:tc>
          <w:tcPr>
            <w:tcW w:w="424" w:type="dxa"/>
            <w:tcBorders/>
            <w:shd w:fill="CCEEFF" w:val="clear"/>
            <w:vAlign w:val="center"/>
          </w:tcPr>
          <w:p>
            <w:pPr>
              <w:pStyle w:val="TableContents"/>
              <w:spacing w:before="0" w:after="0"/>
              <w:ind w:left="0" w:right="0" w:hanging="0"/>
              <w:rPr/>
            </w:pPr>
            <w:r>
              <w:rPr/>
              <w:t> </w:t>
            </w:r>
          </w:p>
        </w:tc>
        <w:tc>
          <w:tcPr>
            <w:tcW w:w="20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1,014,300</w:t>
            </w:r>
          </w:p>
        </w:tc>
        <w:tc>
          <w:tcPr>
            <w:tcW w:w="326" w:type="dxa"/>
            <w:tcBorders/>
            <w:shd w:fill="CCEEFF" w:val="clear"/>
            <w:vAlign w:val="center"/>
          </w:tcPr>
          <w:p>
            <w:pPr>
              <w:pStyle w:val="TableContents"/>
              <w:spacing w:before="0" w:after="0"/>
              <w:ind w:left="0" w:right="0" w:hanging="0"/>
              <w:rPr/>
            </w:pPr>
            <w:r>
              <w:rPr/>
              <w:t>​</w:t>
            </w:r>
          </w:p>
        </w:tc>
        <w:tc>
          <w:tcPr>
            <w:tcW w:w="234" w:type="dxa"/>
            <w:tcBorders/>
            <w:shd w:fill="CCEEFF" w:val="clear"/>
            <w:vAlign w:val="center"/>
          </w:tcPr>
          <w:p>
            <w:pPr>
              <w:pStyle w:val="TableContents"/>
              <w:spacing w:before="0" w:after="0"/>
              <w:ind w:left="0" w:right="0" w:hanging="0"/>
              <w:rPr/>
            </w:pPr>
            <w:r>
              <w:rPr/>
              <w:t> </w:t>
            </w:r>
          </w:p>
        </w:tc>
        <w:tc>
          <w:tcPr>
            <w:tcW w:w="12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215</w:t>
            </w:r>
          </w:p>
        </w:tc>
      </w:tr>
      <w:tr>
        <w:trPr/>
        <w:tc>
          <w:tcPr>
            <w:tcW w:w="35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Tax Liability</w:t>
            </w:r>
          </w:p>
        </w:tc>
        <w:tc>
          <w:tcPr>
            <w:tcW w:w="326" w:type="dxa"/>
            <w:tcBorders/>
            <w:shd w:fill="auto" w:val="clear"/>
            <w:vAlign w:val="center"/>
          </w:tcPr>
          <w:p>
            <w:pPr>
              <w:pStyle w:val="TableContents"/>
              <w:spacing w:before="0" w:after="0"/>
              <w:ind w:left="0" w:right="0" w:hanging="0"/>
              <w:rPr/>
            </w:pPr>
            <w:r>
              <w:rPr/>
              <w:t>​</w:t>
            </w:r>
          </w:p>
        </w:tc>
        <w:tc>
          <w:tcPr>
            <w:tcW w:w="26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309"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42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20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3,214,080</w:t>
            </w:r>
          </w:p>
        </w:tc>
        <w:tc>
          <w:tcPr>
            <w:tcW w:w="326" w:type="dxa"/>
            <w:tcBorders/>
            <w:shd w:fill="auto" w:val="clear"/>
            <w:vAlign w:val="center"/>
          </w:tcPr>
          <w:p>
            <w:pPr>
              <w:pStyle w:val="TableContents"/>
              <w:spacing w:before="0" w:after="0"/>
              <w:ind w:left="0" w:right="0" w:hanging="0"/>
              <w:rPr/>
            </w:pPr>
            <w:r>
              <w:rPr/>
              <w:t>​</w:t>
            </w:r>
          </w:p>
        </w:tc>
        <w:tc>
          <w:tcPr>
            <w:tcW w:w="23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26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35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Liabilities assumed</w:t>
            </w:r>
          </w:p>
        </w:tc>
        <w:tc>
          <w:tcPr>
            <w:tcW w:w="326" w:type="dxa"/>
            <w:tcBorders/>
            <w:shd w:fill="CCEEFF" w:val="clear"/>
            <w:vAlign w:val="center"/>
          </w:tcPr>
          <w:p>
            <w:pPr>
              <w:pStyle w:val="TableContents"/>
              <w:spacing w:before="0" w:after="0"/>
              <w:ind w:left="0" w:right="0" w:hanging="0"/>
              <w:rPr/>
            </w:pPr>
            <w:r>
              <w:rPr/>
              <w:t>​</w:t>
            </w:r>
          </w:p>
        </w:tc>
        <w:tc>
          <w:tcPr>
            <w:tcW w:w="26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30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364,084</w:t>
            </w:r>
          </w:p>
        </w:tc>
        <w:tc>
          <w:tcPr>
            <w:tcW w:w="326" w:type="dxa"/>
            <w:tcBorders/>
            <w:shd w:fill="CCEEFF" w:val="clear"/>
            <w:vAlign w:val="center"/>
          </w:tcPr>
          <w:p>
            <w:pPr>
              <w:pStyle w:val="TableContents"/>
              <w:spacing w:before="0" w:after="0"/>
              <w:ind w:left="0" w:right="0" w:hanging="0"/>
              <w:rPr/>
            </w:pPr>
            <w:r>
              <w:rPr/>
              <w:t>​</w:t>
            </w:r>
          </w:p>
        </w:tc>
        <w:tc>
          <w:tcPr>
            <w:tcW w:w="424"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20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4,687,002</w:t>
            </w:r>
          </w:p>
        </w:tc>
        <w:tc>
          <w:tcPr>
            <w:tcW w:w="326" w:type="dxa"/>
            <w:tcBorders/>
            <w:shd w:fill="CCEEFF" w:val="clear"/>
            <w:vAlign w:val="center"/>
          </w:tcPr>
          <w:p>
            <w:pPr>
              <w:pStyle w:val="TableContents"/>
              <w:spacing w:before="0" w:after="0"/>
              <w:ind w:left="0" w:right="0" w:hanging="0"/>
              <w:rPr/>
            </w:pPr>
            <w:r>
              <w:rPr/>
              <w:t>​</w:t>
            </w:r>
          </w:p>
        </w:tc>
        <w:tc>
          <w:tcPr>
            <w:tcW w:w="234"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6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215</w:t>
            </w:r>
          </w:p>
        </w:tc>
      </w:tr>
      <w:tr>
        <w:trPr/>
        <w:tc>
          <w:tcPr>
            <w:tcW w:w="351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Estimated fair value of net assets acquired</w:t>
            </w:r>
          </w:p>
        </w:tc>
        <w:tc>
          <w:tcPr>
            <w:tcW w:w="326" w:type="dxa"/>
            <w:tcBorders/>
            <w:shd w:fill="auto" w:val="clear"/>
            <w:vAlign w:val="center"/>
          </w:tcPr>
          <w:p>
            <w:pPr>
              <w:pStyle w:val="TableContents"/>
              <w:spacing w:before="0" w:after="0"/>
              <w:ind w:left="0" w:right="0" w:hanging="0"/>
              <w:rPr/>
            </w:pPr>
            <w:r>
              <w:rPr/>
              <w:t>​</w:t>
            </w:r>
          </w:p>
        </w:tc>
        <w:tc>
          <w:tcPr>
            <w:tcW w:w="26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0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49,202,123</w:t>
            </w:r>
          </w:p>
        </w:tc>
        <w:tc>
          <w:tcPr>
            <w:tcW w:w="326" w:type="dxa"/>
            <w:tcBorders/>
            <w:shd w:fill="auto" w:val="clear"/>
            <w:vAlign w:val="center"/>
          </w:tcPr>
          <w:p>
            <w:pPr>
              <w:pStyle w:val="TableContents"/>
              <w:spacing w:before="0" w:after="0"/>
              <w:ind w:left="0" w:right="0" w:hanging="0"/>
              <w:rPr/>
            </w:pPr>
            <w:r>
              <w:rPr/>
              <w:t>​</w:t>
            </w:r>
          </w:p>
        </w:tc>
        <w:tc>
          <w:tcPr>
            <w:tcW w:w="424"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20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29,868,825</w:t>
            </w:r>
          </w:p>
        </w:tc>
        <w:tc>
          <w:tcPr>
            <w:tcW w:w="326" w:type="dxa"/>
            <w:tcBorders/>
            <w:shd w:fill="auto" w:val="clear"/>
            <w:vAlign w:val="center"/>
          </w:tcPr>
          <w:p>
            <w:pPr>
              <w:pStyle w:val="TableContents"/>
              <w:spacing w:before="0" w:after="0"/>
              <w:ind w:left="0" w:right="0" w:hanging="0"/>
              <w:rPr/>
            </w:pPr>
            <w:r>
              <w:rPr/>
              <w:t>​</w:t>
            </w:r>
          </w:p>
        </w:tc>
        <w:tc>
          <w:tcPr>
            <w:tcW w:w="234"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6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16,182,408</w:t>
            </w:r>
          </w:p>
        </w:tc>
      </w:tr>
    </w:tbl>
    <w:p>
      <w:pPr>
        <w:pStyle w:val="TextBody"/>
        <w:spacing w:before="0" w:after="0"/>
        <w:ind w:left="0" w:right="0" w:hanging="0"/>
        <w:rPr>
          <w:highlight w:val="yellow"/>
        </w:rPr>
      </w:pPr>
      <w:r>
        <w:rPr>
          <w:highlight w:val="yellow"/>
        </w:rPr>
        <w:t>​</w:t>
      </w:r>
    </w:p>
    <w:p>
      <w:pPr>
        <w:pStyle w:val="TextBody"/>
        <w:spacing w:before="0" w:after="0"/>
        <w:ind w:left="0" w:right="0" w:hanging="0"/>
        <w:rPr>
          <w:highlight w:val="yellow"/>
        </w:rPr>
      </w:pPr>
      <w:r>
        <w:rPr>
          <w:highlight w:val="yellow"/>
        </w:rPr>
        <w:t>​</w:t>
      </w:r>
    </w:p>
    <w:p>
      <w:pPr>
        <w:pStyle w:val="TextBody"/>
        <w:spacing w:before="0" w:after="0"/>
        <w:ind w:left="0" w:right="0" w:hanging="0"/>
        <w:rPr/>
      </w:pPr>
      <w:r>
        <w:rPr/>
        <w:t>​</w:t>
      </w:r>
    </w:p>
    <w:p>
      <w:pPr>
        <w:pStyle w:val="TextBody"/>
        <w:spacing w:before="0" w:after="240"/>
        <w:ind w:left="0" w:right="0" w:hanging="0"/>
        <w:jc w:val="left"/>
        <w:rPr>
          <w:rFonts w:ascii="Times New Roman;Times;serif" w:hAnsi="Times New Roman;Times;serif"/>
          <w:sz w:val="20"/>
        </w:rPr>
      </w:pPr>
      <w:bookmarkStart w:id="898" w:name="Tc_9w-MUTPi-0WCggKdcz-zyA_7_12"/>
      <w:bookmarkStart w:id="899" w:name="Tc_QiqvI2Fi4kGfDfkozeaTJg_7_9"/>
      <w:bookmarkStart w:id="900" w:name="Tc_8PyByj_eq0K_ai1PhhYSmQ_7_3"/>
      <w:bookmarkStart w:id="901" w:name="Tc_VVWaMN_gv0WOwgXdBhJG0Q_7_0"/>
      <w:bookmarkStart w:id="902" w:name="Tc_4VEDVslGlU-arR6ZhAcAxw_6_4"/>
      <w:bookmarkStart w:id="903" w:name="Tc_OLbwTmptf0KLm6IBMP05-w_6_0"/>
      <w:bookmarkStart w:id="904" w:name="Tc_oeSY0pLsJkm3B8d66IbUlA_5_10"/>
      <w:bookmarkStart w:id="905" w:name="Tc_rYvrUIgexEy-MI4aoxhoVQ_5_7"/>
      <w:bookmarkStart w:id="906" w:name="Tc_pvVobj3wc0iEsSDReZwAhA_5_0"/>
      <w:bookmarkStart w:id="907" w:name="Tc_dLYei1xQM0CIQZtO_Fy_2A_4_0"/>
      <w:bookmarkStart w:id="908" w:name="Tc_PMStRYEvIUq2hpg8SMUOAQ_3_12"/>
      <w:bookmarkStart w:id="909" w:name="Tc_Ji0VD0b9IU2EFB86JhBMxg_3_9"/>
      <w:bookmarkStart w:id="910" w:name="Tc_ZRWBe9jqhE6yi76Ik1mVIw_3_6"/>
      <w:bookmarkStart w:id="911" w:name="Tc_zAxvVDsKhk6zjTa3BRCvtw_3_3"/>
      <w:bookmarkStart w:id="912" w:name="Tc_QQPo5zB3pEm9aUmJJwVm8Q_3_0"/>
      <w:bookmarkStart w:id="913" w:name="Tc_OPNFYxNqZk6eWKUd_Y2Kmw_1_12"/>
      <w:bookmarkStart w:id="914" w:name="Tc_WSruoeJOcEyQvzYn6PwWaA_1_9"/>
      <w:bookmarkStart w:id="915" w:name="Tc_FJafzhuXS0i-hVc_8y6jIw_1_6"/>
      <w:bookmarkStart w:id="916" w:name="Tc_rC5Yu1d2kUSUz7VxXDJqJw_1_3"/>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r>
        <w:rPr>
          <w:rFonts w:ascii="Times New Roman;Times;serif" w:hAnsi="Times New Roman;Times;serif"/>
          <w:b/>
          <w:i w:val="false"/>
          <w:caps w:val="false"/>
          <w:smallCaps w:val="false"/>
          <w:sz w:val="20"/>
        </w:rPr>
        <w:t>8.</w:t>
      </w:r>
      <w:r>
        <w:rPr>
          <w:rFonts w:ascii="Times New Roman;Times;serif" w:hAnsi="Times New Roman;Times;serif"/>
          <w:b/>
          <w:sz w:val="20"/>
        </w:rPr>
        <w:t>Goodwill Accounting</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accounts for acquisitions in which it obtains control of one or more businesses as a business combination. The purchase price of the acquired businesses is allocated to the tangible and intangible assets acquired and liabilities assumed based on their estimated fair values at the acquisition date. The excess of the purchase price over those fair values is recognized as goodwill. During the measurement period, which may be up to one year from the acquisition date, the Company may record adjustments, in the period in which they are determined, to the assets acquired and liabilities assumed with the corresponding offset to goodwill. If the assets acquired are not a business, the Company accounts for the transaction or other event as an asset acquisition. Under both methods, the Company recognizes the identifiable assets acquired, the liabilities assumed, and any noncontrolling interest in the acquired entity. In addition, for transactions that are business combinations, the Company evaluates the existence of goodwill or a gain from a bargain purchase.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2022 the balance of goodwill, by segment, consisted of the following:</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3822"/>
        <w:gridCol w:w="158"/>
        <w:gridCol w:w="266"/>
        <w:gridCol w:w="211"/>
        <w:gridCol w:w="1036"/>
        <w:gridCol w:w="266"/>
        <w:gridCol w:w="211"/>
        <w:gridCol w:w="1047"/>
        <w:gridCol w:w="266"/>
        <w:gridCol w:w="211"/>
        <w:gridCol w:w="1047"/>
        <w:gridCol w:w="266"/>
        <w:gridCol w:w="211"/>
        <w:gridCol w:w="1187"/>
      </w:tblGrid>
      <w:tr>
        <w:trPr/>
        <w:tc>
          <w:tcPr>
            <w:tcW w:w="382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426970" cy="175260"/>
                      <wp:effectExtent l="0" t="0" r="0" b="0"/>
                      <wp:wrapNone/>
                      <wp:docPr id="124" name="Frame124"/>
                      <a:graphic xmlns:a="http://schemas.openxmlformats.org/drawingml/2006/main">
                        <a:graphicData uri="http://schemas.microsoft.com/office/word/2010/wordprocessingShape">
                          <wps:wsp>
                            <wps:cNvSpPr txBox="1"/>
                            <wps:spPr>
                              <a:xfrm>
                                <a:off x="0" y="0"/>
                                <a:ext cx="24269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00330" cy="175260"/>
                      <wp:effectExtent l="0" t="0" r="0" b="0"/>
                      <wp:wrapNone/>
                      <wp:docPr id="125" name="Frame125"/>
                      <a:graphic xmlns:a="http://schemas.openxmlformats.org/drawingml/2006/main">
                        <a:graphicData uri="http://schemas.microsoft.com/office/word/2010/wordprocessingShape">
                          <wps:wsp>
                            <wps:cNvSpPr txBox="1"/>
                            <wps:spPr>
                              <a:xfrm>
                                <a:off x="0" y="0"/>
                                <a:ext cx="1003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68910" cy="175260"/>
                      <wp:effectExtent l="0" t="0" r="0" b="0"/>
                      <wp:wrapNone/>
                      <wp:docPr id="126" name="Frame126"/>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33985" cy="175260"/>
                      <wp:effectExtent l="0" t="0" r="0" b="0"/>
                      <wp:wrapNone/>
                      <wp:docPr id="127" name="Frame12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57860" cy="175260"/>
                      <wp:effectExtent l="0" t="0" r="0" b="0"/>
                      <wp:wrapNone/>
                      <wp:docPr id="128" name="Frame128"/>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68910" cy="175260"/>
                      <wp:effectExtent l="0" t="0" r="0" b="0"/>
                      <wp:wrapNone/>
                      <wp:docPr id="129" name="Frame129"/>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3985" cy="175260"/>
                      <wp:effectExtent l="0" t="0" r="0" b="0"/>
                      <wp:wrapNone/>
                      <wp:docPr id="130" name="Frame13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4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64845" cy="175260"/>
                      <wp:effectExtent l="0" t="0" r="0" b="0"/>
                      <wp:wrapNone/>
                      <wp:docPr id="131" name="Frame131"/>
                      <a:graphic xmlns:a="http://schemas.openxmlformats.org/drawingml/2006/main">
                        <a:graphicData uri="http://schemas.microsoft.com/office/word/2010/wordprocessingShape">
                          <wps:wsp>
                            <wps:cNvSpPr txBox="1"/>
                            <wps:spPr>
                              <a:xfrm>
                                <a:off x="0" y="0"/>
                                <a:ext cx="6648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68910" cy="175260"/>
                      <wp:effectExtent l="0" t="0" r="0" b="0"/>
                      <wp:wrapNone/>
                      <wp:docPr id="132" name="Frame132"/>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33985" cy="175260"/>
                      <wp:effectExtent l="0" t="0" r="0" b="0"/>
                      <wp:wrapNone/>
                      <wp:docPr id="133" name="Frame13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4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64845" cy="175260"/>
                      <wp:effectExtent l="0" t="0" r="0" b="0"/>
                      <wp:wrapNone/>
                      <wp:docPr id="134" name="Frame134"/>
                      <a:graphic xmlns:a="http://schemas.openxmlformats.org/drawingml/2006/main">
                        <a:graphicData uri="http://schemas.microsoft.com/office/word/2010/wordprocessingShape">
                          <wps:wsp>
                            <wps:cNvSpPr txBox="1"/>
                            <wps:spPr>
                              <a:xfrm>
                                <a:off x="0" y="0"/>
                                <a:ext cx="6648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68910" cy="175260"/>
                      <wp:effectExtent l="0" t="0" r="0" b="0"/>
                      <wp:wrapNone/>
                      <wp:docPr id="135" name="Frame135"/>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33985" cy="175260"/>
                      <wp:effectExtent l="0" t="0" r="0" b="0"/>
                      <wp:wrapNone/>
                      <wp:docPr id="136" name="Frame13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8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753745" cy="175260"/>
                      <wp:effectExtent l="0" t="0" r="0" b="0"/>
                      <wp:wrapNone/>
                      <wp:docPr id="137" name="Frame137"/>
                      <a:graphic xmlns:a="http://schemas.openxmlformats.org/drawingml/2006/main">
                        <a:graphicData uri="http://schemas.microsoft.com/office/word/2010/wordprocessingShape">
                          <wps:wsp>
                            <wps:cNvSpPr txBox="1"/>
                            <wps:spPr>
                              <a:xfrm>
                                <a:off x="0" y="0"/>
                                <a:ext cx="7537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822" w:type="dxa"/>
            <w:tcBorders/>
            <w:shd w:fill="auto" w:val="clear"/>
            <w:vAlign w:val="center"/>
          </w:tcPr>
          <w:p>
            <w:pPr>
              <w:pStyle w:val="TableContents"/>
              <w:spacing w:before="0" w:after="1"/>
              <w:ind w:left="0" w:right="0" w:hanging="0"/>
              <w:rPr/>
            </w:pPr>
            <w:r>
              <w:rPr/>
              <w:t>​</w:t>
            </w:r>
          </w:p>
        </w:tc>
        <w:tc>
          <w:tcPr>
            <w:tcW w:w="158" w:type="dxa"/>
            <w:tcBorders/>
            <w:shd w:fill="auto" w:val="clear"/>
            <w:vAlign w:val="center"/>
          </w:tcPr>
          <w:p>
            <w:pPr>
              <w:pStyle w:val="TableContents"/>
              <w:spacing w:before="0" w:after="1"/>
              <w:ind w:left="0" w:right="0" w:hanging="0"/>
              <w:rPr/>
            </w:pPr>
            <w:r>
              <w:rPr/>
              <w:t>​</w:t>
            </w:r>
          </w:p>
        </w:tc>
        <w:tc>
          <w:tcPr>
            <w:tcW w:w="266" w:type="dxa"/>
            <w:tcBorders/>
            <w:shd w:fill="auto" w:val="clear"/>
            <w:vAlign w:val="center"/>
          </w:tcPr>
          <w:p>
            <w:pPr>
              <w:pStyle w:val="TableContents"/>
              <w:spacing w:before="0" w:after="1"/>
              <w:ind w:left="0" w:right="0" w:hanging="0"/>
              <w:rPr/>
            </w:pPr>
            <w:r>
              <w:rPr/>
              <w:t>   </w:t>
            </w:r>
          </w:p>
        </w:tc>
        <w:tc>
          <w:tcPr>
            <w:tcW w:w="124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Retail </w:t>
            </w:r>
          </w:p>
        </w:tc>
        <w:tc>
          <w:tcPr>
            <w:tcW w:w="266" w:type="dxa"/>
            <w:tcBorders/>
            <w:shd w:fill="auto" w:val="clear"/>
            <w:vAlign w:val="center"/>
          </w:tcPr>
          <w:p>
            <w:pPr>
              <w:pStyle w:val="TableContents"/>
              <w:spacing w:before="0" w:after="1"/>
              <w:ind w:left="0" w:right="0" w:hanging="0"/>
              <w:rPr/>
            </w:pPr>
            <w:r>
              <w:rPr/>
              <w:t>   </w:t>
            </w:r>
          </w:p>
        </w:tc>
        <w:tc>
          <w:tcPr>
            <w:tcW w:w="1258"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Wholesale</w:t>
            </w:r>
          </w:p>
        </w:tc>
        <w:tc>
          <w:tcPr>
            <w:tcW w:w="266" w:type="dxa"/>
            <w:tcBorders/>
            <w:shd w:fill="auto" w:val="clear"/>
            <w:vAlign w:val="center"/>
          </w:tcPr>
          <w:p>
            <w:pPr>
              <w:pStyle w:val="TableContents"/>
              <w:spacing w:before="0" w:after="1"/>
              <w:ind w:left="0" w:right="0" w:hanging="0"/>
              <w:rPr/>
            </w:pPr>
            <w:r>
              <w:rPr/>
              <w:t>   </w:t>
            </w:r>
          </w:p>
        </w:tc>
        <w:tc>
          <w:tcPr>
            <w:tcW w:w="1258"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Other</w:t>
            </w:r>
          </w:p>
        </w:tc>
        <w:tc>
          <w:tcPr>
            <w:tcW w:w="266" w:type="dxa"/>
            <w:tcBorders/>
            <w:shd w:fill="auto" w:val="clear"/>
            <w:vAlign w:val="center"/>
          </w:tcPr>
          <w:p>
            <w:pPr>
              <w:pStyle w:val="TableContents"/>
              <w:spacing w:before="0" w:after="1"/>
              <w:ind w:left="0" w:right="0" w:hanging="0"/>
              <w:rPr/>
            </w:pPr>
            <w:r>
              <w:rPr/>
              <w:t>   </w:t>
            </w:r>
          </w:p>
        </w:tc>
        <w:tc>
          <w:tcPr>
            <w:tcW w:w="1398"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3822" w:type="dxa"/>
            <w:tcBorders/>
            <w:shd w:fill="auto" w:val="clear"/>
            <w:vAlign w:val="center"/>
          </w:tcPr>
          <w:p>
            <w:pPr>
              <w:pStyle w:val="TableContents"/>
              <w:spacing w:before="0" w:after="1"/>
              <w:ind w:left="0" w:right="0" w:hanging="0"/>
              <w:rPr/>
            </w:pPr>
            <w:r>
              <w:rPr/>
              <w:t>​</w:t>
            </w:r>
          </w:p>
        </w:tc>
        <w:tc>
          <w:tcPr>
            <w:tcW w:w="158" w:type="dxa"/>
            <w:tcBorders/>
            <w:shd w:fill="auto" w:val="clear"/>
            <w:vAlign w:val="center"/>
          </w:tcPr>
          <w:p>
            <w:pPr>
              <w:pStyle w:val="TableContents"/>
              <w:spacing w:before="0" w:after="1"/>
              <w:ind w:left="0" w:right="0" w:hanging="0"/>
              <w:rPr/>
            </w:pPr>
            <w:r>
              <w:rPr/>
              <w:t>​</w:t>
            </w:r>
          </w:p>
        </w:tc>
        <w:tc>
          <w:tcPr>
            <w:tcW w:w="26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center"/>
              <w:rPr/>
            </w:pPr>
            <w:r>
              <w:rPr/>
              <w:t>​</w:t>
            </w:r>
          </w:p>
        </w:tc>
        <w:tc>
          <w:tcPr>
            <w:tcW w:w="26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047" w:type="dxa"/>
            <w:tcBorders/>
            <w:shd w:fill="auto" w:val="clear"/>
            <w:vAlign w:val="center"/>
          </w:tcPr>
          <w:p>
            <w:pPr>
              <w:pStyle w:val="TableContents"/>
              <w:spacing w:before="0" w:after="1"/>
              <w:ind w:left="0" w:right="0" w:hanging="0"/>
              <w:jc w:val="center"/>
              <w:rPr/>
            </w:pPr>
            <w:r>
              <w:rPr/>
              <w:t>​</w:t>
            </w:r>
          </w:p>
        </w:tc>
        <w:tc>
          <w:tcPr>
            <w:tcW w:w="26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047" w:type="dxa"/>
            <w:tcBorders/>
            <w:shd w:fill="auto" w:val="clear"/>
            <w:vAlign w:val="center"/>
          </w:tcPr>
          <w:p>
            <w:pPr>
              <w:pStyle w:val="TableContents"/>
              <w:spacing w:before="0" w:after="1"/>
              <w:ind w:left="0" w:right="0" w:hanging="0"/>
              <w:jc w:val="center"/>
              <w:rPr/>
            </w:pPr>
            <w:r>
              <w:rPr/>
              <w:t>​</w:t>
            </w:r>
          </w:p>
        </w:tc>
        <w:tc>
          <w:tcPr>
            <w:tcW w:w="26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187" w:type="dxa"/>
            <w:tcBorders/>
            <w:shd w:fill="auto" w:val="clear"/>
            <w:vAlign w:val="center"/>
          </w:tcPr>
          <w:p>
            <w:pPr>
              <w:pStyle w:val="TableContents"/>
              <w:spacing w:before="0" w:after="1"/>
              <w:ind w:left="0" w:right="0" w:hanging="0"/>
              <w:jc w:val="center"/>
              <w:rPr/>
            </w:pPr>
            <w:r>
              <w:rPr/>
              <w:t>​</w:t>
            </w:r>
          </w:p>
        </w:tc>
      </w:tr>
      <w:tr>
        <w:trPr/>
        <w:tc>
          <w:tcPr>
            <w:tcW w:w="382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Balance as of January 1, 2022</w:t>
            </w:r>
          </w:p>
        </w:tc>
        <w:tc>
          <w:tcPr>
            <w:tcW w:w="158" w:type="dxa"/>
            <w:tcBorders/>
            <w:shd w:fill="CCEEFF" w:val="clear"/>
            <w:vAlign w:val="center"/>
          </w:tcPr>
          <w:p>
            <w:pPr>
              <w:pStyle w:val="TableContents"/>
              <w:spacing w:before="0" w:after="1"/>
              <w:ind w:left="0" w:right="0" w:hanging="0"/>
              <w:rPr/>
            </w:pPr>
            <w:r>
              <w:rPr/>
              <w:t>​</w:t>
            </w:r>
          </w:p>
        </w:tc>
        <w:tc>
          <w:tcPr>
            <w:tcW w:w="26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26,349,025</w:t>
            </w:r>
          </w:p>
        </w:tc>
        <w:tc>
          <w:tcPr>
            <w:tcW w:w="26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4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13,964,016</w:t>
            </w:r>
          </w:p>
        </w:tc>
        <w:tc>
          <w:tcPr>
            <w:tcW w:w="26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4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3,003,226</w:t>
            </w:r>
          </w:p>
        </w:tc>
        <w:tc>
          <w:tcPr>
            <w:tcW w:w="26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8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43,316,267</w:t>
            </w:r>
          </w:p>
        </w:tc>
      </w:tr>
      <w:tr>
        <w:trPr/>
        <w:tc>
          <w:tcPr>
            <w:tcW w:w="3980" w:type="dxa"/>
            <w:gridSpan w:val="2"/>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Goodwill acquired during 2022</w:t>
            </w:r>
          </w:p>
        </w:tc>
        <w:tc>
          <w:tcPr>
            <w:tcW w:w="26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25,594,768</w:t>
            </w:r>
          </w:p>
        </w:tc>
        <w:tc>
          <w:tcPr>
            <w:tcW w:w="26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04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1,792,000</w:t>
            </w:r>
          </w:p>
        </w:tc>
        <w:tc>
          <w:tcPr>
            <w:tcW w:w="26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04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34,981,571</w:t>
            </w:r>
          </w:p>
        </w:tc>
        <w:tc>
          <w:tcPr>
            <w:tcW w:w="26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18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62,368,339</w:t>
            </w:r>
          </w:p>
        </w:tc>
      </w:tr>
      <w:tr>
        <w:trPr/>
        <w:tc>
          <w:tcPr>
            <w:tcW w:w="3980" w:type="dxa"/>
            <w:gridSpan w:val="2"/>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Measurement-period adjustment to prior year acquisition</w:t>
            </w:r>
          </w:p>
        </w:tc>
        <w:tc>
          <w:tcPr>
            <w:tcW w:w="26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640,001</w:t>
            </w:r>
          </w:p>
        </w:tc>
        <w:tc>
          <w:tcPr>
            <w:tcW w:w="26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047" w:type="dxa"/>
            <w:tcBorders/>
            <w:shd w:fill="CCEEFF" w:val="clear"/>
            <w:vAlign w:val="center"/>
          </w:tcPr>
          <w:p>
            <w:pPr>
              <w:pStyle w:val="TableContents"/>
              <w:spacing w:before="0" w:after="1"/>
              <w:ind w:left="0" w:right="0" w:hanging="0"/>
              <w:jc w:val="right"/>
              <w:rPr/>
            </w:pPr>
            <w:r>
              <w:rPr/>
              <w:t>—</w:t>
            </w:r>
          </w:p>
        </w:tc>
        <w:tc>
          <w:tcPr>
            <w:tcW w:w="26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047" w:type="dxa"/>
            <w:tcBorders/>
            <w:shd w:fill="CCEEFF" w:val="clear"/>
            <w:vAlign w:val="center"/>
          </w:tcPr>
          <w:p>
            <w:pPr>
              <w:pStyle w:val="TableContents"/>
              <w:spacing w:before="0" w:after="1"/>
              <w:ind w:left="0" w:right="0" w:hanging="0"/>
              <w:jc w:val="right"/>
              <w:rPr/>
            </w:pPr>
            <w:r>
              <w:rPr/>
              <w:t>—</w:t>
            </w:r>
          </w:p>
        </w:tc>
        <w:tc>
          <w:tcPr>
            <w:tcW w:w="26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18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640,001</w:t>
            </w:r>
          </w:p>
        </w:tc>
      </w:tr>
      <w:tr>
        <w:trPr/>
        <w:tc>
          <w:tcPr>
            <w:tcW w:w="3980" w:type="dxa"/>
            <w:gridSpan w:val="2"/>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Goodwill Impairment during 2022</w:t>
            </w:r>
          </w:p>
        </w:tc>
        <w:tc>
          <w:tcPr>
            <w:tcW w:w="26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26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04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(8,716,080)</w:t>
            </w:r>
          </w:p>
        </w:tc>
        <w:tc>
          <w:tcPr>
            <w:tcW w:w="26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04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(3,003,226)</w:t>
            </w:r>
          </w:p>
        </w:tc>
        <w:tc>
          <w:tcPr>
            <w:tcW w:w="26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18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(11,719,306)</w:t>
            </w:r>
          </w:p>
        </w:tc>
      </w:tr>
      <w:tr>
        <w:trPr/>
        <w:tc>
          <w:tcPr>
            <w:tcW w:w="382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Balance as of December 31, 2022</w:t>
            </w:r>
          </w:p>
        </w:tc>
        <w:tc>
          <w:tcPr>
            <w:tcW w:w="158" w:type="dxa"/>
            <w:tcBorders/>
            <w:shd w:fill="CCEEFF" w:val="clear"/>
            <w:vAlign w:val="center"/>
          </w:tcPr>
          <w:p>
            <w:pPr>
              <w:pStyle w:val="TableContents"/>
              <w:spacing w:before="0" w:after="1"/>
              <w:ind w:left="0" w:right="0" w:hanging="0"/>
              <w:rPr/>
            </w:pPr>
            <w:r>
              <w:rPr/>
              <w:t>​</w:t>
            </w:r>
          </w:p>
        </w:tc>
        <w:tc>
          <w:tcPr>
            <w:tcW w:w="26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52,583,794</w:t>
            </w:r>
          </w:p>
        </w:tc>
        <w:tc>
          <w:tcPr>
            <w:tcW w:w="26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047"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7,039,936</w:t>
            </w:r>
          </w:p>
        </w:tc>
        <w:tc>
          <w:tcPr>
            <w:tcW w:w="26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47"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34,981,571</w:t>
            </w:r>
          </w:p>
        </w:tc>
        <w:tc>
          <w:tcPr>
            <w:tcW w:w="26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87"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94,605,301</w:t>
            </w:r>
          </w:p>
        </w:tc>
      </w:tr>
    </w:tbl>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performed its annual fair value assessment as of December 31, 2022 on its subsidiaries with material goodwill on their respective balance sheets and recognized a goodwill impairment charge of $ 11,719,306, of which $3,708,226 is presented under loss from business disposition in the accompanying consolidated statements of comprehensive income as it was related to ceased operations during 2022. No such impairment existed as of December 31, 2021. Impairment is recorded when the carrying values of the reporting units exceed the estimated fair value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20"/>
        <w:ind w:left="0" w:right="0" w:hanging="0"/>
        <w:jc w:val="both"/>
        <w:rPr>
          <w:rFonts w:ascii="Times New Roman;Times;serif" w:hAnsi="Times New Roman;Times;serif"/>
          <w:sz w:val="20"/>
        </w:rPr>
      </w:pPr>
      <w:bookmarkStart w:id="917" w:name="Tc__DnJkAD64U-d6sqHPXzvjw_7_12"/>
      <w:bookmarkStart w:id="918" w:name="Tc_fE_L0rSQ7Ee3thNqOlaXeg_7_9"/>
      <w:bookmarkStart w:id="919" w:name="Tc_L_GI0cI3jU64WauCDwb37Q_7_6"/>
      <w:bookmarkStart w:id="920" w:name="Tc_HsZmqQAot0Wyw0IxmKXhKA_7_3"/>
      <w:bookmarkStart w:id="921" w:name="Tc_TrJ7riXaW0Sq-UEZP1T-AQ_7_0"/>
      <w:bookmarkStart w:id="922" w:name="Tc_TIPULGpdm0GrprxDUE_ePQ_6_13"/>
      <w:bookmarkStart w:id="923" w:name="Tc_7NN9LhdgnE-Ln4un7hzdDw_6_10"/>
      <w:bookmarkStart w:id="924" w:name="Tc_GLkYbbUcJk-yBf-dfGXRmw_6_7"/>
      <w:bookmarkStart w:id="925" w:name="Tc_1gsXcEp1VE2kxAPttPnm6Q_6_4"/>
      <w:bookmarkStart w:id="926" w:name="Tc_w3UOPVS9ukCyo3hecRVW3A_6_0"/>
      <w:bookmarkStart w:id="927" w:name="Tc_siHYQx4yIkKqyQb95W0Qpw_5_10"/>
      <w:bookmarkStart w:id="928" w:name="Tc_3ZO5GsgJ6Ei24q330T9XmQ_5_7"/>
      <w:bookmarkStart w:id="929" w:name="Tc_KNxDUx4VSUGSBxaTYkgOhw_5_0"/>
      <w:bookmarkStart w:id="930" w:name="Tc_5WEUWtkcUUG5faTddoloKA_4_10"/>
      <w:bookmarkStart w:id="931" w:name="Tc_0ZIv6FzfzEeO5jafe_R8yw_4_0"/>
      <w:bookmarkStart w:id="932" w:name="Tc_wH2aoQGB7UOi-C724mlTKw_3_12"/>
      <w:bookmarkStart w:id="933" w:name="Tc_rKWEykK290CmoiG5LgsviA_3_9"/>
      <w:bookmarkStart w:id="934" w:name="Tc_O5EivGxuuE2AZ1uPr46pgg_3_6"/>
      <w:bookmarkStart w:id="935" w:name="Tc_kgt9pbEvPkWNInDBURyKVw_3_3"/>
      <w:bookmarkStart w:id="936" w:name="Tc_IOBZNcnfPEGUYZqpj2WhFg_3_0"/>
      <w:bookmarkStart w:id="937" w:name="Tc_2tX6Oedu00-N8tcQ5ij2iw_1_13"/>
      <w:bookmarkStart w:id="938" w:name="Tc_rRVr-76hNUi3RY9QU6jSZg_1_10"/>
      <w:bookmarkStart w:id="939" w:name="Tc_Jjhvi1HGdEyx8Uk7Hkqp6g_1_7"/>
      <w:bookmarkStart w:id="940" w:name="Tc_q6I6VmuJRE2M3_lZycIefg_1_3"/>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r>
        <w:rPr>
          <w:rFonts w:ascii="Times New Roman;Times;serif" w:hAnsi="Times New Roman;Times;serif"/>
          <w:sz w:val="20"/>
        </w:rPr>
        <w:t xml:space="preserve">of such amounts. As of December 31, 2022, the acquisition valuations resulting in goodwill that may have fallen under the Retail segment had not been finalized and therefore were allocated to Other until final valuation is completed. </w:t>
      </w:r>
    </w:p>
    <w:p>
      <w:pPr>
        <w:pStyle w:val="TextBody"/>
        <w:spacing w:before="0" w:after="12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The goodwill, which is not expected to be deductible for income tax purposes, consists largely of the synergies, assembled workforce and economies of scale expected from combining the operations of the acquired entities with the Company.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2021 the balances of goodwill, by segment, consisted of the following:</w:t>
      </w:r>
      <w:r>
        <w:rPr>
          <w:rFonts w:ascii="Times New Roman;Times;serif" w:hAnsi="Times New Roman;Times;serif"/>
          <w:color w:val="FF0000"/>
          <w:sz w:val="20"/>
        </w:rPr>
        <w:t xml:space="preserve"> </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3843"/>
        <w:gridCol w:w="159"/>
        <w:gridCol w:w="266"/>
        <w:gridCol w:w="211"/>
        <w:gridCol w:w="1140"/>
        <w:gridCol w:w="266"/>
        <w:gridCol w:w="211"/>
        <w:gridCol w:w="1036"/>
        <w:gridCol w:w="266"/>
        <w:gridCol w:w="211"/>
        <w:gridCol w:w="931"/>
        <w:gridCol w:w="266"/>
        <w:gridCol w:w="211"/>
        <w:gridCol w:w="1188"/>
      </w:tblGrid>
      <w:tr>
        <w:trPr/>
        <w:tc>
          <w:tcPr>
            <w:tcW w:w="38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440305" cy="175260"/>
                      <wp:effectExtent l="0" t="0" r="0" b="0"/>
                      <wp:wrapNone/>
                      <wp:docPr id="138" name="Frame138"/>
                      <a:graphic xmlns:a="http://schemas.openxmlformats.org/drawingml/2006/main">
                        <a:graphicData uri="http://schemas.microsoft.com/office/word/2010/wordprocessingShape">
                          <wps:wsp>
                            <wps:cNvSpPr txBox="1"/>
                            <wps:spPr>
                              <a:xfrm>
                                <a:off x="0" y="0"/>
                                <a:ext cx="24403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00965" cy="175260"/>
                      <wp:effectExtent l="0" t="0" r="0" b="0"/>
                      <wp:wrapNone/>
                      <wp:docPr id="139" name="Frame139"/>
                      <a:graphic xmlns:a="http://schemas.openxmlformats.org/drawingml/2006/main">
                        <a:graphicData uri="http://schemas.microsoft.com/office/word/2010/wordprocessingShape">
                          <wps:wsp>
                            <wps:cNvSpPr txBox="1"/>
                            <wps:spPr>
                              <a:xfrm>
                                <a:off x="0" y="0"/>
                                <a:ext cx="1009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68910" cy="175260"/>
                      <wp:effectExtent l="0" t="0" r="0" b="0"/>
                      <wp:wrapNone/>
                      <wp:docPr id="140" name="Frame140"/>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33985" cy="175260"/>
                      <wp:effectExtent l="0" t="0" r="0" b="0"/>
                      <wp:wrapNone/>
                      <wp:docPr id="141" name="Frame14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723900" cy="175260"/>
                      <wp:effectExtent l="0" t="0" r="0" b="0"/>
                      <wp:wrapNone/>
                      <wp:docPr id="142" name="Frame142"/>
                      <a:graphic xmlns:a="http://schemas.openxmlformats.org/drawingml/2006/main">
                        <a:graphicData uri="http://schemas.microsoft.com/office/word/2010/wordprocessingShape">
                          <wps:wsp>
                            <wps:cNvSpPr txBox="1"/>
                            <wps:spPr>
                              <a:xfrm>
                                <a:off x="0" y="0"/>
                                <a:ext cx="7239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68910" cy="175260"/>
                      <wp:effectExtent l="0" t="0" r="0" b="0"/>
                      <wp:wrapNone/>
                      <wp:docPr id="143" name="Frame143"/>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33985" cy="175260"/>
                      <wp:effectExtent l="0" t="0" r="0" b="0"/>
                      <wp:wrapNone/>
                      <wp:docPr id="144" name="Frame14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57860" cy="175260"/>
                      <wp:effectExtent l="0" t="0" r="0" b="0"/>
                      <wp:wrapNone/>
                      <wp:docPr id="145" name="Frame145"/>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68910" cy="175260"/>
                      <wp:effectExtent l="0" t="0" r="0" b="0"/>
                      <wp:wrapNone/>
                      <wp:docPr id="146" name="Frame146"/>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33985" cy="175260"/>
                      <wp:effectExtent l="0" t="0" r="0" b="0"/>
                      <wp:wrapNone/>
                      <wp:docPr id="147" name="Frame14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591185" cy="175260"/>
                      <wp:effectExtent l="0" t="0" r="0" b="0"/>
                      <wp:wrapNone/>
                      <wp:docPr id="148" name="Frame148"/>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68910" cy="175260"/>
                      <wp:effectExtent l="0" t="0" r="0" b="0"/>
                      <wp:wrapNone/>
                      <wp:docPr id="149" name="Frame149"/>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33985" cy="175260"/>
                      <wp:effectExtent l="0" t="0" r="0" b="0"/>
                      <wp:wrapNone/>
                      <wp:docPr id="150" name="Frame15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8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754380" cy="175260"/>
                      <wp:effectExtent l="0" t="0" r="0" b="0"/>
                      <wp:wrapNone/>
                      <wp:docPr id="151" name="Frame151"/>
                      <a:graphic xmlns:a="http://schemas.openxmlformats.org/drawingml/2006/main">
                        <a:graphicData uri="http://schemas.microsoft.com/office/word/2010/wordprocessingShape">
                          <wps:wsp>
                            <wps:cNvSpPr txBox="1"/>
                            <wps:spPr>
                              <a:xfrm>
                                <a:off x="0" y="0"/>
                                <a:ext cx="7543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843" w:type="dxa"/>
            <w:tcBorders/>
            <w:shd w:fill="auto" w:val="clear"/>
            <w:vAlign w:val="center"/>
          </w:tcPr>
          <w:p>
            <w:pPr>
              <w:pStyle w:val="TableContents"/>
              <w:spacing w:before="0" w:after="1"/>
              <w:ind w:left="0" w:right="0" w:hanging="0"/>
              <w:rPr/>
            </w:pPr>
            <w:r>
              <w:rPr/>
              <w:t>​</w:t>
            </w:r>
          </w:p>
        </w:tc>
        <w:tc>
          <w:tcPr>
            <w:tcW w:w="159" w:type="dxa"/>
            <w:tcBorders/>
            <w:shd w:fill="auto" w:val="clear"/>
            <w:vAlign w:val="center"/>
          </w:tcPr>
          <w:p>
            <w:pPr>
              <w:pStyle w:val="TableContents"/>
              <w:spacing w:before="0" w:after="1"/>
              <w:ind w:left="0" w:right="0" w:hanging="0"/>
              <w:rPr/>
            </w:pPr>
            <w:r>
              <w:rPr/>
              <w:t>​</w:t>
            </w:r>
          </w:p>
        </w:tc>
        <w:tc>
          <w:tcPr>
            <w:tcW w:w="266" w:type="dxa"/>
            <w:tcBorders/>
            <w:shd w:fill="auto" w:val="clear"/>
            <w:vAlign w:val="center"/>
          </w:tcPr>
          <w:p>
            <w:pPr>
              <w:pStyle w:val="TableContents"/>
              <w:spacing w:before="0" w:after="1"/>
              <w:ind w:left="0" w:right="0" w:hanging="0"/>
              <w:rPr/>
            </w:pPr>
            <w:r>
              <w:rPr/>
              <w:t>   </w:t>
            </w:r>
          </w:p>
        </w:tc>
        <w:tc>
          <w:tcPr>
            <w:tcW w:w="135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Retail </w:t>
            </w:r>
          </w:p>
        </w:tc>
        <w:tc>
          <w:tcPr>
            <w:tcW w:w="266" w:type="dxa"/>
            <w:tcBorders/>
            <w:shd w:fill="auto" w:val="clear"/>
            <w:vAlign w:val="center"/>
          </w:tcPr>
          <w:p>
            <w:pPr>
              <w:pStyle w:val="TableContents"/>
              <w:spacing w:before="0" w:after="1"/>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Wholesale</w:t>
            </w:r>
          </w:p>
        </w:tc>
        <w:tc>
          <w:tcPr>
            <w:tcW w:w="266" w:type="dxa"/>
            <w:tcBorders/>
            <w:shd w:fill="auto" w:val="clear"/>
            <w:vAlign w:val="center"/>
          </w:tcPr>
          <w:p>
            <w:pPr>
              <w:pStyle w:val="TableContents"/>
              <w:spacing w:before="0" w:after="1"/>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Other</w:t>
            </w:r>
          </w:p>
        </w:tc>
        <w:tc>
          <w:tcPr>
            <w:tcW w:w="266" w:type="dxa"/>
            <w:tcBorders/>
            <w:shd w:fill="auto" w:val="clear"/>
            <w:vAlign w:val="center"/>
          </w:tcPr>
          <w:p>
            <w:pPr>
              <w:pStyle w:val="TableContents"/>
              <w:spacing w:before="0" w:after="1"/>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188"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3843" w:type="dxa"/>
            <w:tcBorders/>
            <w:shd w:fill="auto" w:val="clear"/>
            <w:vAlign w:val="center"/>
          </w:tcPr>
          <w:p>
            <w:pPr>
              <w:pStyle w:val="TableContents"/>
              <w:spacing w:before="0" w:after="1"/>
              <w:ind w:left="0" w:right="0" w:hanging="0"/>
              <w:rPr/>
            </w:pPr>
            <w:r>
              <w:rPr/>
              <w:t>​</w:t>
            </w:r>
          </w:p>
        </w:tc>
        <w:tc>
          <w:tcPr>
            <w:tcW w:w="159" w:type="dxa"/>
            <w:tcBorders/>
            <w:shd w:fill="auto" w:val="clear"/>
            <w:vAlign w:val="center"/>
          </w:tcPr>
          <w:p>
            <w:pPr>
              <w:pStyle w:val="TableContents"/>
              <w:spacing w:before="0" w:after="1"/>
              <w:ind w:left="0" w:right="0" w:hanging="0"/>
              <w:rPr/>
            </w:pPr>
            <w:r>
              <w:rPr/>
              <w:t>​</w:t>
            </w:r>
          </w:p>
        </w:tc>
        <w:tc>
          <w:tcPr>
            <w:tcW w:w="26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140" w:type="dxa"/>
            <w:tcBorders/>
            <w:shd w:fill="auto" w:val="clear"/>
            <w:vAlign w:val="center"/>
          </w:tcPr>
          <w:p>
            <w:pPr>
              <w:pStyle w:val="TableContents"/>
              <w:spacing w:before="0" w:after="1"/>
              <w:ind w:left="0" w:right="0" w:hanging="0"/>
              <w:jc w:val="center"/>
              <w:rPr/>
            </w:pPr>
            <w:r>
              <w:rPr/>
              <w:t>​</w:t>
            </w:r>
          </w:p>
        </w:tc>
        <w:tc>
          <w:tcPr>
            <w:tcW w:w="26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center"/>
              <w:rPr/>
            </w:pPr>
            <w:r>
              <w:rPr/>
              <w:t>​</w:t>
            </w:r>
          </w:p>
        </w:tc>
        <w:tc>
          <w:tcPr>
            <w:tcW w:w="26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center"/>
              <w:rPr/>
            </w:pPr>
            <w:r>
              <w:rPr/>
              <w:t>​</w:t>
            </w:r>
          </w:p>
        </w:tc>
        <w:tc>
          <w:tcPr>
            <w:tcW w:w="26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188" w:type="dxa"/>
            <w:tcBorders/>
            <w:shd w:fill="auto" w:val="clear"/>
            <w:vAlign w:val="center"/>
          </w:tcPr>
          <w:p>
            <w:pPr>
              <w:pStyle w:val="TableContents"/>
              <w:spacing w:before="0" w:after="1"/>
              <w:ind w:left="0" w:right="0" w:hanging="0"/>
              <w:jc w:val="center"/>
              <w:rPr/>
            </w:pPr>
            <w:r>
              <w:rPr/>
              <w:t>​</w:t>
            </w:r>
          </w:p>
        </w:tc>
      </w:tr>
      <w:tr>
        <w:trPr/>
        <w:tc>
          <w:tcPr>
            <w:tcW w:w="384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Balance as of January 1, 2021</w:t>
            </w:r>
          </w:p>
        </w:tc>
        <w:tc>
          <w:tcPr>
            <w:tcW w:w="159" w:type="dxa"/>
            <w:tcBorders/>
            <w:shd w:fill="CCEEFF" w:val="clear"/>
            <w:vAlign w:val="center"/>
          </w:tcPr>
          <w:p>
            <w:pPr>
              <w:pStyle w:val="TableContents"/>
              <w:spacing w:before="0" w:after="1"/>
              <w:ind w:left="0" w:right="0" w:hanging="0"/>
              <w:rPr/>
            </w:pPr>
            <w:r>
              <w:rPr/>
              <w:t>​</w:t>
            </w:r>
          </w:p>
        </w:tc>
        <w:tc>
          <w:tcPr>
            <w:tcW w:w="26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4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38,594,810</w:t>
            </w:r>
          </w:p>
        </w:tc>
        <w:tc>
          <w:tcPr>
            <w:tcW w:w="26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11,448,693</w:t>
            </w:r>
          </w:p>
        </w:tc>
        <w:tc>
          <w:tcPr>
            <w:tcW w:w="26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3,003,226</w:t>
            </w:r>
          </w:p>
        </w:tc>
        <w:tc>
          <w:tcPr>
            <w:tcW w:w="26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8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53,046,729</w:t>
            </w:r>
          </w:p>
        </w:tc>
      </w:tr>
      <w:tr>
        <w:trPr/>
        <w:tc>
          <w:tcPr>
            <w:tcW w:w="4002" w:type="dxa"/>
            <w:gridSpan w:val="2"/>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Goodwill acquired during 2021</w:t>
            </w:r>
          </w:p>
        </w:tc>
        <w:tc>
          <w:tcPr>
            <w:tcW w:w="26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14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15,166,316</w:t>
            </w:r>
          </w:p>
        </w:tc>
        <w:tc>
          <w:tcPr>
            <w:tcW w:w="26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2,515,323</w:t>
            </w:r>
          </w:p>
        </w:tc>
        <w:tc>
          <w:tcPr>
            <w:tcW w:w="26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26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18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17,681,639</w:t>
            </w:r>
          </w:p>
        </w:tc>
      </w:tr>
      <w:tr>
        <w:trPr/>
        <w:tc>
          <w:tcPr>
            <w:tcW w:w="4002" w:type="dxa"/>
            <w:gridSpan w:val="2"/>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Measurement-period adjustment to prior year acquisition</w:t>
            </w:r>
          </w:p>
        </w:tc>
        <w:tc>
          <w:tcPr>
            <w:tcW w:w="26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14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(27,412,101)</w:t>
            </w:r>
          </w:p>
        </w:tc>
        <w:tc>
          <w:tcPr>
            <w:tcW w:w="26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pPr>
            <w:r>
              <w:rPr/>
              <w:t>—</w:t>
            </w:r>
          </w:p>
        </w:tc>
        <w:tc>
          <w:tcPr>
            <w:tcW w:w="26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pPr>
            <w:r>
              <w:rPr/>
              <w:t>—</w:t>
            </w:r>
          </w:p>
        </w:tc>
        <w:tc>
          <w:tcPr>
            <w:tcW w:w="26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18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(27,412,101)</w:t>
            </w:r>
          </w:p>
        </w:tc>
      </w:tr>
      <w:tr>
        <w:trPr/>
        <w:tc>
          <w:tcPr>
            <w:tcW w:w="4002" w:type="dxa"/>
            <w:gridSpan w:val="2"/>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Goodwill Impairment during 2021</w:t>
            </w:r>
          </w:p>
        </w:tc>
        <w:tc>
          <w:tcPr>
            <w:tcW w:w="26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140"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26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26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26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188"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384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Balance as of December 31, 2021</w:t>
            </w:r>
          </w:p>
        </w:tc>
        <w:tc>
          <w:tcPr>
            <w:tcW w:w="159" w:type="dxa"/>
            <w:tcBorders/>
            <w:shd w:fill="CCEEFF" w:val="clear"/>
            <w:vAlign w:val="center"/>
          </w:tcPr>
          <w:p>
            <w:pPr>
              <w:pStyle w:val="TableContents"/>
              <w:spacing w:before="0" w:after="1"/>
              <w:ind w:left="0" w:right="0" w:hanging="0"/>
              <w:rPr/>
            </w:pPr>
            <w:r>
              <w:rPr/>
              <w:t>​</w:t>
            </w:r>
          </w:p>
        </w:tc>
        <w:tc>
          <w:tcPr>
            <w:tcW w:w="26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40"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26,349,025</w:t>
            </w:r>
          </w:p>
        </w:tc>
        <w:tc>
          <w:tcPr>
            <w:tcW w:w="26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13,964,016</w:t>
            </w:r>
          </w:p>
        </w:tc>
        <w:tc>
          <w:tcPr>
            <w:tcW w:w="26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3,003,226</w:t>
            </w:r>
          </w:p>
        </w:tc>
        <w:tc>
          <w:tcPr>
            <w:tcW w:w="26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88"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43,316,267</w:t>
            </w:r>
          </w:p>
        </w:tc>
      </w:tr>
    </w:tbl>
    <w:p>
      <w:pPr>
        <w:pStyle w:val="TextBody"/>
        <w:spacing w:before="0" w:after="240"/>
        <w:ind w:left="0" w:right="0" w:hanging="0"/>
        <w:jc w:val="both"/>
        <w:rPr>
          <w:color w:val="FF0000"/>
        </w:rPr>
      </w:pPr>
      <w:r>
        <w:rPr>
          <w:color w:val="FF0000"/>
        </w:rPr>
        <w:t>​</w:t>
      </w:r>
    </w:p>
    <w:p>
      <w:pPr>
        <w:pStyle w:val="TextBody"/>
        <w:spacing w:before="0" w:after="240"/>
        <w:ind w:left="0" w:right="0" w:hanging="0"/>
        <w:jc w:val="both"/>
        <w:rPr/>
      </w:pPr>
      <w:r>
        <w:rPr/>
        <w:t>​</w:t>
      </w:r>
    </w:p>
    <w:p>
      <w:pPr>
        <w:pStyle w:val="TextBody"/>
        <w:spacing w:before="0" w:after="240"/>
        <w:ind w:left="0" w:right="0" w:hanging="0"/>
        <w:rPr>
          <w:rFonts w:ascii="Times New Roman;Times;serif" w:hAnsi="Times New Roman;Times;serif"/>
          <w:sz w:val="20"/>
        </w:rPr>
      </w:pPr>
      <w:bookmarkStart w:id="941" w:name="Tc_FCnd_-dlIUWFsvmYNfkTiQ_7_2"/>
      <w:bookmarkStart w:id="942" w:name="Tc_o_Nd8NeCsEybjuT5dVE8Ng_7_0"/>
      <w:bookmarkStart w:id="943" w:name="Tc_WYKkuxywREq-A0zjSA_oAQ_6_0"/>
      <w:bookmarkStart w:id="944" w:name="Tc_J72R8IvizUy2A6WvyrwjAQ_5_0"/>
      <w:bookmarkStart w:id="945" w:name="Tc_LCQl7gVUbkS-TdNFGp9wEQ_4_0"/>
      <w:bookmarkStart w:id="946" w:name="Tc_x2b1gdb0m0W6k_MYVLiuzw_3_0"/>
      <w:bookmarkStart w:id="947" w:name="Tc_sjwSVyJsbUaRcC0II7QmZQ_2_0"/>
      <w:bookmarkStart w:id="948" w:name="Tc_q4imWfBfcEWg0vnriNMRIQ_1_2"/>
      <w:bookmarkStart w:id="949" w:name="Tc_RbPpDaeS7U2QTbwS3LvQpA_1_0"/>
      <w:bookmarkStart w:id="950" w:name="Tc_qPWoF_TU2E-X3tyEzHbv5w_11_11"/>
      <w:bookmarkStart w:id="951" w:name="Tc_Fj9I6Jx9DkG3b2TjZVGNGA_11_8"/>
      <w:bookmarkStart w:id="952" w:name="Tc_eAOvD3yLNkikJipo9D1f7g_11_5"/>
      <w:bookmarkStart w:id="953" w:name="Tc_IKDLydxJyEyzeJJpQ8_nAw_11_2"/>
      <w:bookmarkStart w:id="954" w:name="Tc_iUPNwNw5ck6Iw-x7IseJZQ_11_0"/>
      <w:bookmarkStart w:id="955" w:name="Tc_tUNcSWHH30ez_IqinB-mNA_10_0"/>
      <w:bookmarkStart w:id="956" w:name="Tc_iDD_qsgOQ02cEvziUdscyA_9_0"/>
      <w:bookmarkStart w:id="957" w:name="Tc_Gp46NtGG6EOUJ_Q6zJTxmQ_8_0"/>
      <w:bookmarkStart w:id="958" w:name="Tc_rxapURenYkymFs7WQO5pBQ_7_0"/>
      <w:bookmarkStart w:id="959" w:name="Tc_XLHpzhY7bEOKOf26NBFCmw_6_0"/>
      <w:bookmarkStart w:id="960" w:name="Tc_9NL7xCOqgkK3kSLtFml_KQ_5_11"/>
      <w:bookmarkStart w:id="961" w:name="Tc_gmZKFzchH0247FLf7cendg_5_8"/>
      <w:bookmarkStart w:id="962" w:name="Tc_3eRT9A3VLU6SwG1fzSRgcA_5_5"/>
      <w:bookmarkStart w:id="963" w:name="Tc_ePOlG02tW0WojgbmoO3xoQ_5_2"/>
      <w:bookmarkStart w:id="964" w:name="Tc_NVzGPKf310eDWg2Ph5BMCg_5_0"/>
      <w:bookmarkStart w:id="965" w:name="Tc_uVFbczNseUiae-Pwr2NYdQ_4_11"/>
      <w:bookmarkStart w:id="966" w:name="Tc_dHcvh037DUKqTh3bDjgCBQ_4_8"/>
      <w:bookmarkStart w:id="967" w:name="Tc_bIFDMjHqYE2ARhjStzLt_Q_4_5"/>
      <w:bookmarkStart w:id="968" w:name="Tc_DBj8eFWLI0G0FJJT3TNCjA_4_2"/>
      <w:bookmarkStart w:id="969" w:name="Tc_Ez-HrrklFkqKoBsaqLWHlw_3_11"/>
      <w:bookmarkStart w:id="970" w:name="Tc_jRtSc8dB4ESeBSirN8dT1A_3_8"/>
      <w:bookmarkStart w:id="971" w:name="Tc_Tbs_i0WHXUCma6ghQmVtEQ_3_5"/>
      <w:bookmarkStart w:id="972" w:name="Tc_q-DO3kD6TEOK_NNGpRG8pQ_3_2"/>
      <w:bookmarkStart w:id="973" w:name="Tc_W8LKH1MStEWXVTowsieHuA_2_8"/>
      <w:bookmarkStart w:id="974" w:name="Tc_qC_brPqCgEe4o6cifCS5bQ_2_2"/>
      <w:bookmarkStart w:id="975" w:name="Tc_vKOZRGImwEWdsyI8ItkcOA_1_8"/>
      <w:bookmarkStart w:id="976" w:name="Tc_Kpy4yfStj0-XJukBtKprOg_1_2"/>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r>
        <w:rPr>
          <w:rFonts w:ascii="Times New Roman;Times;serif" w:hAnsi="Times New Roman;Times;serif"/>
          <w:b/>
          <w:i w:val="false"/>
          <w:caps w:val="false"/>
          <w:smallCaps w:val="false"/>
          <w:sz w:val="20"/>
        </w:rPr>
        <w:t>9.</w:t>
      </w:r>
      <w:r>
        <w:rPr>
          <w:rFonts w:ascii="Times New Roman;Times;serif" w:hAnsi="Times New Roman;Times;serif"/>
          <w:b/>
          <w:sz w:val="20"/>
        </w:rPr>
        <w:t>Intangible Assets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Intangible assets are recorded at cost less accumulated amortization and impairment losses, if any. Intangible assets acquired in a business combination are measured at fair value at the acquisition date. Amortization of definite life intangibles is provided on a straight-line basis over their estimated useful lives. The estimated useful lives, residual values, and amortization methods are reviewed at each year end, and any changes in estimates are accounted for prospectively. </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As of December 31, 2022 and 2021 were comprised of the following:</w:t>
      </w:r>
    </w:p>
    <w:p>
      <w:pPr>
        <w:pStyle w:val="TextBody"/>
        <w:spacing w:before="0" w:after="0"/>
        <w:ind w:left="0" w:right="0" w:hanging="0"/>
        <w:rPr/>
      </w:pPr>
      <w:r>
        <w:rPr/>
        <w:t>​</w:t>
      </w:r>
    </w:p>
    <w:tbl>
      <w:tblPr>
        <w:tblW w:w="9503" w:type="dxa"/>
        <w:jc w:val="left"/>
        <w:tblInd w:w="0" w:type="dxa"/>
        <w:tblCellMar>
          <w:top w:w="0" w:type="dxa"/>
          <w:left w:w="0" w:type="dxa"/>
          <w:bottom w:w="0" w:type="dxa"/>
          <w:right w:w="0" w:type="dxa"/>
        </w:tblCellMar>
      </w:tblPr>
      <w:tblGrid>
        <w:gridCol w:w="2821"/>
        <w:gridCol w:w="326"/>
        <w:gridCol w:w="211"/>
        <w:gridCol w:w="1141"/>
        <w:gridCol w:w="326"/>
        <w:gridCol w:w="211"/>
        <w:gridCol w:w="1156"/>
        <w:gridCol w:w="326"/>
        <w:gridCol w:w="211"/>
        <w:gridCol w:w="1141"/>
        <w:gridCol w:w="326"/>
        <w:gridCol w:w="211"/>
        <w:gridCol w:w="1096"/>
      </w:tblGrid>
      <w:tr>
        <w:trPr/>
        <w:tc>
          <w:tcPr>
            <w:tcW w:w="28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791335" cy="175260"/>
                      <wp:effectExtent l="0" t="0" r="0" b="0"/>
                      <wp:wrapNone/>
                      <wp:docPr id="152" name="Frame152"/>
                      <a:graphic xmlns:a="http://schemas.openxmlformats.org/drawingml/2006/main">
                        <a:graphicData uri="http://schemas.microsoft.com/office/word/2010/wordprocessingShape">
                          <wps:wsp>
                            <wps:cNvSpPr txBox="1"/>
                            <wps:spPr>
                              <a:xfrm>
                                <a:off x="0" y="0"/>
                                <a:ext cx="1791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07010" cy="175260"/>
                      <wp:effectExtent l="0" t="0" r="0" b="0"/>
                      <wp:wrapNone/>
                      <wp:docPr id="153" name="Frame1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33985" cy="175260"/>
                      <wp:effectExtent l="0" t="0" r="0" b="0"/>
                      <wp:wrapNone/>
                      <wp:docPr id="154" name="Frame15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724535" cy="175260"/>
                      <wp:effectExtent l="0" t="0" r="0" b="0"/>
                      <wp:wrapNone/>
                      <wp:docPr id="155" name="Frame155"/>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07010" cy="175260"/>
                      <wp:effectExtent l="0" t="0" r="0" b="0"/>
                      <wp:wrapNone/>
                      <wp:docPr id="156" name="Frame15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33985" cy="175260"/>
                      <wp:effectExtent l="0" t="0" r="0" b="0"/>
                      <wp:wrapNone/>
                      <wp:docPr id="157" name="Frame15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734060" cy="175260"/>
                      <wp:effectExtent l="0" t="0" r="0" b="0"/>
                      <wp:wrapNone/>
                      <wp:docPr id="158" name="Frame158"/>
                      <a:graphic xmlns:a="http://schemas.openxmlformats.org/drawingml/2006/main">
                        <a:graphicData uri="http://schemas.microsoft.com/office/word/2010/wordprocessingShape">
                          <wps:wsp>
                            <wps:cNvSpPr txBox="1"/>
                            <wps:spPr>
                              <a:xfrm>
                                <a:off x="0" y="0"/>
                                <a:ext cx="734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7010" cy="175260"/>
                      <wp:effectExtent l="0" t="0" r="0" b="0"/>
                      <wp:wrapNone/>
                      <wp:docPr id="159" name="Frame15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33985" cy="175260"/>
                      <wp:effectExtent l="0" t="0" r="0" b="0"/>
                      <wp:wrapNone/>
                      <wp:docPr id="160" name="Frame16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724535" cy="175260"/>
                      <wp:effectExtent l="0" t="0" r="0" b="0"/>
                      <wp:wrapNone/>
                      <wp:docPr id="161" name="Frame161"/>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162" name="Frame16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33985" cy="175260"/>
                      <wp:effectExtent l="0" t="0" r="0" b="0"/>
                      <wp:wrapNone/>
                      <wp:docPr id="163" name="Frame16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95960" cy="175260"/>
                      <wp:effectExtent l="0" t="0" r="0" b="0"/>
                      <wp:wrapNone/>
                      <wp:docPr id="164" name="Frame164"/>
                      <a:graphic xmlns:a="http://schemas.openxmlformats.org/drawingml/2006/main">
                        <a:graphicData uri="http://schemas.microsoft.com/office/word/2010/wordprocessingShape">
                          <wps:wsp>
                            <wps:cNvSpPr txBox="1"/>
                            <wps:spPr>
                              <a:xfrm>
                                <a:off x="0" y="0"/>
                                <a:ext cx="695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8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04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c>
          <w:tcPr>
            <w:tcW w:w="326" w:type="dxa"/>
            <w:tcBorders/>
            <w:shd w:fill="auto" w:val="clear"/>
            <w:vAlign w:val="center"/>
          </w:tcPr>
          <w:p>
            <w:pPr>
              <w:pStyle w:val="TableContents"/>
              <w:spacing w:before="0" w:after="0"/>
              <w:ind w:left="0" w:right="0" w:hanging="0"/>
              <w:rPr/>
            </w:pPr>
            <w:r>
              <w:rPr/>
              <w:t>​</w:t>
            </w:r>
          </w:p>
        </w:tc>
        <w:tc>
          <w:tcPr>
            <w:tcW w:w="298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2021</w:t>
            </w:r>
          </w:p>
        </w:tc>
      </w:tr>
      <w:tr>
        <w:trPr/>
        <w:tc>
          <w:tcPr>
            <w:tcW w:w="28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35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15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35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96" w:type="dxa"/>
            <w:tcBorders/>
            <w:shd w:fill="auto" w:val="clear"/>
            <w:vAlign w:val="center"/>
          </w:tcPr>
          <w:p>
            <w:pPr>
              <w:pStyle w:val="TableContents"/>
              <w:spacing w:before="0" w:after="0"/>
              <w:ind w:left="0" w:right="0" w:hanging="0"/>
              <w:jc w:val="center"/>
              <w:rPr/>
            </w:pPr>
            <w:r>
              <w:rPr/>
              <w:t>​</w:t>
            </w:r>
          </w:p>
        </w:tc>
      </w:tr>
      <w:tr>
        <w:trPr/>
        <w:tc>
          <w:tcPr>
            <w:tcW w:w="28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35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26" w:type="dxa"/>
            <w:tcBorders/>
            <w:shd w:fill="auto" w:val="clear"/>
            <w:vAlign w:val="center"/>
          </w:tcPr>
          <w:p>
            <w:pPr>
              <w:pStyle w:val="TableContents"/>
              <w:spacing w:before="0" w:after="0"/>
              <w:ind w:left="0" w:right="0" w:hanging="0"/>
              <w:rPr/>
            </w:pPr>
            <w:r>
              <w:rPr/>
              <w:t>​</w:t>
            </w:r>
          </w:p>
        </w:tc>
        <w:tc>
          <w:tcPr>
            <w:tcW w:w="136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shd w:fill="auto" w:val="clear"/>
            <w:vAlign w:val="center"/>
          </w:tcPr>
          <w:p>
            <w:pPr>
              <w:pStyle w:val="TableContents"/>
              <w:spacing w:before="0" w:after="0"/>
              <w:ind w:left="0" w:right="0" w:hanging="0"/>
              <w:rPr/>
            </w:pPr>
            <w:r>
              <w:rPr/>
              <w:t>​</w:t>
            </w:r>
          </w:p>
        </w:tc>
        <w:tc>
          <w:tcPr>
            <w:tcW w:w="135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26" w:type="dxa"/>
            <w:tcBorders/>
            <w:shd w:fill="auto" w:val="clear"/>
            <w:vAlign w:val="center"/>
          </w:tcPr>
          <w:p>
            <w:pPr>
              <w:pStyle w:val="TableContents"/>
              <w:spacing w:before="0" w:after="0"/>
              <w:ind w:left="0" w:right="0" w:hanging="0"/>
              <w:rPr/>
            </w:pPr>
            <w:r>
              <w:rPr/>
              <w:t>​</w:t>
            </w:r>
          </w:p>
        </w:tc>
        <w:tc>
          <w:tcPr>
            <w:tcW w:w="130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r>
      <w:tr>
        <w:trPr/>
        <w:tc>
          <w:tcPr>
            <w:tcW w:w="28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3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0"/>
              <w:ind w:left="0" w:right="0" w:hanging="0"/>
              <w:rPr/>
            </w:pPr>
            <w:r>
              <w:rPr/>
              <w:t>    </w:t>
            </w:r>
          </w:p>
        </w:tc>
        <w:tc>
          <w:tcPr>
            <w:tcW w:w="136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shd w:fill="auto" w:val="clear"/>
            <w:vAlign w:val="center"/>
          </w:tcPr>
          <w:p>
            <w:pPr>
              <w:pStyle w:val="TableContents"/>
              <w:spacing w:before="0" w:after="0"/>
              <w:ind w:left="0" w:right="0" w:hanging="0"/>
              <w:rPr/>
            </w:pPr>
            <w:r>
              <w:rPr/>
              <w:t>    </w:t>
            </w:r>
          </w:p>
        </w:tc>
        <w:tc>
          <w:tcPr>
            <w:tcW w:w="13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0"/>
              <w:ind w:left="0" w:right="0" w:hanging="0"/>
              <w:rPr/>
            </w:pPr>
            <w:r>
              <w:rPr/>
              <w:t>    </w:t>
            </w:r>
          </w:p>
        </w:tc>
        <w:tc>
          <w:tcPr>
            <w:tcW w:w="13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r>
      <w:tr>
        <w:trPr/>
        <w:tc>
          <w:tcPr>
            <w:tcW w:w="28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License Agreements</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111,491,280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(12,154,237)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94,230,280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(5,496,902)</w:t>
            </w:r>
          </w:p>
        </w:tc>
      </w:tr>
      <w:tr>
        <w:trPr/>
        <w:tc>
          <w:tcPr>
            <w:tcW w:w="28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Tradename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6,021,500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(1,862,242)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4,560,000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(845,667)</w:t>
            </w:r>
          </w:p>
        </w:tc>
      </w:tr>
      <w:tr>
        <w:trPr/>
        <w:tc>
          <w:tcPr>
            <w:tcW w:w="28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Customer Relationships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5,150,000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(1,474,405)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5,150,000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(933,690)</w:t>
            </w:r>
          </w:p>
        </w:tc>
      </w:tr>
      <w:tr>
        <w:trPr/>
        <w:tc>
          <w:tcPr>
            <w:tcW w:w="28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Non-compete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1,265,000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(765,556)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1,205,000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(348,056)</w:t>
            </w:r>
          </w:p>
        </w:tc>
      </w:tr>
      <w:tr>
        <w:trPr/>
        <w:tc>
          <w:tcPr>
            <w:tcW w:w="28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Product License and Registration</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57,300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(21,783)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57,300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(17,963)</w:t>
            </w:r>
          </w:p>
        </w:tc>
      </w:tr>
      <w:tr>
        <w:trPr/>
        <w:tc>
          <w:tcPr>
            <w:tcW w:w="28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Trade Secret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32,500</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5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(12,639)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32,500</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(10,472)</w:t>
            </w:r>
          </w:p>
        </w:tc>
      </w:tr>
      <w:tr>
        <w:trPr/>
        <w:tc>
          <w:tcPr>
            <w:tcW w:w="28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124,017,580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(16,290,862)</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105,235,080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(7,652,750)</w:t>
            </w:r>
          </w:p>
        </w:tc>
      </w:tr>
    </w:tbl>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Amortization expense for years ended December 31, 2022 and 2021 was $8,638,112 and $7,452,294, respectively.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performed its annual impairment assessment and recognized an impairment on intangible assets of $875,400 for the year ended December 31, 2022, associated with intangibles for a reporting unit that has ceased operations and is presented under loss on business disposition in the accompanying consolidated statements of comprehensive income. No such impairment charges were recorded for the year ended December 31, 2021.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presents the Company’s future projected annual amortization expense as of December 31, 2022:</w:t>
      </w:r>
    </w:p>
    <w:p>
      <w:pPr>
        <w:pStyle w:val="TextBody"/>
        <w:spacing w:before="0" w:after="0"/>
        <w:ind w:left="0" w:right="0" w:hanging="0"/>
        <w:rPr/>
      </w:pPr>
      <w:r>
        <w:rPr/>
        <w:t>​</w:t>
      </w:r>
    </w:p>
    <w:tbl>
      <w:tblPr>
        <w:tblW w:w="2520" w:type="dxa"/>
        <w:jc w:val="left"/>
        <w:tblInd w:w="0" w:type="dxa"/>
        <w:tblCellMar>
          <w:top w:w="0" w:type="dxa"/>
          <w:left w:w="0" w:type="dxa"/>
          <w:bottom w:w="0" w:type="dxa"/>
          <w:right w:w="0" w:type="dxa"/>
        </w:tblCellMar>
      </w:tblPr>
      <w:tblGrid>
        <w:gridCol w:w="946"/>
        <w:gridCol w:w="109"/>
        <w:gridCol w:w="211"/>
        <w:gridCol w:w="1254"/>
      </w:tblGrid>
      <w:tr>
        <w:trPr/>
        <w:tc>
          <w:tcPr>
            <w:tcW w:w="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00710" cy="175260"/>
                      <wp:effectExtent l="0" t="0" r="0" b="0"/>
                      <wp:wrapNone/>
                      <wp:docPr id="165" name="Frame165"/>
                      <a:graphic xmlns:a="http://schemas.openxmlformats.org/drawingml/2006/main">
                        <a:graphicData uri="http://schemas.microsoft.com/office/word/2010/wordprocessingShape">
                          <wps:wsp>
                            <wps:cNvSpPr txBox="1"/>
                            <wps:spPr>
                              <a:xfrm>
                                <a:off x="0" y="0"/>
                                <a:ext cx="600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9215" cy="175260"/>
                      <wp:effectExtent l="0" t="0" r="0" b="0"/>
                      <wp:wrapNone/>
                      <wp:docPr id="166" name="Frame16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33985" cy="175260"/>
                      <wp:effectExtent l="0" t="0" r="0" b="0"/>
                      <wp:wrapNone/>
                      <wp:docPr id="167" name="Frame16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796290" cy="175260"/>
                      <wp:effectExtent l="0" t="0" r="0" b="0"/>
                      <wp:wrapNone/>
                      <wp:docPr id="168" name="Frame168"/>
                      <a:graphic xmlns:a="http://schemas.openxmlformats.org/drawingml/2006/main">
                        <a:graphicData uri="http://schemas.microsoft.com/office/word/2010/wordprocessingShape">
                          <wps:wsp>
                            <wps:cNvSpPr txBox="1"/>
                            <wps:spPr>
                              <a:xfrm>
                                <a:off x="0" y="0"/>
                                <a:ext cx="7962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9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2023</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25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9,842,054</w:t>
            </w:r>
          </w:p>
        </w:tc>
      </w:tr>
      <w:tr>
        <w:trPr/>
        <w:tc>
          <w:tcPr>
            <w:tcW w:w="9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2024</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25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9,520,667</w:t>
            </w:r>
          </w:p>
        </w:tc>
      </w:tr>
      <w:tr>
        <w:trPr/>
        <w:tc>
          <w:tcPr>
            <w:tcW w:w="9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2025</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25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9,412,888</w:t>
            </w:r>
          </w:p>
        </w:tc>
      </w:tr>
      <w:tr>
        <w:trPr/>
        <w:tc>
          <w:tcPr>
            <w:tcW w:w="9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2026</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25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8,638,056</w:t>
            </w:r>
          </w:p>
        </w:tc>
      </w:tr>
      <w:tr>
        <w:trPr/>
        <w:tc>
          <w:tcPr>
            <w:tcW w:w="9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2027</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25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8,330,329</w:t>
            </w:r>
          </w:p>
        </w:tc>
      </w:tr>
      <w:tr>
        <w:trPr/>
        <w:tc>
          <w:tcPr>
            <w:tcW w:w="9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Thereafter</w:t>
            </w:r>
          </w:p>
        </w:tc>
        <w:tc>
          <w:tcPr>
            <w:tcW w:w="109"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25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61,982,724</w:t>
            </w:r>
          </w:p>
        </w:tc>
      </w:tr>
      <w:tr>
        <w:trPr/>
        <w:tc>
          <w:tcPr>
            <w:tcW w:w="9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109"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254" w:type="dxa"/>
            <w:tcBorders>
              <w:bottom w:val="double" w:sz="6" w:space="0" w:color="000000"/>
            </w:tcBorders>
            <w:shd w:fill="auto" w:val="clear"/>
            <w:tcMar>
              <w:bottom w:w="28" w:type="dxa"/>
            </w:tcMar>
            <w:vAlign w:val="center"/>
          </w:tcPr>
          <w:p>
            <w:pPr>
              <w:pStyle w:val="TableContents"/>
              <w:spacing w:before="0" w:after="1"/>
              <w:ind w:left="0" w:right="68" w:hanging="0"/>
              <w:jc w:val="right"/>
              <w:rPr>
                <w:rFonts w:ascii="Times New Roman;Times;serif" w:hAnsi="Times New Roman;Times;serif"/>
                <w:sz w:val="20"/>
              </w:rPr>
            </w:pPr>
            <w:r>
              <w:rPr>
                <w:rFonts w:ascii="Times New Roman;Times;serif" w:hAnsi="Times New Roman;Times;serif"/>
                <w:sz w:val="20"/>
              </w:rPr>
              <w:t>107,726,718</w:t>
            </w:r>
          </w:p>
        </w:tc>
      </w:tr>
    </w:tbl>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pPr>
      <w:r>
        <w:rPr/>
        <w:t>​</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977" w:name="Tc_eo_uki10Y0GAvd-2DcNaFw_5_2"/>
      <w:bookmarkStart w:id="978" w:name="Tc_yH3NISnkXkyrjvPksn7Bng_5_0"/>
      <w:bookmarkStart w:id="979" w:name="Tc_WwveSlc6AE-rkQ0n_d6CPw_1_2"/>
      <w:bookmarkStart w:id="980" w:name="Tc_cMnX2-HYFUmJe813o7GOSQ_1_0"/>
      <w:bookmarkEnd w:id="977"/>
      <w:bookmarkEnd w:id="978"/>
      <w:bookmarkEnd w:id="979"/>
      <w:bookmarkEnd w:id="980"/>
      <w:r>
        <w:rPr>
          <w:rFonts w:ascii="Times New Roman;Times;serif" w:hAnsi="Times New Roman;Times;serif"/>
          <w:b w:val="false"/>
          <w:i w:val="false"/>
          <w:caps w:val="false"/>
          <w:smallCaps w:val="false"/>
          <w:sz w:val="20"/>
        </w:rPr>
        <w:t>10</w:t>
      </w:r>
      <w:r>
        <w:rPr>
          <w:rFonts w:ascii="Times New Roman;Times;serif" w:hAnsi="Times New Roman;Times;serif"/>
          <w:b/>
          <w:i w:val="false"/>
          <w:caps w:val="false"/>
          <w:smallCaps w:val="false"/>
          <w:sz w:val="20"/>
        </w:rPr>
        <w:t>.</w:t>
      </w:r>
      <w:r>
        <w:rPr>
          <w:rFonts w:ascii="Times New Roman;Times;serif" w:hAnsi="Times New Roman;Times;serif"/>
          <w:b/>
          <w:sz w:val="20"/>
        </w:rPr>
        <w:t>Derivative Liabilities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Employee Common Stock</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During the year ended December 31, 2019, the Company entered into employment agreements with certain key officers that contained contingent consideration provisions based upon the achievement of certain market condition milestones. The Company determined that each of these vesting conditions represented derivative instruments.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January 8, 2019, the Company granted the right to receive 500,000 shares of restricted Common Stock to an officer, which was set to vest when the Company’s stock price appreciated to $8.00 per share with defined minimum average daily trading volume thresholds. This right expired on January 8, 2022.</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April 23, 2019, the Company granted the right to receive 1,000,000 shares of restricted Common Stock to an officer, which was set to vest when the Company’s stock price appreciated to $8.00 per share with defined minimum average daily trading volume thresholds. On February 25, 2020, the officer resigned from his remaining positions with the Company and forfeited his right to the contingent consideration. As a result, the Company recorded a gain of $1,462,636 as a component of other income (expense), net on its financial statements for the fiscal year ended December 31, 2020.</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June 11, 2019, the Company granted the right to receive 1,000,000 shares of restricted Common Stock to an officer, which was set to vest when the Company’s stock price appreciated to $8.00 per share with defined minimum average daily trading volume thresholds. This right expired January 8, 2022.</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accounts for derivative instruments in accordance with the GAAP accounting guidance under ASC 815 </w:t>
      </w:r>
      <w:r>
        <w:rPr>
          <w:rFonts w:ascii="Times New Roman;Times;serif" w:hAnsi="Times New Roman;Times;serif"/>
          <w:i/>
          <w:sz w:val="20"/>
        </w:rPr>
        <w:t>Derivatives and Hedging Activities</w:t>
      </w:r>
      <w:r>
        <w:rPr>
          <w:rFonts w:ascii="Times New Roman;Times;serif" w:hAnsi="Times New Roman;Times;serif"/>
          <w:sz w:val="20"/>
        </w:rPr>
        <w:t>. The Company estimated the fair value of these derivatives at the respective balance sheet dates using the Black-Scholes option pricing model based upon the following inputs: (i) stock price on the date of grant ranging between $1.32 - $3.75, (ii) the contractual term of the derivative instrument ranging between 2.25 - 3 years, (iii) a risk-free interest rate of 4.28% and (iv) an expected volatility of the price of the underlying Common Stock  145%.</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fair value of these derivative liabilities was $0 as of December 31, 2022 and December 31, 2021, respectively as the these rights expired on January 8, 2022. </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Investor Note</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issued Investor Notes in an aggregate principal amount of $95,000,000 on December 7, 2021. A reconciliation of the beginning and ending balances of the derivative liabilities for the periods ended December 31, 2022 were as follows: </w:t>
      </w:r>
    </w:p>
    <w:p>
      <w:pPr>
        <w:pStyle w:val="TextBody"/>
        <w:spacing w:before="0" w:after="240"/>
        <w:ind w:left="0" w:right="0" w:hanging="0"/>
        <w:jc w:val="both"/>
        <w:rPr>
          <w:color w:val="FF0000"/>
        </w:rPr>
      </w:pPr>
      <w:r>
        <w:rPr>
          <w:color w:val="FF0000"/>
        </w:rPr>
        <w:t>​</w:t>
      </w:r>
    </w:p>
    <w:tbl>
      <w:tblPr>
        <w:tblW w:w="4649" w:type="dxa"/>
        <w:jc w:val="left"/>
        <w:tblInd w:w="0" w:type="dxa"/>
        <w:tblCellMar>
          <w:top w:w="0" w:type="dxa"/>
          <w:left w:w="0" w:type="dxa"/>
          <w:bottom w:w="0" w:type="dxa"/>
          <w:right w:w="0" w:type="dxa"/>
        </w:tblCellMar>
      </w:tblPr>
      <w:tblGrid>
        <w:gridCol w:w="2911"/>
        <w:gridCol w:w="326"/>
        <w:gridCol w:w="211"/>
        <w:gridCol w:w="1201"/>
      </w:tblGrid>
      <w:tr>
        <w:trPr/>
        <w:tc>
          <w:tcPr>
            <w:tcW w:w="29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848485" cy="175260"/>
                      <wp:effectExtent l="0" t="0" r="0" b="0"/>
                      <wp:wrapNone/>
                      <wp:docPr id="169" name="Frame169"/>
                      <a:graphic xmlns:a="http://schemas.openxmlformats.org/drawingml/2006/main">
                        <a:graphicData uri="http://schemas.microsoft.com/office/word/2010/wordprocessingShape">
                          <wps:wsp>
                            <wps:cNvSpPr txBox="1"/>
                            <wps:spPr>
                              <a:xfrm>
                                <a:off x="0" y="0"/>
                                <a:ext cx="1848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07010" cy="175260"/>
                      <wp:effectExtent l="0" t="0" r="0" b="0"/>
                      <wp:wrapNone/>
                      <wp:docPr id="170" name="Frame17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33985" cy="175260"/>
                      <wp:effectExtent l="0" t="0" r="0" b="0"/>
                      <wp:wrapNone/>
                      <wp:docPr id="171" name="Frame17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762635" cy="175260"/>
                      <wp:effectExtent l="0" t="0" r="0" b="0"/>
                      <wp:wrapNone/>
                      <wp:docPr id="172" name="Frame172"/>
                      <a:graphic xmlns:a="http://schemas.openxmlformats.org/drawingml/2006/main">
                        <a:graphicData uri="http://schemas.microsoft.com/office/word/2010/wordprocessingShape">
                          <wps:wsp>
                            <wps:cNvSpPr txBox="1"/>
                            <wps:spPr>
                              <a:xfrm>
                                <a:off x="0" y="0"/>
                                <a:ext cx="7626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91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Balance as of January 1, 2022</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1201"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34,923,013</w:t>
            </w:r>
          </w:p>
        </w:tc>
      </w:tr>
      <w:tr>
        <w:trPr/>
        <w:tc>
          <w:tcPr>
            <w:tcW w:w="29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201" w:type="dxa"/>
            <w:tcBorders/>
            <w:shd w:fill="auto" w:val="clear"/>
            <w:vAlign w:val="center"/>
          </w:tcPr>
          <w:p>
            <w:pPr>
              <w:pStyle w:val="TableContents"/>
              <w:spacing w:before="0" w:after="1"/>
              <w:ind w:left="0" w:right="0" w:hanging="0"/>
              <w:rPr/>
            </w:pPr>
            <w:r>
              <w:rPr/>
              <w:t>​</w:t>
            </w:r>
          </w:p>
        </w:tc>
      </w:tr>
      <w:tr>
        <w:trPr/>
        <w:tc>
          <w:tcPr>
            <w:tcW w:w="2911" w:type="dxa"/>
            <w:tcBorders/>
            <w:shd w:fill="CCEEFF" w:val="clear"/>
            <w:vAlign w:val="center"/>
          </w:tcPr>
          <w:p>
            <w:pPr>
              <w:pStyle w:val="TableContents"/>
              <w:spacing w:before="0" w:after="1"/>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derivative liability</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2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(18,414,760)</w:t>
            </w:r>
          </w:p>
        </w:tc>
      </w:tr>
      <w:tr>
        <w:trPr/>
        <w:tc>
          <w:tcPr>
            <w:tcW w:w="29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20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r>
      <w:tr>
        <w:trPr/>
        <w:tc>
          <w:tcPr>
            <w:tcW w:w="291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Balance as of December 31, 2022</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w:t>
            </w:r>
          </w:p>
        </w:tc>
        <w:tc>
          <w:tcPr>
            <w:tcW w:w="1201" w:type="dxa"/>
            <w:tcBorders>
              <w:bottom w:val="double" w:sz="6" w:space="0" w:color="000000"/>
            </w:tcBorders>
            <w:shd w:fill="auto" w:val="clear"/>
            <w:tcMar>
              <w:bottom w:w="28" w:type="dxa"/>
            </w:tcMar>
            <w:vAlign w:val="center"/>
          </w:tcPr>
          <w:p>
            <w:pPr>
              <w:pStyle w:val="TableContents"/>
              <w:spacing w:before="0" w:after="1"/>
              <w:ind w:left="0" w:right="68" w:hanging="0"/>
              <w:jc w:val="right"/>
              <w:rPr>
                <w:rFonts w:ascii="Times New Roman;Times;serif" w:hAnsi="Times New Roman;Times;serif"/>
                <w:b/>
                <w:sz w:val="20"/>
              </w:rPr>
            </w:pPr>
            <w:r>
              <w:rPr>
                <w:rFonts w:ascii="Times New Roman;Times;serif" w:hAnsi="Times New Roman;Times;serif"/>
                <w:b/>
                <w:sz w:val="20"/>
              </w:rPr>
              <w:t>16,508,253</w:t>
            </w:r>
          </w:p>
        </w:tc>
      </w:tr>
    </w:tbl>
    <w:p>
      <w:pPr>
        <w:pStyle w:val="TextBody"/>
        <w:spacing w:before="0" w:after="240"/>
        <w:ind w:left="0" w:right="0" w:hanging="0"/>
        <w:jc w:val="both"/>
        <w:rPr>
          <w:color w:val="FF0000"/>
        </w:rPr>
      </w:pPr>
      <w:r>
        <w:rPr>
          <w:color w:val="FF0000"/>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accounts for derivative instruments in accordance with the GAAP accounting guidance under ASC 815 </w:t>
      </w:r>
      <w:r>
        <w:rPr>
          <w:rFonts w:ascii="Times New Roman;Times;serif" w:hAnsi="Times New Roman;Times;serif"/>
          <w:i/>
          <w:sz w:val="20"/>
        </w:rPr>
        <w:t>Derivatives and Hedging Activities</w:t>
      </w:r>
      <w:r>
        <w:rPr>
          <w:rFonts w:ascii="Times New Roman;Times;serif" w:hAnsi="Times New Roman;Times;serif"/>
          <w:sz w:val="20"/>
        </w:rPr>
        <w:t xml:space="preserve">. In accordance with GAAP, a contract to issue a variable number of equity shares fails to meet the definition of equity and must instead be classified as a derivative liability and measured at fair value with changes in fair value recognized in the consolidated statements of operations at each period-end. The Company utilizes a Monte Carlo simulation in determining the appropriate fair value. The derivative liability will ultimately be converted into the Company’s equity when the Investor Notes are converted or will be extinguished on the repayment of the Investor Notes. The derivative liability will not result in the outlay of any additional cash by the Company. Upon initial recognition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2021, the Company recorded a derivative liability and debt discount of $48,936,674 in relation to the derivative liability portion of the Investor Notes. The fair value of these derivative liabilities is $16,508,253 and $34,923,013 as of December 31, 2022 and December 31, 2021, respectively.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change in the fair value of derivative liabilities is $18,414,760 and $14,013,661 for the year ended December 31, 2022 and December 31, 2021, respectively. The Company recorded $7,484,613 and $458,885 in amortization related to the debt discount for the year ended December 31, 2022 and 2021, respectively. </w:t>
      </w:r>
    </w:p>
    <w:p>
      <w:pPr>
        <w:pStyle w:val="TextBody"/>
        <w:spacing w:before="0" w:after="0"/>
        <w:ind w:left="0" w:right="0" w:hanging="0"/>
        <w:rPr/>
      </w:pPr>
      <w:r>
        <w:rPr/>
        <w:t>​</w:t>
      </w:r>
    </w:p>
    <w:p>
      <w:pPr>
        <w:pStyle w:val="TextBody"/>
        <w:spacing w:before="0" w:after="240"/>
        <w:ind w:left="0" w:right="0" w:hanging="0"/>
        <w:jc w:val="both"/>
        <w:rPr/>
      </w:pPr>
      <w:r>
        <w:rPr/>
        <w:t>​</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11.</w:t>
      </w:r>
      <w:r>
        <w:rPr>
          <w:rFonts w:ascii="Times New Roman;Times;serif" w:hAnsi="Times New Roman;Times;serif"/>
          <w:b/>
          <w:sz w:val="20"/>
        </w:rPr>
        <w:t>Debt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i/>
          <w:sz w:val="20"/>
        </w:rPr>
        <w:t>Term Loan</w:t>
      </w:r>
      <w:r>
        <w:rPr>
          <w:rFonts w:ascii="Times New Roman;Times;serif" w:hAnsi="Times New Roman;Times;serif"/>
          <w:sz w:val="20"/>
        </w:rPr>
        <w:t> — On February 26, 2021, the Company entered into a Loan Agreement with SHWZ Altmore, LLC, as lender, and GGG Partners LLC, as collateral agent. Upon execution of the Loan Agreement, the Company received $10,000,000 of loan proceeds. In connection with the Company’s acquisition of Southern Colorado Growers, the Company received an additional $5,000,000 of loan proceeds under the Loan Agreement. The term loan incurs 15% interest per annum, payable quarterly on March 1, June 1, September 1, and December 1 of each year. The Company will be required to make principal payments beginning on June 1, 2023 in the amount of $750,000, payable quarterly with the remainder of the principal due upon maturity on February 26, 2025.</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Under the terms of the loan, the Company must comply with certain restrictions. These include customary events of default and various financial covenants including, maintaining (i) a consolidated fixed charge coverage ratio of at least 1.3 at the end of each fiscal quarter beginning in the first quarter of 2022, and (ii) a minimum of $3,000,000 in a deposit account in which the lender has a security interest. As of December 31, 2022, the Company was in compliance with the requirements described above.</w:t>
      </w:r>
    </w:p>
    <w:p>
      <w:pPr>
        <w:pStyle w:val="TextBody"/>
        <w:spacing w:lineRule="auto" w:line="240" w:before="0" w:after="240"/>
        <w:ind w:left="0" w:right="0" w:hanging="0"/>
        <w:jc w:val="both"/>
        <w:rPr>
          <w:rFonts w:ascii="Times New Roman;Times;serif" w:hAnsi="Times New Roman;Times;serif"/>
          <w:sz w:val="20"/>
        </w:rPr>
      </w:pPr>
      <w:r>
        <w:rPr>
          <w:rFonts w:ascii="Times New Roman;Times;serif" w:hAnsi="Times New Roman;Times;serif"/>
          <w:i/>
          <w:sz w:val="20"/>
        </w:rPr>
        <w:t>Seller Notes </w:t>
      </w:r>
      <w:r>
        <w:rPr>
          <w:rFonts w:ascii="Times New Roman;Times;serif" w:hAnsi="Times New Roman;Times;serif"/>
          <w:sz w:val="20"/>
        </w:rPr>
        <w:t>— As part of the acquisition of the Star Buds assets, the Company entered into a deferred payment arrangement with the sellers in an aggregate amount of $44,250,000. The deferred payment arrangement incurs 12% interest per annum, payable on the 1</w:t>
      </w:r>
      <w:r>
        <w:rPr>
          <w:rFonts w:ascii="Times New Roman;Times;serif" w:hAnsi="Times New Roman;Times;serif"/>
          <w:sz w:val="15"/>
        </w:rPr>
        <w:t>st</w:t>
      </w:r>
      <w:r>
        <w:rPr>
          <w:rFonts w:ascii="Times New Roman;Times;serif" w:hAnsi="Times New Roman;Times;serif"/>
          <w:sz w:val="20"/>
        </w:rPr>
        <w:t xml:space="preserve"> of every month through November 2025. Principal payments are due as follows: $13,901,759 on December 17, 2025, $3,474,519 on February 3, 2026, and $26,873,722 on March 2, 2026.</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i/>
          <w:sz w:val="20"/>
        </w:rPr>
        <w:t>Investor Notes –</w:t>
      </w:r>
      <w:r>
        <w:rPr>
          <w:rFonts w:ascii="Times New Roman;Times;serif" w:hAnsi="Times New Roman;Times;serif"/>
          <w:sz w:val="20"/>
        </w:rPr>
        <w:t xml:space="preserve"> On December 3, 2021, the Company and the Subsidiary Guarantors entered into a Securities Purchase Agreement with 31 accredited investors pursuant to which the Company agreed to issue and sell to the investors 13% senior secured convertible notes due December 7, 2026 in an aggregate principal amount of $95,000,000 for an aggregate purchase price of $93,100,000 (reflecting an original issue discount of $1,900,000, or 2%) in the private placement. On December 7, 2021, the Company consummated the private placement and issued and sold the Investor Notes. The Company received net proceeds of approximately $92,000,000 at the closing, after deducting a commission to the placement agent and estimated offering expenses associated with the private placement payable by the Company.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Investor Notes were issued pursuant to an Indenture, dated December 7, 2021, among the Company, the Subsidiary Guarantors, Ankura Trust Company, LLC, as trustee, and Chicago Atlantic Admin, LLC, as collateral agent for the Investor Note holders. The Investor Notes will mature five years after issuance unless earlier repurchased, redeemed, or converted. The Investor Notes bear interest at 13% per year paid quarterly commencing March 31, 2022 in cash for an amount equal to the amount payable on such date as if the Investor Notes were subject to an annual interest rate of 9%, with the remainder of the accrued interest payable as an increase to the principal amount of the Investor Notes. The proceeds from the Investor Notes are required to be used to fund previously identified acquisitions and other growth initiatives. The principal is due December 7, 2026.</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i/>
          <w:sz w:val="20"/>
        </w:rPr>
        <w:t>Nuevo Note Payable</w:t>
      </w:r>
      <w:r>
        <w:rPr>
          <w:rFonts w:ascii="Times New Roman;Times;serif" w:hAnsi="Times New Roman;Times;serif"/>
          <w:sz w:val="20"/>
        </w:rPr>
        <w:t xml:space="preserve"> - </w:t>
      </w:r>
      <w:r>
        <w:rPr>
          <w:rFonts w:ascii="Times New Roman;Times;serif" w:hAnsi="Times New Roman;Times;serif"/>
          <w:sz w:val="20"/>
          <w:highlight w:val="white"/>
        </w:rPr>
        <w:t>As part of the acquisition under the Nuevo Purchase Agreement, the company entered into a deferred payment arrangement with the sellers requiring the Company to make payments on an aggregate amount of $17,000,000. The deferred payment arrangement incurs 5% interest per year, payable on the first of each month. The principal is due February 7, 2025.</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bookmarkStart w:id="981" w:name="Tc_m5lKEr15lEqIQAyNEINGGQ_10_11"/>
      <w:bookmarkStart w:id="982" w:name="Tc_TtQGUFSfEUKe8hQmm0LSHA_10_8"/>
      <w:bookmarkStart w:id="983" w:name="Tc_c3EYwg_8iU6-j2eotvQbMg_10_5"/>
      <w:bookmarkStart w:id="984" w:name="Tc_2-IjDthKDUOwY-NjTkaLSg_10_2"/>
      <w:bookmarkStart w:id="985" w:name="Tc_j_mT6ZqiGU-E4Ja0CEMMAQ_10_0"/>
      <w:bookmarkStart w:id="986" w:name="Tc_NkFKbud160-EIdb3Wq2MnQ_8_12"/>
      <w:bookmarkStart w:id="987" w:name="Tc_rQCCZ6DRU02vs66Icl_OaQ_8_9"/>
      <w:bookmarkStart w:id="988" w:name="Tc_zOzHKShPYE-rMpL09aFyCQ_8_6"/>
      <w:bookmarkStart w:id="989" w:name="Tc_f9qfUMvAIEy_-vnGNrBybg_8_3"/>
      <w:bookmarkStart w:id="990" w:name="Tc_A97h_fe6s0evOmgY5FZn6Q_8_0"/>
      <w:bookmarkStart w:id="991" w:name="Tc_E8XxMZLxoEuji3JZ7TzUEg_7_0"/>
      <w:bookmarkStart w:id="992" w:name="Tc_k5V73Vy8p0uR4gud3tgiVw_6_0"/>
      <w:bookmarkStart w:id="993" w:name="Tc_MpqjN1jt5UeC9AmCBoFAIw_5_0"/>
      <w:bookmarkStart w:id="994" w:name="Tc_ZQUsuXVWiEa4znlWhbkLCQ_4_0"/>
      <w:bookmarkStart w:id="995" w:name="Tc_yMASAjeCzk2BYL32C2RlUA_3_11"/>
      <w:bookmarkStart w:id="996" w:name="Tc_DB7QYaa-OEiV78_sQyxdTg_3_8"/>
      <w:bookmarkStart w:id="997" w:name="Tc_ocKMH3B9lUekm_XGV__xzA_3_5"/>
      <w:bookmarkStart w:id="998" w:name="Tc_0UPf1XTO-kujUdTUtB4m1g_3_2"/>
      <w:bookmarkStart w:id="999" w:name="Tc_6kngzwL_1kGVvnjIF5_A7g_2_11"/>
      <w:bookmarkStart w:id="1000" w:name="Tc_CVsvdkVI_kWaHwHtHMjkPw_2_8"/>
      <w:bookmarkStart w:id="1001" w:name="Tc_k6Dd0efWtESFy9x51_a4MQ_2_5"/>
      <w:bookmarkStart w:id="1002" w:name="Tc_ZgZNeEQ-2UWUpp-7Nqjluw_2_2"/>
      <w:bookmarkStart w:id="1003" w:name="Tc_rGV8Bn5tJkuiYDktOG_4iw_1_5"/>
      <w:bookmarkStart w:id="1004" w:name="Tc_y6Y3QKZqwEedNmOLfoSk6Q_18_5"/>
      <w:bookmarkStart w:id="1005" w:name="Tc_chfPwqHvUkiBmArfB7PGhg_18_2"/>
      <w:bookmarkStart w:id="1006" w:name="Tc_thUdPFsftEyrj1S_oauMHA_18_0"/>
      <w:bookmarkStart w:id="1007" w:name="Tc_thzMKMytVUetN47kZcUxHA_16_6"/>
      <w:bookmarkStart w:id="1008" w:name="Tc_TSMl4ajUdEGIOVntUAbPsA_16_0"/>
      <w:bookmarkStart w:id="1009" w:name="Tc_zrD-Zq6A6E6s_metD-XNjw_15_0"/>
      <w:bookmarkStart w:id="1010" w:name="Tc_mVtFCwiyQEqa5RFcbe6QcA_13_0"/>
      <w:bookmarkStart w:id="1011" w:name="Tc_7ZVtOX4kx0WKMGiBIq2ODw_12_0"/>
      <w:bookmarkStart w:id="1012" w:name="Tc_pzueVsPPA0qvfmCHP3yzSw_10_6"/>
      <w:bookmarkStart w:id="1013" w:name="Tc_-GRk4JGnkECjEv9oSTGvCg_10_0"/>
      <w:bookmarkStart w:id="1014" w:name="Tc_0_VmXgyMWkig5KzJhMU_nQ_8_0"/>
      <w:bookmarkStart w:id="1015" w:name="Tc_7SnSJoCF2US2HVUeOSk66A_6_0"/>
      <w:bookmarkStart w:id="1016" w:name="Tc_ZQZiRQUYrE-q2p-dDwIipA_4_5"/>
      <w:bookmarkStart w:id="1017" w:name="Tc_zOne-9Ble0aLn6mSD7iQDg_4_2"/>
      <w:bookmarkStart w:id="1018" w:name="Tc_QyXyKf_YQkm1gng7a0GAzw_4_0"/>
      <w:bookmarkStart w:id="1019" w:name="Tc__tP5BVg2B0-6H3u4dEl0OQ_2_5"/>
      <w:bookmarkStart w:id="1020" w:name="Tc_yJumC08z60mf7M62373S8A_2_2"/>
      <w:bookmarkStart w:id="1021" w:name="Tc_dfcsfKPrw0yMSW1cm-HHEQ_1_5"/>
      <w:bookmarkStart w:id="1022" w:name="Tc_Thc0vNu44UuwJhE0fWfxYA_1_2"/>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r>
        <w:rPr>
          <w:rFonts w:ascii="Times New Roman;Times;serif" w:hAnsi="Times New Roman;Times;serif"/>
          <w:sz w:val="20"/>
        </w:rPr>
        <w:t>The following tables sets forth our indebtedness as of December 31, 2022 and 2021, respectively, and future obligations:</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6819"/>
        <w:gridCol w:w="326"/>
        <w:gridCol w:w="211"/>
        <w:gridCol w:w="1145"/>
        <w:gridCol w:w="326"/>
        <w:gridCol w:w="211"/>
        <w:gridCol w:w="1167"/>
      </w:tblGrid>
      <w:tr>
        <w:trPr/>
        <w:tc>
          <w:tcPr>
            <w:tcW w:w="681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4330065" cy="175260"/>
                      <wp:effectExtent l="0" t="0" r="0" b="0"/>
                      <wp:wrapNone/>
                      <wp:docPr id="173" name="Frame173"/>
                      <a:graphic xmlns:a="http://schemas.openxmlformats.org/drawingml/2006/main">
                        <a:graphicData uri="http://schemas.microsoft.com/office/word/2010/wordprocessingShape">
                          <wps:wsp>
                            <wps:cNvSpPr txBox="1"/>
                            <wps:spPr>
                              <a:xfrm>
                                <a:off x="0" y="0"/>
                                <a:ext cx="43300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260"/>
                      <wp:effectExtent l="0" t="0" r="0" b="0"/>
                      <wp:wrapNone/>
                      <wp:docPr id="174" name="Frame17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33985" cy="175260"/>
                      <wp:effectExtent l="0" t="0" r="0" b="0"/>
                      <wp:wrapNone/>
                      <wp:docPr id="175" name="Frame17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727075" cy="175260"/>
                      <wp:effectExtent l="0" t="0" r="0" b="0"/>
                      <wp:wrapNone/>
                      <wp:docPr id="176" name="Frame176"/>
                      <a:graphic xmlns:a="http://schemas.openxmlformats.org/drawingml/2006/main">
                        <a:graphicData uri="http://schemas.microsoft.com/office/word/2010/wordprocessingShape">
                          <wps:wsp>
                            <wps:cNvSpPr txBox="1"/>
                            <wps:spPr>
                              <a:xfrm>
                                <a:off x="0" y="0"/>
                                <a:ext cx="7270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7010" cy="175260"/>
                      <wp:effectExtent l="0" t="0" r="0" b="0"/>
                      <wp:wrapNone/>
                      <wp:docPr id="177" name="Frame17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33985" cy="175260"/>
                      <wp:effectExtent l="0" t="0" r="0" b="0"/>
                      <wp:wrapNone/>
                      <wp:docPr id="178" name="Frame17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6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741045" cy="175260"/>
                      <wp:effectExtent l="0" t="0" r="0" b="0"/>
                      <wp:wrapNone/>
                      <wp:docPr id="179" name="Frame179"/>
                      <a:graphic xmlns:a="http://schemas.openxmlformats.org/drawingml/2006/main">
                        <a:graphicData uri="http://schemas.microsoft.com/office/word/2010/wordprocessingShape">
                          <wps:wsp>
                            <wps:cNvSpPr txBox="1"/>
                            <wps:spPr>
                              <a:xfrm>
                                <a:off x="0" y="0"/>
                                <a:ext cx="7410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681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35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shd w:fill="auto" w:val="clear"/>
            <w:vAlign w:val="center"/>
          </w:tcPr>
          <w:p>
            <w:pPr>
              <w:pStyle w:val="TableContents"/>
              <w:spacing w:before="0" w:after="1"/>
              <w:ind w:left="0" w:right="0" w:hanging="0"/>
              <w:rPr/>
            </w:pPr>
            <w:r>
              <w:rPr/>
              <w:t>​</w:t>
            </w:r>
          </w:p>
        </w:tc>
        <w:tc>
          <w:tcPr>
            <w:tcW w:w="1378"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681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35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rPr/>
            </w:pPr>
            <w:r>
              <w:rPr/>
              <w:t>    </w:t>
            </w:r>
          </w:p>
        </w:tc>
        <w:tc>
          <w:tcPr>
            <w:tcW w:w="1378"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681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14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167" w:type="dxa"/>
            <w:tcBorders/>
            <w:shd w:fill="auto" w:val="clear"/>
            <w:vAlign w:val="center"/>
          </w:tcPr>
          <w:p>
            <w:pPr>
              <w:pStyle w:val="TableContents"/>
              <w:spacing w:before="0" w:after="1"/>
              <w:ind w:left="0" w:right="0" w:hanging="0"/>
              <w:rPr/>
            </w:pPr>
            <w:r>
              <w:rPr/>
              <w:t>​</w:t>
            </w:r>
          </w:p>
        </w:tc>
      </w:tr>
      <w:tr>
        <w:trPr/>
        <w:tc>
          <w:tcPr>
            <w:tcW w:w="681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Term loan dated February 26, 2021, in the original amount of $10,000,000. An additional $5,000,000 was added to the loan agreement on July 28, 2021. Interest of 15% per annum, due quarterly. Principal payments begin June 1, 2023.</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4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15,000,000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6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15,000,000</w:t>
            </w:r>
          </w:p>
        </w:tc>
      </w:tr>
      <w:tr>
        <w:trPr/>
        <w:tc>
          <w:tcPr>
            <w:tcW w:w="681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14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167" w:type="dxa"/>
            <w:tcBorders/>
            <w:shd w:fill="auto" w:val="clear"/>
            <w:vAlign w:val="center"/>
          </w:tcPr>
          <w:p>
            <w:pPr>
              <w:pStyle w:val="TableContents"/>
              <w:spacing w:before="0" w:after="1"/>
              <w:ind w:left="0" w:right="0" w:hanging="0"/>
              <w:rPr/>
            </w:pPr>
            <w:r>
              <w:rPr/>
              <w:t>​</w:t>
            </w:r>
          </w:p>
        </w:tc>
      </w:tr>
      <w:tr>
        <w:trPr/>
        <w:tc>
          <w:tcPr>
            <w:tcW w:w="681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Seller notes dated December 17, 2020 in the original amount of $44,250,000. Interest of 12% per annum, due monthly. Principal payments begin December 17, 2025.</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14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44,250,000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16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44,250,000</w:t>
            </w:r>
          </w:p>
        </w:tc>
      </w:tr>
      <w:tr>
        <w:trPr/>
        <w:tc>
          <w:tcPr>
            <w:tcW w:w="681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14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167" w:type="dxa"/>
            <w:tcBorders/>
            <w:shd w:fill="auto" w:val="clear"/>
            <w:vAlign w:val="center"/>
          </w:tcPr>
          <w:p>
            <w:pPr>
              <w:pStyle w:val="TableContents"/>
              <w:spacing w:before="0" w:after="1"/>
              <w:ind w:left="0" w:right="0" w:hanging="0"/>
              <w:rPr/>
            </w:pPr>
            <w:r>
              <w:rPr/>
              <w:t>​</w:t>
            </w:r>
          </w:p>
        </w:tc>
      </w:tr>
      <w:tr>
        <w:trPr/>
        <w:tc>
          <w:tcPr>
            <w:tcW w:w="681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Investor note dated December 3, 2021, in the original amount of $95,000,000. Interest of 13% per annum, 9% payable in cash and 4% accreting to the principal amount.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14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99,118,391</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16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95,000,000</w:t>
            </w:r>
          </w:p>
        </w:tc>
      </w:tr>
      <w:tr>
        <w:trPr/>
        <w:tc>
          <w:tcPr>
            <w:tcW w:w="681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14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167" w:type="dxa"/>
            <w:tcBorders/>
            <w:shd w:fill="auto" w:val="clear"/>
            <w:vAlign w:val="center"/>
          </w:tcPr>
          <w:p>
            <w:pPr>
              <w:pStyle w:val="TableContents"/>
              <w:spacing w:before="0" w:after="1"/>
              <w:ind w:left="0" w:right="0" w:hanging="0"/>
              <w:jc w:val="right"/>
              <w:rPr/>
            </w:pPr>
            <w:r>
              <w:rPr/>
              <w:t>​</w:t>
            </w:r>
          </w:p>
        </w:tc>
      </w:tr>
      <w:tr>
        <w:trPr/>
        <w:tc>
          <w:tcPr>
            <w:tcW w:w="681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Seller note dated February 7, 2022 in the original amount of $17,000,000. Interest of 5% per annum, due monthly. Principal balance is due February 7, 2025.</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14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17,000,000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167" w:type="dxa"/>
            <w:tcBorders/>
            <w:shd w:fill="CCEEFF" w:val="clear"/>
            <w:vAlign w:val="center"/>
          </w:tcPr>
          <w:p>
            <w:pPr>
              <w:pStyle w:val="TableContents"/>
              <w:spacing w:before="0" w:after="1"/>
              <w:ind w:left="0" w:right="0" w:hanging="0"/>
              <w:jc w:val="right"/>
              <w:rPr/>
            </w:pPr>
            <w:r>
              <w:rPr/>
              <w:t>—</w:t>
            </w:r>
          </w:p>
        </w:tc>
      </w:tr>
      <w:tr>
        <w:trPr/>
        <w:tc>
          <w:tcPr>
            <w:tcW w:w="681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14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167" w:type="dxa"/>
            <w:tcBorders/>
            <w:shd w:fill="auto" w:val="clear"/>
            <w:vAlign w:val="center"/>
          </w:tcPr>
          <w:p>
            <w:pPr>
              <w:pStyle w:val="TableContents"/>
              <w:spacing w:before="0" w:after="1"/>
              <w:ind w:left="0" w:right="0" w:hanging="0"/>
              <w:jc w:val="right"/>
              <w:rPr/>
            </w:pPr>
            <w:r>
              <w:rPr/>
              <w:t>​</w:t>
            </w:r>
          </w:p>
        </w:tc>
      </w:tr>
      <w:tr>
        <w:trPr/>
        <w:tc>
          <w:tcPr>
            <w:tcW w:w="681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Less: unamortized debt issuance costs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14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(6,603,695)</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16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(8,289,743)</w:t>
            </w:r>
          </w:p>
        </w:tc>
      </w:tr>
      <w:tr>
        <w:trPr/>
        <w:tc>
          <w:tcPr>
            <w:tcW w:w="681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Less: unamortized debt discount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14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(40,993,176)</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16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(48,477,789)</w:t>
            </w:r>
          </w:p>
        </w:tc>
      </w:tr>
      <w:tr>
        <w:trPr/>
        <w:tc>
          <w:tcPr>
            <w:tcW w:w="6819"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145"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167" w:type="dxa"/>
            <w:tcBorders/>
            <w:shd w:fill="CCEEFF" w:val="clear"/>
            <w:vAlign w:val="center"/>
          </w:tcPr>
          <w:p>
            <w:pPr>
              <w:pStyle w:val="TableContents"/>
              <w:spacing w:before="0" w:after="1"/>
              <w:ind w:left="0" w:right="0" w:hanging="0"/>
              <w:rPr/>
            </w:pPr>
            <w:r>
              <w:rPr/>
              <w:t>​</w:t>
            </w:r>
          </w:p>
        </w:tc>
      </w:tr>
      <w:tr>
        <w:trPr/>
        <w:tc>
          <w:tcPr>
            <w:tcW w:w="681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long term debt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14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127,771,520</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16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97,482,468</w:t>
            </w:r>
          </w:p>
        </w:tc>
      </w:tr>
      <w:tr>
        <w:trPr/>
        <w:tc>
          <w:tcPr>
            <w:tcW w:w="681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Less: current portion of long term debt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145"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(2,250,000)</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167"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r>
      <w:tr>
        <w:trPr/>
        <w:tc>
          <w:tcPr>
            <w:tcW w:w="681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14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167" w:type="dxa"/>
            <w:tcBorders/>
            <w:shd w:fill="auto" w:val="clear"/>
            <w:vAlign w:val="center"/>
          </w:tcPr>
          <w:p>
            <w:pPr>
              <w:pStyle w:val="TableContents"/>
              <w:spacing w:before="0" w:after="1"/>
              <w:ind w:left="0" w:right="0" w:hanging="0"/>
              <w:rPr/>
            </w:pPr>
            <w:r>
              <w:rPr/>
              <w:t>​</w:t>
            </w:r>
          </w:p>
        </w:tc>
      </w:tr>
      <w:tr>
        <w:trPr/>
        <w:tc>
          <w:tcPr>
            <w:tcW w:w="681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Long term debt and unamortized debt issuance costs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45"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125,521,520</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67" w:type="dxa"/>
            <w:tcBorders>
              <w:bottom w:val="double" w:sz="6" w:space="0" w:color="000000"/>
            </w:tcBorders>
            <w:shd w:fill="CCEEFF" w:val="clear"/>
            <w:tcMar>
              <w:bottom w:w="28" w:type="dxa"/>
            </w:tcMar>
            <w:vAlign w:val="center"/>
          </w:tcPr>
          <w:p>
            <w:pPr>
              <w:pStyle w:val="TableContents"/>
              <w:spacing w:before="0" w:after="1"/>
              <w:ind w:left="0" w:right="68" w:hanging="0"/>
              <w:jc w:val="right"/>
              <w:rPr>
                <w:rFonts w:ascii="Times New Roman;Times;serif" w:hAnsi="Times New Roman;Times;serif"/>
                <w:sz w:val="20"/>
              </w:rPr>
            </w:pPr>
            <w:r>
              <w:rPr>
                <w:rFonts w:ascii="Times New Roman;Times;serif" w:hAnsi="Times New Roman;Times;serif"/>
                <w:sz w:val="20"/>
              </w:rPr>
              <w:t>97,482,468</w:t>
            </w:r>
          </w:p>
        </w:tc>
      </w:tr>
    </w:tbl>
    <w:p>
      <w:pPr>
        <w:pStyle w:val="TextBody"/>
        <w:spacing w:before="0" w:after="240"/>
        <w:ind w:left="0" w:right="0" w:hanging="0"/>
        <w:jc w:val="both"/>
        <w:rPr>
          <w:color w:val="FF0000"/>
        </w:rPr>
      </w:pPr>
      <w:r>
        <w:rPr>
          <w:color w:val="FF0000"/>
        </w:rPr>
        <w:t>​</w:t>
      </w:r>
    </w:p>
    <w:p>
      <w:pPr>
        <w:pStyle w:val="TextBody"/>
        <w:spacing w:before="0" w:after="240"/>
        <w:ind w:left="0" w:right="0" w:hanging="0"/>
        <w:jc w:val="both"/>
        <w:rPr/>
      </w:pPr>
      <w:r>
        <w:rPr/>
        <w:t>​</w:t>
      </w:r>
    </w:p>
    <w:tbl>
      <w:tblPr>
        <w:tblW w:w="7066" w:type="dxa"/>
        <w:jc w:val="left"/>
        <w:tblInd w:w="0" w:type="dxa"/>
        <w:tblCellMar>
          <w:top w:w="0" w:type="dxa"/>
          <w:left w:w="0" w:type="dxa"/>
          <w:bottom w:w="0" w:type="dxa"/>
          <w:right w:w="0" w:type="dxa"/>
        </w:tblCellMar>
      </w:tblPr>
      <w:tblGrid>
        <w:gridCol w:w="556"/>
        <w:gridCol w:w="326"/>
        <w:gridCol w:w="211"/>
        <w:gridCol w:w="1141"/>
        <w:gridCol w:w="326"/>
        <w:gridCol w:w="211"/>
        <w:gridCol w:w="931"/>
        <w:gridCol w:w="326"/>
        <w:gridCol w:w="211"/>
        <w:gridCol w:w="1036"/>
        <w:gridCol w:w="326"/>
        <w:gridCol w:w="211"/>
        <w:gridCol w:w="1254"/>
      </w:tblGrid>
      <w:tr>
        <w:trPr/>
        <w:tc>
          <w:tcPr>
            <w:tcW w:w="5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353060" cy="175260"/>
                      <wp:effectExtent l="0" t="0" r="0" b="0"/>
                      <wp:wrapNone/>
                      <wp:docPr id="180" name="Frame180"/>
                      <a:graphic xmlns:a="http://schemas.openxmlformats.org/drawingml/2006/main">
                        <a:graphicData uri="http://schemas.microsoft.com/office/word/2010/wordprocessingShape">
                          <wps:wsp>
                            <wps:cNvSpPr txBox="1"/>
                            <wps:spPr>
                              <a:xfrm>
                                <a:off x="0" y="0"/>
                                <a:ext cx="353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7010" cy="175260"/>
                      <wp:effectExtent l="0" t="0" r="0" b="0"/>
                      <wp:wrapNone/>
                      <wp:docPr id="181" name="Frame18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33985" cy="175260"/>
                      <wp:effectExtent l="0" t="0" r="0" b="0"/>
                      <wp:wrapNone/>
                      <wp:docPr id="182" name="Frame18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724535" cy="175260"/>
                      <wp:effectExtent l="0" t="0" r="0" b="0"/>
                      <wp:wrapNone/>
                      <wp:docPr id="183" name="Frame183"/>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7010" cy="175260"/>
                      <wp:effectExtent l="0" t="0" r="0" b="0"/>
                      <wp:wrapNone/>
                      <wp:docPr id="184" name="Frame18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33985" cy="175260"/>
                      <wp:effectExtent l="0" t="0" r="0" b="0"/>
                      <wp:wrapNone/>
                      <wp:docPr id="185" name="Frame18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591185" cy="175260"/>
                      <wp:effectExtent l="0" t="0" r="0" b="0"/>
                      <wp:wrapNone/>
                      <wp:docPr id="186" name="Frame186"/>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7" name="Frame18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33985" cy="175260"/>
                      <wp:effectExtent l="0" t="0" r="0" b="0"/>
                      <wp:wrapNone/>
                      <wp:docPr id="188" name="Frame18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57860" cy="175260"/>
                      <wp:effectExtent l="0" t="0" r="0" b="0"/>
                      <wp:wrapNone/>
                      <wp:docPr id="189" name="Frame189"/>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7010" cy="175260"/>
                      <wp:effectExtent l="0" t="0" r="0" b="0"/>
                      <wp:wrapNone/>
                      <wp:docPr id="190" name="Frame19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33985" cy="175260"/>
                      <wp:effectExtent l="0" t="0" r="0" b="0"/>
                      <wp:wrapNone/>
                      <wp:docPr id="191" name="Frame19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796290" cy="175260"/>
                      <wp:effectExtent l="0" t="0" r="0" b="0"/>
                      <wp:wrapNone/>
                      <wp:docPr id="192" name="Frame192"/>
                      <a:graphic xmlns:a="http://schemas.openxmlformats.org/drawingml/2006/main">
                        <a:graphicData uri="http://schemas.microsoft.com/office/word/2010/wordprocessingShape">
                          <wps:wsp>
                            <wps:cNvSpPr txBox="1"/>
                            <wps:spPr>
                              <a:xfrm>
                                <a:off x="0" y="0"/>
                                <a:ext cx="7962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14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Unamortized</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254" w:type="dxa"/>
            <w:tcBorders/>
            <w:shd w:fill="auto" w:val="clear"/>
            <w:vAlign w:val="center"/>
          </w:tcPr>
          <w:p>
            <w:pPr>
              <w:pStyle w:val="TableContents"/>
              <w:spacing w:before="0" w:after="0"/>
              <w:ind w:left="0" w:right="0" w:hanging="0"/>
              <w:jc w:val="center"/>
              <w:rPr/>
            </w:pPr>
            <w:r>
              <w:rPr/>
              <w:t>​</w:t>
            </w:r>
          </w:p>
        </w:tc>
      </w:tr>
      <w:tr>
        <w:trPr/>
        <w:tc>
          <w:tcPr>
            <w:tcW w:w="5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35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Principal</w:t>
            </w:r>
          </w:p>
        </w:tc>
        <w:tc>
          <w:tcPr>
            <w:tcW w:w="326" w:type="dxa"/>
            <w:tcBorders/>
            <w:shd w:fill="auto" w:val="clear"/>
            <w:vAlign w:val="center"/>
          </w:tcPr>
          <w:p>
            <w:pPr>
              <w:pStyle w:val="TableContents"/>
              <w:spacing w:before="0" w:after="0"/>
              <w:ind w:left="0" w:right="0" w:hanging="0"/>
              <w:rPr/>
            </w:pPr>
            <w:r>
              <w:rPr/>
              <w:t>​</w:t>
            </w:r>
          </w:p>
        </w:tc>
        <w:tc>
          <w:tcPr>
            <w:tcW w:w="114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Debt Issuance</w:t>
            </w:r>
          </w:p>
        </w:tc>
        <w:tc>
          <w:tcPr>
            <w:tcW w:w="326" w:type="dxa"/>
            <w:tcBorders/>
            <w:shd w:fill="auto" w:val="clear"/>
            <w:vAlign w:val="center"/>
          </w:tcPr>
          <w:p>
            <w:pPr>
              <w:pStyle w:val="TableContents"/>
              <w:spacing w:before="0" w:after="0"/>
              <w:ind w:left="0" w:right="0" w:hanging="0"/>
              <w:rPr/>
            </w:pPr>
            <w:r>
              <w:rPr/>
              <w:t>​</w:t>
            </w:r>
          </w:p>
        </w:tc>
        <w:tc>
          <w:tcPr>
            <w:tcW w:w="124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Unamortized</w:t>
            </w:r>
          </w:p>
        </w:tc>
        <w:tc>
          <w:tcPr>
            <w:tcW w:w="326" w:type="dxa"/>
            <w:tcBorders/>
            <w:shd w:fill="auto" w:val="clear"/>
            <w:vAlign w:val="center"/>
          </w:tcPr>
          <w:p>
            <w:pPr>
              <w:pStyle w:val="TableContents"/>
              <w:spacing w:before="0" w:after="0"/>
              <w:ind w:left="0" w:right="0" w:hanging="0"/>
              <w:rPr/>
            </w:pPr>
            <w:r>
              <w:rPr/>
              <w:t>​</w:t>
            </w:r>
          </w:p>
        </w:tc>
        <w:tc>
          <w:tcPr>
            <w:tcW w:w="146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Long</w:t>
            </w:r>
          </w:p>
        </w:tc>
      </w:tr>
      <w:tr>
        <w:trPr/>
        <w:tc>
          <w:tcPr>
            <w:tcW w:w="5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3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Payments</w:t>
            </w:r>
          </w:p>
        </w:tc>
        <w:tc>
          <w:tcPr>
            <w:tcW w:w="326" w:type="dxa"/>
            <w:tcBorders/>
            <w:shd w:fill="auto" w:val="clear"/>
            <w:vAlign w:val="center"/>
          </w:tcPr>
          <w:p>
            <w:pPr>
              <w:pStyle w:val="TableContents"/>
              <w:spacing w:before="0" w:after="0"/>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Costs</w:t>
            </w:r>
          </w:p>
        </w:tc>
        <w:tc>
          <w:tcPr>
            <w:tcW w:w="326" w:type="dxa"/>
            <w:tcBorders/>
            <w:shd w:fill="auto" w:val="clear"/>
            <w:vAlign w:val="center"/>
          </w:tcPr>
          <w:p>
            <w:pPr>
              <w:pStyle w:val="TableContents"/>
              <w:spacing w:before="0" w:after="0"/>
              <w:ind w:left="0" w:right="0" w:hanging="0"/>
              <w:rPr/>
            </w:pPr>
            <w:r>
              <w:rPr/>
              <w:t>    </w:t>
            </w:r>
          </w:p>
        </w:tc>
        <w:tc>
          <w:tcPr>
            <w:tcW w:w="12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Debt Discount</w:t>
            </w:r>
          </w:p>
        </w:tc>
        <w:tc>
          <w:tcPr>
            <w:tcW w:w="326" w:type="dxa"/>
            <w:tcBorders/>
            <w:shd w:fill="auto" w:val="clear"/>
            <w:vAlign w:val="center"/>
          </w:tcPr>
          <w:p>
            <w:pPr>
              <w:pStyle w:val="TableContents"/>
              <w:spacing w:before="0" w:after="0"/>
              <w:ind w:left="0" w:right="0" w:hanging="0"/>
              <w:rPr/>
            </w:pPr>
            <w:r>
              <w:rPr/>
              <w:t>    </w:t>
            </w:r>
          </w:p>
        </w:tc>
        <w:tc>
          <w:tcPr>
            <w:tcW w:w="146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Term Debt</w:t>
            </w:r>
          </w:p>
        </w:tc>
      </w:tr>
      <w:tr>
        <w:trPr/>
        <w:tc>
          <w:tcPr>
            <w:tcW w:w="5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2,250,000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1,686,049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8,523,493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25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(7,959,542)</w:t>
            </w:r>
          </w:p>
        </w:tc>
      </w:tr>
      <w:tr>
        <w:trPr/>
        <w:tc>
          <w:tcPr>
            <w:tcW w:w="5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3,000,000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1,686,049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9,734,935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25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(8,420,984)</w:t>
            </w:r>
          </w:p>
        </w:tc>
      </w:tr>
      <w:tr>
        <w:trPr/>
        <w:tc>
          <w:tcPr>
            <w:tcW w:w="5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40,651,759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1,686,049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11,057,799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25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27,907,911</w:t>
            </w:r>
          </w:p>
        </w:tc>
      </w:tr>
      <w:tr>
        <w:trPr/>
        <w:tc>
          <w:tcPr>
            <w:tcW w:w="5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129,466,632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1,545,548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11,676,949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25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116,244,135</w:t>
            </w:r>
          </w:p>
        </w:tc>
      </w:tr>
      <w:tr>
        <w:trPr/>
        <w:tc>
          <w:tcPr>
            <w:tcW w:w="5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254" w:type="dxa"/>
            <w:tcBorders/>
            <w:shd w:fill="CCEEFF" w:val="clear"/>
            <w:vAlign w:val="center"/>
          </w:tcPr>
          <w:p>
            <w:pPr>
              <w:pStyle w:val="TableContents"/>
              <w:spacing w:before="0" w:after="0"/>
              <w:ind w:left="0" w:right="0" w:hanging="0"/>
              <w:jc w:val="right"/>
              <w:rPr/>
            </w:pPr>
            <w:r>
              <w:rPr/>
              <w:t>—</w:t>
            </w:r>
          </w:p>
        </w:tc>
      </w:tr>
      <w:tr>
        <w:trPr/>
        <w:tc>
          <w:tcPr>
            <w:tcW w:w="5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25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r>
        <w:trPr/>
        <w:tc>
          <w:tcPr>
            <w:tcW w:w="5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175,368,391</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6,603,695</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40,993,176</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54" w:type="dxa"/>
            <w:tcBorders>
              <w:bottom w:val="double" w:sz="6" w:space="0" w:color="000000"/>
            </w:tcBorders>
            <w:shd w:fill="CCEEFF" w:val="clear"/>
            <w:tcMar>
              <w:bottom w:w="28" w:type="dxa"/>
            </w:tcMar>
            <w:vAlign w:val="center"/>
          </w:tcPr>
          <w:p>
            <w:pPr>
              <w:pStyle w:val="TableContents"/>
              <w:spacing w:before="0" w:after="0"/>
              <w:ind w:left="0" w:right="68" w:hanging="0"/>
              <w:jc w:val="right"/>
              <w:rPr>
                <w:rFonts w:ascii="Times New Roman;Times;serif" w:hAnsi="Times New Roman;Times;serif"/>
                <w:sz w:val="20"/>
              </w:rPr>
            </w:pPr>
            <w:r>
              <w:rPr>
                <w:rFonts w:ascii="Times New Roman;Times;serif" w:hAnsi="Times New Roman;Times;serif"/>
                <w:sz w:val="20"/>
              </w:rPr>
              <w:t>127,771,520</w:t>
            </w:r>
          </w:p>
        </w:tc>
      </w:tr>
    </w:tbl>
    <w:p>
      <w:pPr>
        <w:pStyle w:val="TextBody"/>
        <w:spacing w:before="0" w:after="0"/>
        <w:ind w:left="0" w:right="0" w:hanging="0"/>
        <w:rPr/>
      </w:pPr>
      <w:r>
        <w:rPr/>
        <w:t>​</w:t>
      </w:r>
    </w:p>
    <w:p>
      <w:pPr>
        <w:pStyle w:val="TextBody"/>
        <w:spacing w:before="0" w:after="240"/>
        <w:ind w:left="0" w:right="0" w:hanging="0"/>
        <w:jc w:val="both"/>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12.</w:t>
      </w:r>
      <w:r>
        <w:rPr>
          <w:rFonts w:ascii="Times New Roman;Times;serif" w:hAnsi="Times New Roman;Times;serif"/>
          <w:b/>
          <w:sz w:val="20"/>
        </w:rPr>
        <w:t>Leases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Leases with an initial term of 12 months or less are not recorded on the balance sheet; we recognize lease expense for these leases on a straight-line basis over the lease term. Leases with a term greater than one year are recognized on the balance sheet at the time of lease commencement or modification of an ROU operating lease asset and a lease liability, initially measured at the present value of the lease payments. Lease costs are recognized in the income statement over the lease term on a straight-line basis. ROU assets represent our right to use an underlying asset for the lease term and lease liabilities represent our obligation to make lease payments arising from the lease.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leases consist of real estate leases for office, retail, cultivation, and manufacturing facilities. The Company elected to combine the lease and related non-lease components for its operating leases.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Company’s operating leases include options to extend or terminate the lease, which are not included in the determination of the ROU asset or lease liability unless reasonably certain to be exercised. The Company’s operating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bookmarkStart w:id="1023" w:name="Tc_rYCCd95JP0KM2f3OyVEk8A_7_2"/>
      <w:bookmarkStart w:id="1024" w:name="Tc_bLJdO_hBo0uTZgfoStCWjA_7_0"/>
      <w:bookmarkStart w:id="1025" w:name="Tc_dRn04GEtkkKtaKT09fCU_w_6_0"/>
      <w:bookmarkStart w:id="1026" w:name="Tc_EIwqBvTVBEuib8LFL0mQNA_5_0"/>
      <w:bookmarkStart w:id="1027" w:name="Tc_1nj0a7Ng_0uLDpRp_ZRhnw_4_0"/>
      <w:bookmarkStart w:id="1028" w:name="Tc_kpmGH1p-nkWwKBirYwIdwQ_3_0"/>
      <w:bookmarkStart w:id="1029" w:name="Tc_q7Zhx5zo3UCQiHIRM_3Jkg_2_0"/>
      <w:bookmarkStart w:id="1030" w:name="Tc_4XvqCgRrZk6uHtjGug8yzQ_1_2"/>
      <w:bookmarkStart w:id="1031" w:name="Tc_R0NaYmDodEeobnJlRvyfgw_1_0"/>
      <w:bookmarkStart w:id="1032" w:name="Tc_36atT7IRLkORA285cRCJ5g_3_2"/>
      <w:bookmarkStart w:id="1033" w:name="Tc_EcSvnO97t0-PuHwu1mwCRQ_3_0"/>
      <w:bookmarkStart w:id="1034" w:name="Tc_lDCDUO2LSk2sDLuDPdhY4g_2_0"/>
      <w:bookmarkStart w:id="1035" w:name="Tc_zQsSOAmCBU2KGZ3gO48soA_1_2"/>
      <w:bookmarkStart w:id="1036" w:name="Tc_-iE_fMvLzUGCQit-AXVy_A_1_0"/>
      <w:bookmarkStart w:id="1037" w:name="Tc_IljwP4Tg70SwG2pefv86JQ_6_2"/>
      <w:bookmarkStart w:id="1038" w:name="Tc_X-ASd1I6Zk2VoEpDZBGM1g_6_0"/>
      <w:bookmarkStart w:id="1039" w:name="Tc_PQ05srVZvkOB3Y9mNVv0zg_5_4"/>
      <w:bookmarkStart w:id="1040" w:name="Tc_q-Aoaiy4gU2YNAgIxulsoA_5_2"/>
      <w:bookmarkStart w:id="1041" w:name="Tc_wWfaS2q_YkSTsj8yO1_U-A_5_0"/>
      <w:bookmarkStart w:id="1042" w:name="Tc_MWc8-i9hB0uCpkDz2shCvg_4_0"/>
      <w:bookmarkStart w:id="1043" w:name="Tc_Ypw90CS2PEyDGrrNyatH_g_3_4"/>
      <w:bookmarkStart w:id="1044" w:name="Tc_GPN4n5NcM0iuvyyYKGwUnQ_3_2"/>
      <w:bookmarkStart w:id="1045" w:name="Tc_THDlUQj5k0StO4vaBUllJw_3_0"/>
      <w:bookmarkStart w:id="1046" w:name="Tc_JRwjPDBhW0a0D5dRbPR0xA_2_0"/>
      <w:bookmarkStart w:id="1047" w:name="Tc_d6M2URenckSf39M4oHH7XA_1_4"/>
      <w:bookmarkStart w:id="1048" w:name="Tc_nWrj6hSIO0mpeiDfqeH95g_1_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r>
        <w:rPr>
          <w:rFonts w:ascii="Times New Roman;Times;serif" w:hAnsi="Times New Roman;Times;serif"/>
          <w:sz w:val="20"/>
        </w:rPr>
        <w:t>leases have remaining lease terms of less than two years. The Company’s lease agreements do not contain any material residual value guarantees or material restrictive covenants.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the Company’s leases do not provide an implicit rate, we used an incremental borrowing rate based on the information available at the lease commencement date in determining the present value of lease payments. The discount rate used in the computations ranged between 6% and 12%.</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Balance Sheet Classification of Operating Lease Assets and Liabilities</w:t>
      </w:r>
    </w:p>
    <w:p>
      <w:pPr>
        <w:pStyle w:val="TextBody"/>
        <w:spacing w:before="0" w:after="0"/>
        <w:ind w:left="0" w:right="0" w:hanging="0"/>
        <w:rPr/>
      </w:pPr>
      <w:r>
        <w:rPr/>
        <w:t>​</w:t>
      </w:r>
    </w:p>
    <w:tbl>
      <w:tblPr>
        <w:tblW w:w="6895" w:type="dxa"/>
        <w:jc w:val="left"/>
        <w:tblInd w:w="0" w:type="dxa"/>
        <w:tblCellMar>
          <w:top w:w="0" w:type="dxa"/>
          <w:left w:w="0" w:type="dxa"/>
          <w:bottom w:w="0" w:type="dxa"/>
          <w:right w:w="0" w:type="dxa"/>
        </w:tblCellMar>
      </w:tblPr>
      <w:tblGrid>
        <w:gridCol w:w="2851"/>
        <w:gridCol w:w="326"/>
        <w:gridCol w:w="1846"/>
        <w:gridCol w:w="326"/>
        <w:gridCol w:w="239"/>
        <w:gridCol w:w="1307"/>
      </w:tblGrid>
      <w:tr>
        <w:trPr/>
        <w:tc>
          <w:tcPr>
            <w:tcW w:w="28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810385" cy="175260"/>
                      <wp:effectExtent l="0" t="0" r="0" b="0"/>
                      <wp:wrapNone/>
                      <wp:docPr id="193" name="Frame193"/>
                      <a:graphic xmlns:a="http://schemas.openxmlformats.org/drawingml/2006/main">
                        <a:graphicData uri="http://schemas.microsoft.com/office/word/2010/wordprocessingShape">
                          <wps:wsp>
                            <wps:cNvSpPr txBox="1"/>
                            <wps:spPr>
                              <a:xfrm>
                                <a:off x="0" y="0"/>
                                <a:ext cx="1810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07010" cy="175260"/>
                      <wp:effectExtent l="0" t="0" r="0" b="0"/>
                      <wp:wrapNone/>
                      <wp:docPr id="194" name="Frame19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8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172210" cy="175260"/>
                      <wp:effectExtent l="0" t="0" r="0" b="0"/>
                      <wp:wrapNone/>
                      <wp:docPr id="195" name="Frame195"/>
                      <a:graphic xmlns:a="http://schemas.openxmlformats.org/drawingml/2006/main">
                        <a:graphicData uri="http://schemas.microsoft.com/office/word/2010/wordprocessingShape">
                          <wps:wsp>
                            <wps:cNvSpPr txBox="1"/>
                            <wps:spPr>
                              <a:xfrm>
                                <a:off x="0" y="0"/>
                                <a:ext cx="1172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96" name="Frame19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51765" cy="175260"/>
                      <wp:effectExtent l="0" t="0" r="0" b="0"/>
                      <wp:wrapNone/>
                      <wp:docPr id="197" name="Frame197"/>
                      <a:graphic xmlns:a="http://schemas.openxmlformats.org/drawingml/2006/main">
                        <a:graphicData uri="http://schemas.microsoft.com/office/word/2010/wordprocessingShape">
                          <wps:wsp>
                            <wps:cNvSpPr txBox="1"/>
                            <wps:spPr>
                              <a:xfrm>
                                <a:off x="0" y="0"/>
                                <a:ext cx="1517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0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829945" cy="175260"/>
                      <wp:effectExtent l="0" t="0" r="0" b="0"/>
                      <wp:wrapNone/>
                      <wp:docPr id="198" name="Frame198"/>
                      <a:graphic xmlns:a="http://schemas.openxmlformats.org/drawingml/2006/main">
                        <a:graphicData uri="http://schemas.microsoft.com/office/word/2010/wordprocessingShape">
                          <wps:wsp>
                            <wps:cNvSpPr txBox="1"/>
                            <wps:spPr>
                              <a:xfrm>
                                <a:off x="0" y="0"/>
                                <a:ext cx="8299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8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84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Balance Sheet Line</w:t>
            </w:r>
          </w:p>
        </w:tc>
        <w:tc>
          <w:tcPr>
            <w:tcW w:w="326" w:type="dxa"/>
            <w:tcBorders/>
            <w:shd w:fill="auto" w:val="clear"/>
            <w:vAlign w:val="center"/>
          </w:tcPr>
          <w:p>
            <w:pPr>
              <w:pStyle w:val="TableContents"/>
              <w:spacing w:before="0" w:after="0"/>
              <w:ind w:left="0" w:right="0" w:hanging="0"/>
              <w:jc w:val="center"/>
              <w:rPr/>
            </w:pPr>
            <w:r>
              <w:rPr/>
              <w:t>    </w:t>
            </w:r>
          </w:p>
        </w:tc>
        <w:tc>
          <w:tcPr>
            <w:tcW w:w="154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285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Asset</w:t>
            </w:r>
          </w:p>
        </w:tc>
        <w:tc>
          <w:tcPr>
            <w:tcW w:w="326" w:type="dxa"/>
            <w:tcBorders/>
            <w:shd w:fill="CCEEFF" w:val="clear"/>
            <w:vAlign w:val="center"/>
          </w:tcPr>
          <w:p>
            <w:pPr>
              <w:pStyle w:val="TableContents"/>
              <w:spacing w:before="0" w:after="0"/>
              <w:ind w:left="0" w:right="0" w:hanging="0"/>
              <w:rPr/>
            </w:pPr>
            <w:r>
              <w:rPr/>
              <w:t> </w:t>
            </w:r>
          </w:p>
        </w:tc>
        <w:tc>
          <w:tcPr>
            <w:tcW w:w="184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239" w:type="dxa"/>
            <w:tcBorders/>
            <w:shd w:fill="CCEEFF" w:val="clear"/>
            <w:vAlign w:val="center"/>
          </w:tcPr>
          <w:p>
            <w:pPr>
              <w:pStyle w:val="TableContents"/>
              <w:spacing w:before="0" w:after="0"/>
              <w:ind w:left="0" w:right="0" w:hanging="0"/>
              <w:rPr/>
            </w:pPr>
            <w:r>
              <w:rPr/>
              <w:t>​</w:t>
            </w:r>
          </w:p>
        </w:tc>
        <w:tc>
          <w:tcPr>
            <w:tcW w:w="1307" w:type="dxa"/>
            <w:tcBorders/>
            <w:shd w:fill="CCEEFF" w:val="clear"/>
            <w:vAlign w:val="center"/>
          </w:tcPr>
          <w:p>
            <w:pPr>
              <w:pStyle w:val="TableContents"/>
              <w:spacing w:before="0" w:after="0"/>
              <w:ind w:left="0" w:right="0" w:hanging="0"/>
              <w:jc w:val="right"/>
              <w:rPr/>
            </w:pPr>
            <w:r>
              <w:rPr/>
              <w:t>  </w:t>
            </w:r>
          </w:p>
        </w:tc>
      </w:tr>
      <w:tr>
        <w:trPr/>
        <w:tc>
          <w:tcPr>
            <w:tcW w:w="28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lease right of use assets</w:t>
            </w:r>
          </w:p>
        </w:tc>
        <w:tc>
          <w:tcPr>
            <w:tcW w:w="326" w:type="dxa"/>
            <w:tcBorders/>
            <w:shd w:fill="auto" w:val="clear"/>
            <w:vAlign w:val="center"/>
          </w:tcPr>
          <w:p>
            <w:pPr>
              <w:pStyle w:val="TableContents"/>
              <w:spacing w:before="0" w:after="0"/>
              <w:ind w:left="0" w:right="0" w:hanging="0"/>
              <w:rPr/>
            </w:pPr>
            <w:r>
              <w:rPr/>
              <w:t> </w:t>
            </w:r>
          </w:p>
        </w:tc>
        <w:tc>
          <w:tcPr>
            <w:tcW w:w="18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Noncurrent assets</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0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18,199,399</w:t>
            </w:r>
          </w:p>
        </w:tc>
      </w:tr>
      <w:tr>
        <w:trPr/>
        <w:tc>
          <w:tcPr>
            <w:tcW w:w="285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Liabilities</w:t>
            </w:r>
          </w:p>
        </w:tc>
        <w:tc>
          <w:tcPr>
            <w:tcW w:w="326" w:type="dxa"/>
            <w:tcBorders/>
            <w:shd w:fill="CCEEFF" w:val="clear"/>
            <w:vAlign w:val="center"/>
          </w:tcPr>
          <w:p>
            <w:pPr>
              <w:pStyle w:val="TableContents"/>
              <w:spacing w:before="0" w:after="0"/>
              <w:ind w:left="0" w:right="0" w:hanging="0"/>
              <w:rPr/>
            </w:pPr>
            <w:r>
              <w:rPr/>
              <w:t> </w:t>
            </w:r>
          </w:p>
        </w:tc>
        <w:tc>
          <w:tcPr>
            <w:tcW w:w="184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 </w:t>
            </w:r>
          </w:p>
        </w:tc>
        <w:tc>
          <w:tcPr>
            <w:tcW w:w="1307" w:type="dxa"/>
            <w:tcBorders/>
            <w:shd w:fill="CCEEFF" w:val="clear"/>
            <w:vAlign w:val="center"/>
          </w:tcPr>
          <w:p>
            <w:pPr>
              <w:pStyle w:val="TableContents"/>
              <w:spacing w:before="0" w:after="0"/>
              <w:ind w:left="0" w:right="0" w:hanging="0"/>
              <w:jc w:val="right"/>
              <w:rPr/>
            </w:pPr>
            <w:r>
              <w:rPr/>
              <w:t>  </w:t>
            </w:r>
          </w:p>
        </w:tc>
      </w:tr>
      <w:tr>
        <w:trPr/>
        <w:tc>
          <w:tcPr>
            <w:tcW w:w="285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Lease liabilities</w:t>
            </w:r>
          </w:p>
        </w:tc>
        <w:tc>
          <w:tcPr>
            <w:tcW w:w="326" w:type="dxa"/>
            <w:tcBorders/>
            <w:shd w:fill="auto" w:val="clear"/>
            <w:vAlign w:val="center"/>
          </w:tcPr>
          <w:p>
            <w:pPr>
              <w:pStyle w:val="TableContents"/>
              <w:spacing w:before="0" w:after="0"/>
              <w:ind w:left="0" w:right="0" w:hanging="0"/>
              <w:rPr/>
            </w:pPr>
            <w:r>
              <w:rPr/>
              <w:t>​</w:t>
            </w:r>
          </w:p>
        </w:tc>
        <w:tc>
          <w:tcPr>
            <w:tcW w:w="18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Current Liabilities</w:t>
            </w:r>
          </w:p>
        </w:tc>
        <w:tc>
          <w:tcPr>
            <w:tcW w:w="326" w:type="dxa"/>
            <w:tcBorders/>
            <w:shd w:fill="auto" w:val="clear"/>
            <w:vAlign w:val="center"/>
          </w:tcPr>
          <w:p>
            <w:pPr>
              <w:pStyle w:val="TableContents"/>
              <w:spacing w:before="0" w:after="0"/>
              <w:ind w:left="0" w:right="0" w:hanging="0"/>
              <w:rPr/>
            </w:pPr>
            <w:r>
              <w:rPr/>
              <w:t>​</w:t>
            </w:r>
          </w:p>
        </w:tc>
        <w:tc>
          <w:tcPr>
            <w:tcW w:w="23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0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3,139,289</w:t>
            </w:r>
          </w:p>
        </w:tc>
      </w:tr>
      <w:tr>
        <w:trPr/>
        <w:tc>
          <w:tcPr>
            <w:tcW w:w="28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 liabilities</w:t>
            </w:r>
          </w:p>
        </w:tc>
        <w:tc>
          <w:tcPr>
            <w:tcW w:w="326" w:type="dxa"/>
            <w:tcBorders/>
            <w:shd w:fill="CCEEFF" w:val="clear"/>
            <w:vAlign w:val="center"/>
          </w:tcPr>
          <w:p>
            <w:pPr>
              <w:pStyle w:val="TableContents"/>
              <w:spacing w:before="0" w:after="0"/>
              <w:ind w:left="0" w:right="0" w:hanging="0"/>
              <w:rPr/>
            </w:pPr>
            <w:r>
              <w:rPr/>
              <w:t> </w:t>
            </w:r>
          </w:p>
        </w:tc>
        <w:tc>
          <w:tcPr>
            <w:tcW w:w="18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Noncurrent liabilities</w:t>
            </w:r>
          </w:p>
        </w:tc>
        <w:tc>
          <w:tcPr>
            <w:tcW w:w="326" w:type="dxa"/>
            <w:tcBorders/>
            <w:shd w:fill="CCEEFF" w:val="clear"/>
            <w:vAlign w:val="center"/>
          </w:tcPr>
          <w:p>
            <w:pPr>
              <w:pStyle w:val="TableContents"/>
              <w:spacing w:before="0" w:after="0"/>
              <w:ind w:left="0" w:right="0" w:hanging="0"/>
              <w:rPr/>
            </w:pPr>
            <w:r>
              <w:rPr/>
              <w:t>​</w:t>
            </w:r>
          </w:p>
        </w:tc>
        <w:tc>
          <w:tcPr>
            <w:tcW w:w="239" w:type="dxa"/>
            <w:tcBorders/>
            <w:shd w:fill="CCEEFF" w:val="clear"/>
            <w:vAlign w:val="center"/>
          </w:tcPr>
          <w:p>
            <w:pPr>
              <w:pStyle w:val="TableContents"/>
              <w:spacing w:before="0" w:after="0"/>
              <w:ind w:left="0" w:right="0" w:hanging="0"/>
              <w:rPr/>
            </w:pPr>
            <w:r>
              <w:rPr/>
              <w:t>​</w:t>
            </w:r>
          </w:p>
        </w:tc>
        <w:tc>
          <w:tcPr>
            <w:tcW w:w="1307" w:type="dxa"/>
            <w:tcBorders/>
            <w:shd w:fill="CCEEFF" w:val="clear"/>
            <w:vAlign w:val="center"/>
          </w:tcPr>
          <w:p>
            <w:pPr>
              <w:pStyle w:val="TableContents"/>
              <w:spacing w:before="0" w:after="0"/>
              <w:ind w:left="0" w:right="68" w:hanging="0"/>
              <w:jc w:val="right"/>
              <w:rPr>
                <w:rFonts w:ascii="Times New Roman;Times;serif" w:hAnsi="Times New Roman;Times;serif"/>
                <w:sz w:val="20"/>
              </w:rPr>
            </w:pPr>
            <w:r>
              <w:rPr>
                <w:rFonts w:ascii="Times New Roman;Times;serif" w:hAnsi="Times New Roman;Times;serif"/>
                <w:sz w:val="20"/>
              </w:rPr>
              <w:t>17,314,464</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Maturities of Lease Liabilities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Maturities of lease liabilities as of December 31, 2022 are as follows:</w:t>
      </w:r>
    </w:p>
    <w:p>
      <w:pPr>
        <w:pStyle w:val="TextBody"/>
        <w:spacing w:before="0" w:after="0"/>
        <w:ind w:left="0" w:right="0" w:hanging="0"/>
        <w:rPr/>
      </w:pPr>
      <w:r>
        <w:rPr/>
        <w:t>​</w:t>
      </w:r>
    </w:p>
    <w:tbl>
      <w:tblPr>
        <w:tblW w:w="4372" w:type="dxa"/>
        <w:jc w:val="left"/>
        <w:tblInd w:w="0" w:type="dxa"/>
        <w:tblCellMar>
          <w:top w:w="0" w:type="dxa"/>
          <w:left w:w="0" w:type="dxa"/>
          <w:bottom w:w="0" w:type="dxa"/>
          <w:right w:w="0" w:type="dxa"/>
        </w:tblCellMar>
      </w:tblPr>
      <w:tblGrid>
        <w:gridCol w:w="2686"/>
        <w:gridCol w:w="326"/>
        <w:gridCol w:w="211"/>
        <w:gridCol w:w="1149"/>
      </w:tblGrid>
      <w:tr>
        <w:trPr/>
        <w:tc>
          <w:tcPr>
            <w:tcW w:w="26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705610" cy="175260"/>
                      <wp:effectExtent l="0" t="0" r="0" b="0"/>
                      <wp:wrapNone/>
                      <wp:docPr id="199" name="Frame199"/>
                      <a:graphic xmlns:a="http://schemas.openxmlformats.org/drawingml/2006/main">
                        <a:graphicData uri="http://schemas.microsoft.com/office/word/2010/wordprocessingShape">
                          <wps:wsp>
                            <wps:cNvSpPr txBox="1"/>
                            <wps:spPr>
                              <a:xfrm>
                                <a:off x="0" y="0"/>
                                <a:ext cx="1705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07010" cy="175260"/>
                      <wp:effectExtent l="0" t="0" r="0" b="0"/>
                      <wp:wrapNone/>
                      <wp:docPr id="200" name="Frame20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33985" cy="175260"/>
                      <wp:effectExtent l="0" t="0" r="0" b="0"/>
                      <wp:wrapNone/>
                      <wp:docPr id="201" name="Frame20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729615" cy="175260"/>
                      <wp:effectExtent l="0" t="0" r="0" b="0"/>
                      <wp:wrapNone/>
                      <wp:docPr id="202" name="Frame202"/>
                      <a:graphic xmlns:a="http://schemas.openxmlformats.org/drawingml/2006/main">
                        <a:graphicData uri="http://schemas.microsoft.com/office/word/2010/wordprocessingShape">
                          <wps:wsp>
                            <wps:cNvSpPr txBox="1"/>
                            <wps:spPr>
                              <a:xfrm>
                                <a:off x="0" y="0"/>
                                <a:ext cx="7296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6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2022 fiscal year</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33,595,944</w:t>
            </w:r>
          </w:p>
        </w:tc>
      </w:tr>
      <w:tr>
        <w:trPr/>
        <w:tc>
          <w:tcPr>
            <w:tcW w:w="26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Interest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4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13,298,212</w:t>
            </w:r>
          </w:p>
        </w:tc>
      </w:tr>
      <w:tr>
        <w:trPr/>
        <w:tc>
          <w:tcPr>
            <w:tcW w:w="26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Present value of lease liabilities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9" w:type="dxa"/>
            <w:tcBorders>
              <w:bottom w:val="double" w:sz="6" w:space="0" w:color="000000"/>
            </w:tcBorders>
            <w:shd w:fill="CCEEFF" w:val="clear"/>
            <w:tcMar>
              <w:bottom w:w="28" w:type="dxa"/>
            </w:tcMar>
            <w:vAlign w:val="center"/>
          </w:tcPr>
          <w:p>
            <w:pPr>
              <w:pStyle w:val="TableContents"/>
              <w:spacing w:before="0" w:after="0"/>
              <w:ind w:left="0" w:right="68" w:hanging="0"/>
              <w:jc w:val="right"/>
              <w:rPr>
                <w:rFonts w:ascii="Times New Roman;Times;serif" w:hAnsi="Times New Roman;Times;serif"/>
                <w:sz w:val="20"/>
              </w:rPr>
            </w:pPr>
            <w:r>
              <w:rPr>
                <w:rFonts w:ascii="Times New Roman;Times;serif" w:hAnsi="Times New Roman;Times;serif"/>
                <w:sz w:val="20"/>
              </w:rPr>
              <w:t>20,297,732</w:t>
            </w:r>
          </w:p>
        </w:tc>
      </w:tr>
    </w:tbl>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presents the Company’s future minimum lease obligation under ASC 842 as of December 31, 2022:</w:t>
      </w:r>
    </w:p>
    <w:p>
      <w:pPr>
        <w:pStyle w:val="TextBody"/>
        <w:spacing w:before="0" w:after="0"/>
        <w:ind w:left="0" w:right="0" w:hanging="0"/>
        <w:rPr/>
      </w:pPr>
      <w:r>
        <w:rPr/>
        <w:t>​</w:t>
      </w:r>
    </w:p>
    <w:tbl>
      <w:tblPr>
        <w:tblW w:w="3097" w:type="dxa"/>
        <w:jc w:val="left"/>
        <w:tblInd w:w="0" w:type="dxa"/>
        <w:tblCellMar>
          <w:top w:w="0" w:type="dxa"/>
          <w:left w:w="0" w:type="dxa"/>
          <w:bottom w:w="0" w:type="dxa"/>
          <w:right w:w="0" w:type="dxa"/>
        </w:tblCellMar>
      </w:tblPr>
      <w:tblGrid>
        <w:gridCol w:w="1411"/>
        <w:gridCol w:w="326"/>
        <w:gridCol w:w="211"/>
        <w:gridCol w:w="1149"/>
      </w:tblGrid>
      <w:tr>
        <w:trPr/>
        <w:tc>
          <w:tcPr>
            <w:tcW w:w="14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895985" cy="175260"/>
                      <wp:effectExtent l="0" t="0" r="0" b="0"/>
                      <wp:wrapNone/>
                      <wp:docPr id="203" name="Frame203"/>
                      <a:graphic xmlns:a="http://schemas.openxmlformats.org/drawingml/2006/main">
                        <a:graphicData uri="http://schemas.microsoft.com/office/word/2010/wordprocessingShape">
                          <wps:wsp>
                            <wps:cNvSpPr txBox="1"/>
                            <wps:spPr>
                              <a:xfrm>
                                <a:off x="0" y="0"/>
                                <a:ext cx="895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07010" cy="175260"/>
                      <wp:effectExtent l="0" t="0" r="0" b="0"/>
                      <wp:wrapNone/>
                      <wp:docPr id="204" name="Frame20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33985" cy="175260"/>
                      <wp:effectExtent l="0" t="0" r="0" b="0"/>
                      <wp:wrapNone/>
                      <wp:docPr id="205" name="Frame20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729615" cy="175260"/>
                      <wp:effectExtent l="0" t="0" r="0" b="0"/>
                      <wp:wrapNone/>
                      <wp:docPr id="206" name="Frame206"/>
                      <a:graphic xmlns:a="http://schemas.openxmlformats.org/drawingml/2006/main">
                        <a:graphicData uri="http://schemas.microsoft.com/office/word/2010/wordprocessingShape">
                          <wps:wsp>
                            <wps:cNvSpPr txBox="1"/>
                            <wps:spPr>
                              <a:xfrm>
                                <a:off x="0" y="0"/>
                                <a:ext cx="7296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4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2023 fiscal year</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5,873,512</w:t>
            </w:r>
          </w:p>
        </w:tc>
      </w:tr>
      <w:tr>
        <w:trPr/>
        <w:tc>
          <w:tcPr>
            <w:tcW w:w="14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2024 fiscal year</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4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5,032,891</w:t>
            </w:r>
          </w:p>
        </w:tc>
      </w:tr>
      <w:tr>
        <w:trPr/>
        <w:tc>
          <w:tcPr>
            <w:tcW w:w="14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2025 fiscal year</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4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4,692,760</w:t>
            </w:r>
          </w:p>
        </w:tc>
      </w:tr>
      <w:tr>
        <w:trPr/>
        <w:tc>
          <w:tcPr>
            <w:tcW w:w="14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2026 fiscal year</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4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4,204,171</w:t>
            </w:r>
          </w:p>
        </w:tc>
      </w:tr>
      <w:tr>
        <w:trPr/>
        <w:tc>
          <w:tcPr>
            <w:tcW w:w="14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2027 fiscal year</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4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2,923,785</w:t>
            </w:r>
          </w:p>
        </w:tc>
      </w:tr>
      <w:tr>
        <w:trPr/>
        <w:tc>
          <w:tcPr>
            <w:tcW w:w="14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Thereafter</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14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10,868,825</w:t>
            </w:r>
          </w:p>
        </w:tc>
      </w:tr>
      <w:tr>
        <w:trPr/>
        <w:tc>
          <w:tcPr>
            <w:tcW w:w="14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9" w:type="dxa"/>
            <w:tcBorders>
              <w:bottom w:val="double" w:sz="6" w:space="0" w:color="000000"/>
            </w:tcBorders>
            <w:shd w:fill="CCEEFF" w:val="clear"/>
            <w:tcMar>
              <w:bottom w:w="28" w:type="dxa"/>
            </w:tcMar>
            <w:vAlign w:val="center"/>
          </w:tcPr>
          <w:p>
            <w:pPr>
              <w:pStyle w:val="TableContents"/>
              <w:spacing w:before="0" w:after="0"/>
              <w:ind w:left="0" w:right="68" w:hanging="0"/>
              <w:jc w:val="right"/>
              <w:rPr>
                <w:rFonts w:ascii="Times New Roman;Times;serif" w:hAnsi="Times New Roman;Times;serif"/>
                <w:sz w:val="20"/>
              </w:rPr>
            </w:pPr>
            <w:r>
              <w:rPr>
                <w:rFonts w:ascii="Times New Roman;Times;serif" w:hAnsi="Times New Roman;Times;serif"/>
                <w:sz w:val="20"/>
              </w:rPr>
              <w:t>33,595,944</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13.</w:t>
      </w:r>
      <w:r>
        <w:rPr>
          <w:rFonts w:ascii="Times New Roman;Times;serif" w:hAnsi="Times New Roman;Times;serif"/>
          <w:b/>
          <w:sz w:val="20"/>
        </w:rPr>
        <w:t>Stockholders’ Equity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authorized to issue two classes of stock, Common Stock and Series A Cumulative Convertible Preferred Stock, par value $0.001 per share (“Preferred Stock”).</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Preferred Stock</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number of shares of Preferred Stock authorized is 10,000,000, par value $0.001 per share. The Preferred Stock may be divided into such number or series as the Board may determine. The Board is authorized to determine and alter the rights, preferences, privileges and restrictions granted and imposed upon any wholly unissued series of preferred stock, and to fix the number and designation of shares of any series of preferred stock. The Board, within limits and restrictions stated in any resolution of the Board, originally fixing the number of shares constituting any series may increase or decrease, but not below the number of such series then outstanding, the shares of any subsequent series.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had 86,994 shares of Preferred Stock issued and 944 in escrow as of December 31, 2022 and 86,994 shares of Preferred Stock issued and 4,428 in escrow as of December 31, 2021. Among other terms, each share of Preferred Stock (i) earns an annual dividend of 8% on the “preference amount,” which initially is equal to the $1,000 per-share purchase price and subject to increase, by having such dividends automatically accrete to, and increase, the outstanding preference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F-22</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amount; (ii) is entitled to a liquidation preference under certain circumstances, (iii) is convertible into shares of Common Stock by dividing the preference amount by $1.20 per share under certain circumstances, and (iv) is subject to a redemption right or obligation under certain circumstances. Accumulated and declared preferred dividends were $7,802,809 and $7,346,153 as of December 31, 2022 and December 31, 2021, respectively. </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Common Stock</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is authorized to issue 250,000,000 shares of Common Stock at a par value of $0.001. The Company had 56,352,545 shares of Common Stock issued, and 55,212,547 shares of Common Stock outstanding, 920,150 of treasury stock and 219,848 shares of Common Stock in escrow as of December 31, 2022and 45,484,314 shares of Common Stock issued, 44,745,870 shares of Common Stock outstanding, 517,044 of treasury stock and 221,400 shares of Common Stock in escrow as of December 31, 2021. </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Common Stock Issued as Compensation to Employees, Officers, and Directors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For the year ended December 31, 2021, the Company issued 323,530 shares of Common Stock valued at $621,272 to employees, officers, and directors as compensation.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For the year ended December 31, 2022, the Company issued 717,546 shares of Common Stock valued at $1,027,288 to employees, officers, and directors as compensation. </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Common and Preferred Stock Issued as Payment for Acquisitions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February 3, 2021, the Company issued 2,319 shares of Preferred Stock valued at $2,318,998, of which 349 shares of Preferred Stock valued at $314,100 were placed in escrow, for acquisition of the Star Buds assets. On March 3, 2021, the Company issued 17,921 shares of Preferred Stock valued at $17,920,982, of which 2,690 shares of Preferred Stock valued at $2,421,000 were placed in escrow, for the acquisition of Star Buds assets.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July 21, 2021, the Company issued 2,213,994 shares of Common Stock valued at $5,377,786 of which 221,400 shares valued at $537,779 were placed in escrow for the acquisition of Southern Colorado Growers. In December 2022, the Company released 205,384 shares of escrow valued at $499,083 and cancelled 16,016 shares valued at $38,919 for satisfaction of indemnity claims pursuant to the asset purchase agreement with Southern Colorado Growers.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December 21, 2021, the Company issued 100,000 shares of Common Stock valued at $197,000 for the acquisition of Smoking Gun Apothecary.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During 2022, the Company issued 1,146,099 shares of Common Stock valued at $1,948,620 for the acquisition of Drift.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Between February and May 2022, the Company issued 7,145,724 shares of Common Stock valued at $11,592,854 for the acquisition of MCG.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May 31, 2022, the Company issued 1,670,230 shares of Common Stock valued at $1,900,000 for the acquisition of Urban Dispensary, of which 219,848 shares valued at $288,000 were held back as collateral for satisfaction of potential indemnity claims pursuant to the underlying purchase agreement.</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Warrants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accounts for Common Stock purchase warrants in accordance with ASC 480, </w:t>
      </w:r>
      <w:r>
        <w:rPr>
          <w:rFonts w:ascii="Times New Roman;Times;serif" w:hAnsi="Times New Roman;Times;serif"/>
          <w:i/>
          <w:sz w:val="20"/>
        </w:rPr>
        <w:t>Accounting for Derivative Financial Instruments Indexed to, and Potentially Settled in, a Company’s Own Stock, Distinguishing Liabilities from Equity</w:t>
      </w:r>
      <w:r>
        <w:rPr>
          <w:rFonts w:ascii="Times New Roman;Times;serif" w:hAnsi="Times New Roman;Times;serif"/>
          <w:sz w:val="20"/>
        </w:rPr>
        <w:t>. The Company estimates the fair value of warrants at date of grant using the Black-Scholes option pricing model. There is a moderate degree of subjectivity involved when using option pricing models to estimate the warrants, and the assumptions used in the Black Scholes option-pricing model are moderately judgmental.</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F-23</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bookmarkStart w:id="1049" w:name="Tc_PnqS_Jeefkup33Bljewvpg_6_4"/>
      <w:bookmarkStart w:id="1050" w:name="Tc_AhI-9e4UyU6WiHgPT2VmDQ_6_0"/>
      <w:bookmarkStart w:id="1051" w:name="Tc_Gt3CbRTcZ0eHx7hurqXHRQ_5_7"/>
      <w:bookmarkStart w:id="1052" w:name="Tc_4uqmqwvpzEiegZm6Kxh9Qw_5_5"/>
      <w:bookmarkStart w:id="1053" w:name="Tc_PpIUlQYPbEmezfB9XmjyJQ_5_2"/>
      <w:bookmarkStart w:id="1054" w:name="Tc_NUa9QNQo_0W3PYTTZjdrIA_5_0"/>
      <w:bookmarkStart w:id="1055" w:name="Tc_sVVACsFsS0--LCeYWtrlbg_4_7"/>
      <w:bookmarkStart w:id="1056" w:name="Tc_t6qzD0RTNkyrtTe6z_OoDA_4_5"/>
      <w:bookmarkStart w:id="1057" w:name="Tc_BaDhaqqVTk6bFxfP5ZG7EQ_4_0"/>
      <w:bookmarkStart w:id="1058" w:name="Tc_hDauXHDL6Eu4e4dRd1OlTw_3_7"/>
      <w:bookmarkStart w:id="1059" w:name="Tc_aFLCGodQZEuHnPrhKBqE-A_3_5"/>
      <w:bookmarkStart w:id="1060" w:name="Tc_UC-c02aBo0y-IhxS1rTM4Q_3_2"/>
      <w:bookmarkStart w:id="1061" w:name="Tc_lawQ1yRr3ECLqGcnof7cHw_3_0"/>
      <w:bookmarkStart w:id="1062" w:name="Tc_add47DIY3EqJq9hJq4QNvw_2_4"/>
      <w:bookmarkStart w:id="1063" w:name="Tc_CmXeASU3xUK6_kMQDMQqKw_2_0"/>
      <w:bookmarkStart w:id="1064" w:name="Tc_vgYj4ug3mUq1ollheYErmg_1_7"/>
      <w:bookmarkStart w:id="1065" w:name="Tc_jam2qkdYrk6BZXphAkBJCQ_1_5"/>
      <w:bookmarkStart w:id="1066" w:name="Tc_pO-aOJ102keNbf8ITozRKg_1_2"/>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r>
        <w:rPr>
          <w:rFonts w:ascii="Times New Roman;Times;serif" w:hAnsi="Times New Roman;Times;serif"/>
          <w:sz w:val="20"/>
          <w:highlight w:val="white"/>
        </w:rPr>
        <w:t>During the year ended December 31, 2020, the Company issued 187,500 Common Stock purchase warrants to an accredited investor with an exercise price of $3.50 per share with an expiration date of three years from the date of issuance. The Company estimated the fair value of these warrants at date of grant using the Black-Scholes option pricing model using the following inputs: (i) stock price on the date of grant of $3.50 , (ii) the contractual term of the warrant of </w:t>
      </w:r>
      <w:r>
        <w:rPr>
          <w:rFonts w:ascii="Times New Roman;Times;serif" w:hAnsi="Times New Roman;Times;serif"/>
          <w:b w:val="false"/>
          <w:i w:val="false"/>
          <w:caps w:val="false"/>
          <w:smallCaps w:val="false"/>
          <w:sz w:val="20"/>
          <w:highlight w:val="white"/>
        </w:rPr>
        <w:t>three years</w:t>
      </w:r>
      <w:r>
        <w:rPr>
          <w:rFonts w:ascii="Times New Roman;Times;serif" w:hAnsi="Times New Roman;Times;serif"/>
          <w:sz w:val="20"/>
          <w:highlight w:val="white"/>
        </w:rPr>
        <w:t> , (iii) a risk-free interest rate ranging between 0.21% - 0.38% and (iv) an expected volatility of the price of the underlying Common Stock ranging between 173.07% - 187.52%.</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For the year ended December 31, 2021, the Company issued warrants to purchase an aggregate of 5,531,249 shares of Common Stock as purchase consideration for the acquisition of certain Star Buds assets. These warrants have an exercise price of $1.20 per share and expiration dates five years from the date of issuance. In addition, the Company issued a warrant to purchase an aggregate of 1,500,000 shares of Common Stock to SHWZ Altmore, LLC in connection with entering into the Loan Agreement. This warrant has an exercise price of $2.50 per share and expires five years from the date of issuance. The Company estimated the fair value of these warrants at date of grant using the Black-Scholes option pricing model using the following inputs: (i) stock price on the date of grant of $1.20 or $2.50, respectively, (ii) the contractual term of the warrant of five years, (iii) a risk-free interest rate ranging between 0.21% - 1.84% and (iv) an expected volatility of the price of the underlying Common Stock ranging between 157.60% - 194.56%.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following table reflects the change in Common Stock purchase warrants: </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541"/>
        <w:gridCol w:w="326"/>
        <w:gridCol w:w="1828"/>
        <w:gridCol w:w="146"/>
        <w:gridCol w:w="211"/>
        <w:gridCol w:w="2091"/>
        <w:gridCol w:w="109"/>
        <w:gridCol w:w="2953"/>
      </w:tblGrid>
      <w:tr>
        <w:trPr/>
        <w:tc>
          <w:tcPr>
            <w:tcW w:w="25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613535" cy="175260"/>
                      <wp:effectExtent l="0" t="0" r="0" b="0"/>
                      <wp:wrapNone/>
                      <wp:docPr id="207" name="Frame207"/>
                      <a:graphic xmlns:a="http://schemas.openxmlformats.org/drawingml/2006/main">
                        <a:graphicData uri="http://schemas.microsoft.com/office/word/2010/wordprocessingShape">
                          <wps:wsp>
                            <wps:cNvSpPr txBox="1"/>
                            <wps:spPr>
                              <a:xfrm>
                                <a:off x="0" y="0"/>
                                <a:ext cx="1613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07010" cy="175260"/>
                      <wp:effectExtent l="0" t="0" r="0" b="0"/>
                      <wp:wrapNone/>
                      <wp:docPr id="208" name="Frame20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8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160780" cy="175260"/>
                      <wp:effectExtent l="0" t="0" r="0" b="0"/>
                      <wp:wrapNone/>
                      <wp:docPr id="209" name="Frame209"/>
                      <a:graphic xmlns:a="http://schemas.openxmlformats.org/drawingml/2006/main">
                        <a:graphicData uri="http://schemas.microsoft.com/office/word/2010/wordprocessingShape">
                          <wps:wsp>
                            <wps:cNvSpPr txBox="1"/>
                            <wps:spPr>
                              <a:xfrm>
                                <a:off x="0" y="0"/>
                                <a:ext cx="11607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92710" cy="175260"/>
                      <wp:effectExtent l="0" t="0" r="0" b="0"/>
                      <wp:wrapNone/>
                      <wp:docPr id="210" name="Frame210"/>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33985" cy="175260"/>
                      <wp:effectExtent l="0" t="0" r="0" b="0"/>
                      <wp:wrapNone/>
                      <wp:docPr id="211" name="Frame21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327785" cy="175260"/>
                      <wp:effectExtent l="0" t="0" r="0" b="0"/>
                      <wp:wrapNone/>
                      <wp:docPr id="212" name="Frame212"/>
                      <a:graphic xmlns:a="http://schemas.openxmlformats.org/drawingml/2006/main">
                        <a:graphicData uri="http://schemas.microsoft.com/office/word/2010/wordprocessingShape">
                          <wps:wsp>
                            <wps:cNvSpPr txBox="1"/>
                            <wps:spPr>
                              <a:xfrm>
                                <a:off x="0" y="0"/>
                                <a:ext cx="1327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9215" cy="175260"/>
                      <wp:effectExtent l="0" t="0" r="0" b="0"/>
                      <wp:wrapNone/>
                      <wp:docPr id="213" name="Frame21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95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875155" cy="175260"/>
                      <wp:effectExtent l="0" t="0" r="0" b="0"/>
                      <wp:wrapNone/>
                      <wp:docPr id="214" name="Frame214"/>
                      <a:graphic xmlns:a="http://schemas.openxmlformats.org/drawingml/2006/main">
                        <a:graphicData uri="http://schemas.microsoft.com/office/word/2010/wordprocessingShape">
                          <wps:wsp>
                            <wps:cNvSpPr txBox="1"/>
                            <wps:spPr>
                              <a:xfrm>
                                <a:off x="0" y="0"/>
                                <a:ext cx="18751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5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828"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 Classified Warrants</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w:t>
            </w:r>
          </w:p>
        </w:tc>
        <w:tc>
          <w:tcPr>
            <w:tcW w:w="20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 Exercise Price</w:t>
            </w:r>
          </w:p>
        </w:tc>
        <w:tc>
          <w:tcPr>
            <w:tcW w:w="109" w:type="dxa"/>
            <w:tcBorders/>
            <w:shd w:fill="auto" w:val="clear"/>
            <w:vAlign w:val="center"/>
          </w:tcPr>
          <w:p>
            <w:pPr>
              <w:pStyle w:val="TableContents"/>
              <w:spacing w:before="0" w:after="0"/>
              <w:ind w:left="0" w:right="0" w:hanging="0"/>
              <w:jc w:val="center"/>
              <w:rPr/>
            </w:pPr>
            <w:r>
              <w:rPr/>
              <w:t>​</w:t>
            </w:r>
          </w:p>
        </w:tc>
        <w:tc>
          <w:tcPr>
            <w:tcW w:w="2953"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 Remaining Contractual Life</w:t>
            </w:r>
          </w:p>
        </w:tc>
      </w:tr>
      <w:tr>
        <w:trPr/>
        <w:tc>
          <w:tcPr>
            <w:tcW w:w="25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as of December 31, 2021</w:t>
            </w:r>
          </w:p>
        </w:tc>
        <w:tc>
          <w:tcPr>
            <w:tcW w:w="326" w:type="dxa"/>
            <w:tcBorders/>
            <w:shd w:fill="CCEEFF" w:val="clear"/>
            <w:vAlign w:val="center"/>
          </w:tcPr>
          <w:p>
            <w:pPr>
              <w:pStyle w:val="TableContents"/>
              <w:spacing w:before="0" w:after="0"/>
              <w:ind w:left="0" w:right="0" w:hanging="0"/>
              <w:rPr/>
            </w:pPr>
            <w:r>
              <w:rPr/>
              <w:t>​</w:t>
            </w:r>
          </w:p>
        </w:tc>
        <w:tc>
          <w:tcPr>
            <w:tcW w:w="182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17,218,750</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20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2.96</w:t>
            </w:r>
          </w:p>
        </w:tc>
        <w:tc>
          <w:tcPr>
            <w:tcW w:w="109" w:type="dxa"/>
            <w:tcBorders/>
            <w:shd w:fill="CCEEFF" w:val="clear"/>
            <w:vAlign w:val="center"/>
          </w:tcPr>
          <w:p>
            <w:pPr>
              <w:pStyle w:val="TableContents"/>
              <w:spacing w:before="0" w:after="0"/>
              <w:ind w:left="0" w:right="0" w:hanging="0"/>
              <w:rPr/>
            </w:pPr>
            <w:r>
              <w:rPr/>
              <w:t>​</w:t>
            </w:r>
          </w:p>
        </w:tc>
        <w:tc>
          <w:tcPr>
            <w:tcW w:w="295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r>
      <w:tr>
        <w:trPr/>
        <w:tc>
          <w:tcPr>
            <w:tcW w:w="25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Warrants exercised</w:t>
            </w:r>
          </w:p>
        </w:tc>
        <w:tc>
          <w:tcPr>
            <w:tcW w:w="326" w:type="dxa"/>
            <w:tcBorders/>
            <w:shd w:fill="auto" w:val="clear"/>
            <w:vAlign w:val="center"/>
          </w:tcPr>
          <w:p>
            <w:pPr>
              <w:pStyle w:val="TableContents"/>
              <w:spacing w:before="0" w:after="0"/>
              <w:ind w:left="0" w:right="0" w:hanging="0"/>
              <w:rPr/>
            </w:pPr>
            <w:r>
              <w:rPr/>
              <w:t> </w:t>
            </w:r>
          </w:p>
        </w:tc>
        <w:tc>
          <w:tcPr>
            <w:tcW w:w="182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209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953" w:type="dxa"/>
            <w:tcBorders/>
            <w:shd w:fill="auto" w:val="clear"/>
            <w:vAlign w:val="center"/>
          </w:tcPr>
          <w:p>
            <w:pPr>
              <w:pStyle w:val="TableContents"/>
              <w:spacing w:before="0" w:after="0"/>
              <w:ind w:left="0" w:right="0" w:hanging="0"/>
              <w:jc w:val="right"/>
              <w:rPr/>
            </w:pPr>
            <w:r>
              <w:rPr/>
              <w:t>—</w:t>
            </w:r>
          </w:p>
        </w:tc>
      </w:tr>
      <w:tr>
        <w:trPr/>
        <w:tc>
          <w:tcPr>
            <w:tcW w:w="25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Warrants forfeited/expired</w:t>
            </w:r>
          </w:p>
        </w:tc>
        <w:tc>
          <w:tcPr>
            <w:tcW w:w="326" w:type="dxa"/>
            <w:tcBorders/>
            <w:shd w:fill="CCEEFF" w:val="clear"/>
            <w:vAlign w:val="center"/>
          </w:tcPr>
          <w:p>
            <w:pPr>
              <w:pStyle w:val="TableContents"/>
              <w:spacing w:before="0" w:after="0"/>
              <w:ind w:left="0" w:right="0" w:hanging="0"/>
              <w:rPr/>
            </w:pPr>
            <w:r>
              <w:rPr/>
              <w:t> </w:t>
            </w:r>
          </w:p>
        </w:tc>
        <w:tc>
          <w:tcPr>
            <w:tcW w:w="182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(10,000,000)</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209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953" w:type="dxa"/>
            <w:tcBorders/>
            <w:shd w:fill="CCEEFF" w:val="clear"/>
            <w:vAlign w:val="center"/>
          </w:tcPr>
          <w:p>
            <w:pPr>
              <w:pStyle w:val="TableContents"/>
              <w:spacing w:before="0" w:after="0"/>
              <w:ind w:left="0" w:right="0" w:hanging="0"/>
              <w:jc w:val="right"/>
              <w:rPr/>
            </w:pPr>
            <w:r>
              <w:rPr/>
              <w:t>—</w:t>
            </w:r>
          </w:p>
        </w:tc>
      </w:tr>
      <w:tr>
        <w:trPr/>
        <w:tc>
          <w:tcPr>
            <w:tcW w:w="25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Warrants issued</w:t>
            </w:r>
          </w:p>
        </w:tc>
        <w:tc>
          <w:tcPr>
            <w:tcW w:w="326" w:type="dxa"/>
            <w:tcBorders/>
            <w:shd w:fill="auto" w:val="clear"/>
            <w:vAlign w:val="center"/>
          </w:tcPr>
          <w:p>
            <w:pPr>
              <w:pStyle w:val="TableContents"/>
              <w:spacing w:before="0" w:after="0"/>
              <w:ind w:left="0" w:right="0" w:hanging="0"/>
              <w:rPr/>
            </w:pPr>
            <w:r>
              <w:rPr/>
              <w:t> </w:t>
            </w:r>
          </w:p>
        </w:tc>
        <w:tc>
          <w:tcPr>
            <w:tcW w:w="1828"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209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95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25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as of December 31, 2022</w:t>
            </w:r>
          </w:p>
        </w:tc>
        <w:tc>
          <w:tcPr>
            <w:tcW w:w="326" w:type="dxa"/>
            <w:tcBorders/>
            <w:shd w:fill="CCEEFF" w:val="clear"/>
            <w:vAlign w:val="center"/>
          </w:tcPr>
          <w:p>
            <w:pPr>
              <w:pStyle w:val="TableContents"/>
              <w:spacing w:before="0" w:after="0"/>
              <w:ind w:left="0" w:right="0" w:hanging="0"/>
              <w:rPr/>
            </w:pPr>
            <w:r>
              <w:rPr/>
              <w:t> </w:t>
            </w:r>
          </w:p>
        </w:tc>
        <w:tc>
          <w:tcPr>
            <w:tcW w:w="182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7,218,750</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20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c>
          <w:tcPr>
            <w:tcW w:w="109" w:type="dxa"/>
            <w:tcBorders/>
            <w:shd w:fill="CCEEFF" w:val="clear"/>
            <w:vAlign w:val="center"/>
          </w:tcPr>
          <w:p>
            <w:pPr>
              <w:pStyle w:val="TableContents"/>
              <w:spacing w:before="0" w:after="0"/>
              <w:ind w:left="0" w:right="0" w:hanging="0"/>
              <w:rPr/>
            </w:pPr>
            <w:r>
              <w:rPr/>
              <w:t>​</w:t>
            </w:r>
          </w:p>
        </w:tc>
        <w:tc>
          <w:tcPr>
            <w:tcW w:w="2953" w:type="dxa"/>
            <w:tcBorders>
              <w:bottom w:val="double" w:sz="6" w:space="0" w:color="000000"/>
            </w:tcBorders>
            <w:shd w:fill="CCEEFF" w:val="clear"/>
            <w:tcMar>
              <w:bottom w:w="28" w:type="dxa"/>
            </w:tcMar>
            <w:vAlign w:val="center"/>
          </w:tcPr>
          <w:p>
            <w:pPr>
              <w:pStyle w:val="TableContents"/>
              <w:spacing w:before="0" w:after="0"/>
              <w:ind w:left="0" w:right="68" w:hanging="0"/>
              <w:jc w:val="right"/>
              <w:rPr>
                <w:rFonts w:ascii="Times New Roman;Times;serif" w:hAnsi="Times New Roman;Times;serif"/>
                <w:sz w:val="20"/>
              </w:rPr>
            </w:pPr>
            <w:r>
              <w:rPr>
                <w:rFonts w:ascii="Times New Roman;Times;serif" w:hAnsi="Times New Roman;Times;serif"/>
                <w:sz w:val="20"/>
              </w:rPr>
              <w:t>2.99</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Conversion of Preferred Stock to Common Stock</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December 20, 2021, a holder of Preferred Stock converted 272 shares of Preferred Stock into 245,017 of Common Stock. </w:t>
      </w:r>
    </w:p>
    <w:p>
      <w:pPr>
        <w:pStyle w:val="TextBody"/>
        <w:spacing w:before="0" w:after="0"/>
        <w:ind w:left="0" w:right="0" w:hanging="0"/>
        <w:rPr/>
      </w:pPr>
      <w:r>
        <w:rPr/>
        <w:t>​</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14.</w:t>
      </w:r>
      <w:r>
        <w:rPr>
          <w:rFonts w:ascii="Times New Roman;Times;serif" w:hAnsi="Times New Roman;Times;serif"/>
          <w:b/>
          <w:sz w:val="20"/>
        </w:rPr>
        <w:t>Earnings per share (Basic and Dilutive)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computes net income (loss) per share in accordance with ASC 260, </w:t>
      </w:r>
      <w:r>
        <w:rPr>
          <w:rFonts w:ascii="Times New Roman;Times;serif" w:hAnsi="Times New Roman;Times;serif"/>
          <w:i/>
          <w:sz w:val="20"/>
        </w:rPr>
        <w:t>Earnings per Share</w:t>
      </w:r>
      <w:r>
        <w:rPr>
          <w:rFonts w:ascii="Times New Roman;Times;serif" w:hAnsi="Times New Roman;Times;serif"/>
          <w:sz w:val="20"/>
        </w:rPr>
        <w:t>. ASC 260 requires presentation of both basic and diluted Earnings Per Share (“EPS”) on the face of the income statement. Basic EPS is computed by dividing net income (loss) available to Common Stockholders (numerator) by the weighted average number of shares outstanding (denominator) during the period. Diluted EPS gives effect to all dilutive potential common shares outstanding during the period using the treasury stock method and convertible preferred stock using the if-converted method. These potential dilutive shares include 1,187,124 vested stock options, 7,218,750 stock purchase warrants, and 86,994 shares of Preferred Stock. In computing diluted EPS, the average stock price for the period is used in determining the number of shares assumed to be purchased from the exercise of stock options or warrants. Diluted EPS excludes all dilutive potential shares if their effect is anti-dilutive.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F-24</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bookmarkStart w:id="1067" w:name="Tc_pnb7tlgLpkOvK-FHwK54Ew_28_5"/>
      <w:bookmarkStart w:id="1068" w:name="Tc_GXU6qpxF7EqKce3zN0mUDg_28_2"/>
      <w:bookmarkStart w:id="1069" w:name="Tc_TWZwFxUeP0GhsTD-vXIXsQ_28_0"/>
      <w:bookmarkStart w:id="1070" w:name="Tc_Zzh1XHONqk-vFY4O3X7YyQ_26_0"/>
      <w:bookmarkStart w:id="1071" w:name="Tc_zmyKXHqM-UGA5nwC-pCsAw_25_3"/>
      <w:bookmarkStart w:id="1072" w:name="Tc_tMMBscR4qUaWi_U4FAgtsg_25_0"/>
      <w:bookmarkStart w:id="1073" w:name="Tc_ZrAFk__EZ0uP-wx_0HBopA_24_3"/>
      <w:bookmarkStart w:id="1074" w:name="Tc_pLewdqKTEE2EPT-B1J4GxQ_24_0"/>
      <w:bookmarkStart w:id="1075" w:name="Tc_ZxCcO5dKak-R6u9nhv9xpg_23_3"/>
      <w:bookmarkStart w:id="1076" w:name="Tc_6kiYSd4BFEyw0pSS8FWKYQ_23_0"/>
      <w:bookmarkStart w:id="1077" w:name="Tc_pJ5BnDQXA0Crddk8-_FZaQ_22_0"/>
      <w:bookmarkStart w:id="1078" w:name="Tc_oWr8wEydckary1d5zFbtQA_21_0"/>
      <w:bookmarkStart w:id="1079" w:name="Tc_BdaCC650wUOkl-6CXirRbQ_19_5"/>
      <w:bookmarkStart w:id="1080" w:name="Tc_eiRv136vB0-CRiRI5jd-bA_19_2"/>
      <w:bookmarkStart w:id="1081" w:name="Tc_4LBnNhS5LkeyG0jNHtpwMg_19_0"/>
      <w:bookmarkStart w:id="1082" w:name="Tc_ujeUBpCJ-UyqTQL4NYv-kg_18_3"/>
      <w:bookmarkStart w:id="1083" w:name="Tc__JNIOeS9uUm5UcT4_y_VEA_18_0"/>
      <w:bookmarkStart w:id="1084" w:name="Tc_J9QBhTOpt0ehUehUGGzTOw_17_3"/>
      <w:bookmarkStart w:id="1085" w:name="Tc_1TMKkKkBh0mXCJ6ltb3qlg_17_0"/>
      <w:bookmarkStart w:id="1086" w:name="Tc_DJtDpIVfJEqghiEAU6102g_16_3"/>
      <w:bookmarkStart w:id="1087" w:name="Tc_uxTtnzcNbkG14OuTo4JkKg_16_0"/>
      <w:bookmarkStart w:id="1088" w:name="Tc_mYTJyF4UlUm4_2sCxtaY9Q_15_0"/>
      <w:bookmarkStart w:id="1089" w:name="Tc_Ow_Na22SzkOOi1H3zo7JcA_14_0"/>
      <w:bookmarkStart w:id="1090" w:name="Tc__XzyznRCjECp55IFtzpZmw_12_5"/>
      <w:bookmarkStart w:id="1091" w:name="Tc_h_KaXjicnUyHJRWfsrtkJA_12_2"/>
      <w:bookmarkStart w:id="1092" w:name="Tc_6szxEeUQfEKpyZ0zL1zXww_12_0"/>
      <w:bookmarkStart w:id="1093" w:name="Tc_YM_wIrGHRUGvjVe7CYk5wQ_10_0"/>
      <w:bookmarkStart w:id="1094" w:name="Tc_X2lIOIu_3E2-KMT-PSY1zQ_9_0"/>
      <w:bookmarkStart w:id="1095" w:name="Tc_25EoT_L-MUmpV__nk61hTA_7_5"/>
      <w:bookmarkStart w:id="1096" w:name="Tc_-jZsmYLFiUCR9TqbdC4ZdQ_7_2"/>
      <w:bookmarkStart w:id="1097" w:name="Tc_fwEziFmFCEOOWtHNouM5iw_7_0"/>
      <w:bookmarkStart w:id="1098" w:name="Tc_HLm_miabE0axOeMV_R-P0A_6_0"/>
      <w:bookmarkStart w:id="1099" w:name="Tc_-JCae6ugj0SUSkM1w5T1QA_5_5"/>
      <w:bookmarkStart w:id="1100" w:name="Tc_s6ZSy3Q1y0Ss98QTGbnBWw_5_2"/>
      <w:bookmarkStart w:id="1101" w:name="Tc_ViKcTTZdEUuAu8UowactVg_5_0"/>
      <w:bookmarkStart w:id="1102" w:name="Tc_qVWK2oPsEU6vUZlDk4NfKg_4_0"/>
      <w:bookmarkStart w:id="1103" w:name="Tc_tyPPka4DG0Osb9jYSgPcZg_3_5"/>
      <w:bookmarkStart w:id="1104" w:name="Tc_TrBMWZ4LXEi4uV6L1QnhhA_3_2"/>
      <w:bookmarkStart w:id="1105" w:name="Tc_HYM6o5_GeUCCpmP7S6qK2A_2_2"/>
      <w:bookmarkStart w:id="1106" w:name="Tc_cnMp3O1dCkCeXcFkCPIxRQ_1_2"/>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r>
        <w:rPr>
          <w:rFonts w:ascii="Times New Roman;Times;serif" w:hAnsi="Times New Roman;Times;serif"/>
          <w:sz w:val="20"/>
        </w:rPr>
        <w:t>The following is a reconciliation of the numerator and denominator used in the basic and diluted EPS calculations for the  years ended December 31, 2022 and 2021.</w:t>
      </w:r>
    </w:p>
    <w:p>
      <w:pPr>
        <w:pStyle w:val="TextBody"/>
        <w:spacing w:before="0" w:after="0"/>
        <w:ind w:left="0" w:right="0" w:hanging="0"/>
        <w:rPr/>
      </w:pPr>
      <w:r>
        <w:rPr/>
        <w:t>​</w:t>
      </w:r>
    </w:p>
    <w:tbl>
      <w:tblPr>
        <w:tblW w:w="9158" w:type="dxa"/>
        <w:jc w:val="left"/>
        <w:tblInd w:w="0" w:type="dxa"/>
        <w:tblCellMar>
          <w:top w:w="0" w:type="dxa"/>
          <w:left w:w="0" w:type="dxa"/>
          <w:bottom w:w="0" w:type="dxa"/>
          <w:right w:w="0" w:type="dxa"/>
        </w:tblCellMar>
      </w:tblPr>
      <w:tblGrid>
        <w:gridCol w:w="5401"/>
        <w:gridCol w:w="326"/>
        <w:gridCol w:w="211"/>
        <w:gridCol w:w="1156"/>
        <w:gridCol w:w="326"/>
        <w:gridCol w:w="211"/>
        <w:gridCol w:w="1156"/>
        <w:gridCol w:w="371"/>
      </w:tblGrid>
      <w:tr>
        <w:trPr/>
        <w:tc>
          <w:tcPr>
            <w:tcW w:w="54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3429635" cy="175260"/>
                      <wp:effectExtent l="0" t="0" r="0" b="0"/>
                      <wp:wrapNone/>
                      <wp:docPr id="215" name="Frame215"/>
                      <a:graphic xmlns:a="http://schemas.openxmlformats.org/drawingml/2006/main">
                        <a:graphicData uri="http://schemas.microsoft.com/office/word/2010/wordprocessingShape">
                          <wps:wsp>
                            <wps:cNvSpPr txBox="1"/>
                            <wps:spPr>
                              <a:xfrm>
                                <a:off x="0" y="0"/>
                                <a:ext cx="3429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07010" cy="175260"/>
                      <wp:effectExtent l="0" t="0" r="0" b="0"/>
                      <wp:wrapNone/>
                      <wp:docPr id="216" name="Frame21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33985" cy="175260"/>
                      <wp:effectExtent l="0" t="0" r="0" b="0"/>
                      <wp:wrapNone/>
                      <wp:docPr id="217" name="Frame21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734060" cy="175260"/>
                      <wp:effectExtent l="0" t="0" r="0" b="0"/>
                      <wp:wrapNone/>
                      <wp:docPr id="218" name="Frame218"/>
                      <a:graphic xmlns:a="http://schemas.openxmlformats.org/drawingml/2006/main">
                        <a:graphicData uri="http://schemas.microsoft.com/office/word/2010/wordprocessingShape">
                          <wps:wsp>
                            <wps:cNvSpPr txBox="1"/>
                            <wps:spPr>
                              <a:xfrm>
                                <a:off x="0" y="0"/>
                                <a:ext cx="734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07010" cy="175260"/>
                      <wp:effectExtent l="0" t="0" r="0" b="0"/>
                      <wp:wrapNone/>
                      <wp:docPr id="219" name="Frame2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33985" cy="175260"/>
                      <wp:effectExtent l="0" t="0" r="0" b="0"/>
                      <wp:wrapNone/>
                      <wp:docPr id="220" name="Frame22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734060" cy="175260"/>
                      <wp:effectExtent l="0" t="0" r="0" b="0"/>
                      <wp:wrapNone/>
                      <wp:docPr id="221" name="Frame221"/>
                      <a:graphic xmlns:a="http://schemas.openxmlformats.org/drawingml/2006/main">
                        <a:graphicData uri="http://schemas.microsoft.com/office/word/2010/wordprocessingShape">
                          <wps:wsp>
                            <wps:cNvSpPr txBox="1"/>
                            <wps:spPr>
                              <a:xfrm>
                                <a:off x="0" y="0"/>
                                <a:ext cx="734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35585" cy="175260"/>
                      <wp:effectExtent l="0" t="0" r="0" b="0"/>
                      <wp:wrapNone/>
                      <wp:docPr id="222" name="Frame222"/>
                      <a:graphic xmlns:a="http://schemas.openxmlformats.org/drawingml/2006/main">
                        <a:graphicData uri="http://schemas.microsoft.com/office/word/2010/wordprocessingShape">
                          <wps:wsp>
                            <wps:cNvSpPr txBox="1"/>
                            <wps:spPr>
                              <a:xfrm>
                                <a:off x="0" y="0"/>
                                <a:ext cx="235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4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306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Year Ended </w:t>
            </w:r>
          </w:p>
        </w:tc>
        <w:tc>
          <w:tcPr>
            <w:tcW w:w="371" w:type="dxa"/>
            <w:tcBorders/>
            <w:shd w:fill="auto" w:val="clear"/>
            <w:vAlign w:val="center"/>
          </w:tcPr>
          <w:p>
            <w:pPr>
              <w:pStyle w:val="TableContents"/>
              <w:spacing w:before="0" w:after="0"/>
              <w:ind w:left="0" w:right="0" w:hanging="0"/>
              <w:rPr/>
            </w:pPr>
            <w:r>
              <w:rPr/>
              <w:t>    </w:t>
            </w:r>
          </w:p>
        </w:tc>
      </w:tr>
      <w:tr>
        <w:trPr/>
        <w:tc>
          <w:tcPr>
            <w:tcW w:w="54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06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71" w:type="dxa"/>
            <w:tcBorders/>
            <w:shd w:fill="auto" w:val="clear"/>
            <w:vAlign w:val="center"/>
          </w:tcPr>
          <w:p>
            <w:pPr>
              <w:pStyle w:val="TableContents"/>
              <w:spacing w:before="0" w:after="0"/>
              <w:ind w:left="0" w:right="0" w:hanging="0"/>
              <w:rPr/>
            </w:pPr>
            <w:r>
              <w:rPr/>
              <w:t>​</w:t>
            </w:r>
          </w:p>
        </w:tc>
      </w:tr>
      <w:tr>
        <w:trPr/>
        <w:tc>
          <w:tcPr>
            <w:tcW w:w="54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36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    </w:t>
            </w:r>
          </w:p>
        </w:tc>
        <w:tc>
          <w:tcPr>
            <w:tcW w:w="136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71" w:type="dxa"/>
            <w:tcBorders/>
            <w:shd w:fill="auto" w:val="clear"/>
            <w:vAlign w:val="center"/>
          </w:tcPr>
          <w:p>
            <w:pPr>
              <w:pStyle w:val="TableContents"/>
              <w:spacing w:before="0" w:after="0"/>
              <w:ind w:left="0" w:right="0" w:hanging="0"/>
              <w:rPr/>
            </w:pPr>
            <w:r>
              <w:rPr/>
              <w:t>    </w:t>
            </w:r>
          </w:p>
        </w:tc>
      </w:tr>
      <w:tr>
        <w:trPr/>
        <w:tc>
          <w:tcPr>
            <w:tcW w:w="540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Numerator:</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115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1156" w:type="dxa"/>
            <w:tcBorders/>
            <w:shd w:fill="CCEEFF" w:val="clear"/>
            <w:vAlign w:val="center"/>
          </w:tcPr>
          <w:p>
            <w:pPr>
              <w:pStyle w:val="TableContents"/>
              <w:spacing w:before="0" w:after="0"/>
              <w:ind w:left="0" w:right="0" w:hanging="0"/>
              <w:jc w:val="right"/>
              <w:rPr/>
            </w:pPr>
            <w:r>
              <w:rPr/>
              <w:t>  </w:t>
            </w:r>
          </w:p>
        </w:tc>
        <w:tc>
          <w:tcPr>
            <w:tcW w:w="371" w:type="dxa"/>
            <w:tcBorders/>
            <w:shd w:fill="CCEEFF" w:val="clear"/>
            <w:vAlign w:val="center"/>
          </w:tcPr>
          <w:p>
            <w:pPr>
              <w:pStyle w:val="TableContents"/>
              <w:spacing w:before="0" w:after="0"/>
              <w:ind w:left="0" w:right="0" w:hanging="0"/>
              <w:rPr/>
            </w:pPr>
            <w:r>
              <w:rPr/>
              <w:t> </w:t>
            </w:r>
          </w:p>
        </w:tc>
      </w:tr>
      <w:tr>
        <w:trPr/>
        <w:tc>
          <w:tcPr>
            <w:tcW w:w="54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 (loss)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(18,467,615)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14,519,130</w:t>
            </w:r>
          </w:p>
        </w:tc>
        <w:tc>
          <w:tcPr>
            <w:tcW w:w="371" w:type="dxa"/>
            <w:tcBorders/>
            <w:shd w:fill="auto" w:val="clear"/>
            <w:vAlign w:val="center"/>
          </w:tcPr>
          <w:p>
            <w:pPr>
              <w:pStyle w:val="TableContents"/>
              <w:spacing w:before="0" w:after="0"/>
              <w:ind w:left="0" w:right="0" w:hanging="0"/>
              <w:rPr/>
            </w:pPr>
            <w:r>
              <w:rPr/>
              <w:t>​</w:t>
            </w:r>
          </w:p>
        </w:tc>
      </w:tr>
      <w:tr>
        <w:trPr/>
        <w:tc>
          <w:tcPr>
            <w:tcW w:w="54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Accumulated preferred stock dividends for the period</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(7,802,809)</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(7,346,153)</w:t>
            </w:r>
          </w:p>
        </w:tc>
        <w:tc>
          <w:tcPr>
            <w:tcW w:w="371" w:type="dxa"/>
            <w:tcBorders/>
            <w:shd w:fill="CCEEFF" w:val="clear"/>
            <w:vAlign w:val="center"/>
          </w:tcPr>
          <w:p>
            <w:pPr>
              <w:pStyle w:val="TableContents"/>
              <w:spacing w:before="0" w:after="0"/>
              <w:ind w:left="0" w:right="0" w:hanging="0"/>
              <w:rPr/>
            </w:pPr>
            <w:r>
              <w:rPr/>
              <w:t>​</w:t>
            </w:r>
          </w:p>
        </w:tc>
      </w:tr>
      <w:tr>
        <w:trPr/>
        <w:tc>
          <w:tcPr>
            <w:tcW w:w="54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 (loss) attributable to common stockholders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(26,270,424)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7,172,977</w:t>
            </w:r>
          </w:p>
        </w:tc>
        <w:tc>
          <w:tcPr>
            <w:tcW w:w="371" w:type="dxa"/>
            <w:tcBorders/>
            <w:shd w:fill="auto" w:val="clear"/>
            <w:vAlign w:val="center"/>
          </w:tcPr>
          <w:p>
            <w:pPr>
              <w:pStyle w:val="TableContents"/>
              <w:spacing w:before="0" w:after="0"/>
              <w:ind w:left="0" w:right="0" w:hanging="0"/>
              <w:rPr/>
            </w:pPr>
            <w:r>
              <w:rPr/>
              <w:t>​</w:t>
            </w:r>
          </w:p>
        </w:tc>
      </w:tr>
      <w:tr>
        <w:trPr/>
        <w:tc>
          <w:tcPr>
            <w:tcW w:w="540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15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156" w:type="dxa"/>
            <w:tcBorders/>
            <w:shd w:fill="CCEEFF" w:val="clear"/>
            <w:vAlign w:val="center"/>
          </w:tcPr>
          <w:p>
            <w:pPr>
              <w:pStyle w:val="TableContents"/>
              <w:spacing w:before="0" w:after="0"/>
              <w:ind w:left="0" w:right="0" w:hanging="0"/>
              <w:rPr/>
            </w:pPr>
            <w:r>
              <w:rPr/>
              <w:t>​</w:t>
            </w:r>
          </w:p>
        </w:tc>
        <w:tc>
          <w:tcPr>
            <w:tcW w:w="371" w:type="dxa"/>
            <w:tcBorders/>
            <w:shd w:fill="CCEEFF" w:val="clear"/>
            <w:vAlign w:val="center"/>
          </w:tcPr>
          <w:p>
            <w:pPr>
              <w:pStyle w:val="TableContents"/>
              <w:spacing w:before="0" w:after="0"/>
              <w:ind w:left="0" w:right="0" w:hanging="0"/>
              <w:rPr/>
            </w:pPr>
            <w:r>
              <w:rPr/>
              <w:t>​</w:t>
            </w:r>
          </w:p>
        </w:tc>
      </w:tr>
      <w:tr>
        <w:trPr/>
        <w:tc>
          <w:tcPr>
            <w:tcW w:w="540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Denominator:</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right"/>
              <w:rPr/>
            </w:pPr>
            <w:r>
              <w:rPr/>
              <w:t>  </w:t>
            </w:r>
          </w:p>
        </w:tc>
        <w:tc>
          <w:tcPr>
            <w:tcW w:w="371" w:type="dxa"/>
            <w:tcBorders/>
            <w:shd w:fill="auto" w:val="clear"/>
            <w:vAlign w:val="center"/>
          </w:tcPr>
          <w:p>
            <w:pPr>
              <w:pStyle w:val="TableContents"/>
              <w:spacing w:before="0" w:after="0"/>
              <w:ind w:left="0" w:right="0" w:hanging="0"/>
              <w:rPr/>
            </w:pPr>
            <w:r>
              <w:rPr/>
              <w:t>​</w:t>
            </w:r>
          </w:p>
        </w:tc>
      </w:tr>
      <w:tr>
        <w:trPr/>
        <w:tc>
          <w:tcPr>
            <w:tcW w:w="54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Weighted-average shares of common stock</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53,637,003</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43,339,092</w:t>
            </w:r>
          </w:p>
        </w:tc>
        <w:tc>
          <w:tcPr>
            <w:tcW w:w="371" w:type="dxa"/>
            <w:tcBorders/>
            <w:shd w:fill="CCEEFF" w:val="clear"/>
            <w:vAlign w:val="center"/>
          </w:tcPr>
          <w:p>
            <w:pPr>
              <w:pStyle w:val="TableContents"/>
              <w:spacing w:before="0" w:after="0"/>
              <w:ind w:left="0" w:right="0" w:hanging="0"/>
              <w:rPr/>
            </w:pPr>
            <w:r>
              <w:rPr/>
              <w:t>​</w:t>
            </w:r>
          </w:p>
        </w:tc>
      </w:tr>
      <w:tr>
        <w:trPr/>
        <w:tc>
          <w:tcPr>
            <w:tcW w:w="54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15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15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71" w:type="dxa"/>
            <w:tcBorders/>
            <w:shd w:fill="auto" w:val="clear"/>
            <w:vAlign w:val="center"/>
          </w:tcPr>
          <w:p>
            <w:pPr>
              <w:pStyle w:val="TableContents"/>
              <w:spacing w:before="0" w:after="0"/>
              <w:ind w:left="0" w:right="0" w:hanging="0"/>
              <w:rPr/>
            </w:pPr>
            <w:r>
              <w:rPr/>
              <w:t>​</w:t>
            </w:r>
          </w:p>
        </w:tc>
      </w:tr>
      <w:tr>
        <w:trPr/>
        <w:tc>
          <w:tcPr>
            <w:tcW w:w="54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Basic earnings per share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(0.49)</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0.17</w:t>
            </w:r>
          </w:p>
        </w:tc>
        <w:tc>
          <w:tcPr>
            <w:tcW w:w="371" w:type="dxa"/>
            <w:tcBorders/>
            <w:shd w:fill="CCEEFF" w:val="clear"/>
            <w:vAlign w:val="center"/>
          </w:tcPr>
          <w:p>
            <w:pPr>
              <w:pStyle w:val="TableContents"/>
              <w:spacing w:before="0" w:after="0"/>
              <w:ind w:left="0" w:right="0" w:hanging="0"/>
              <w:rPr/>
            </w:pPr>
            <w:r>
              <w:rPr/>
              <w:t>​</w:t>
            </w:r>
          </w:p>
        </w:tc>
      </w:tr>
      <w:tr>
        <w:trPr/>
        <w:tc>
          <w:tcPr>
            <w:tcW w:w="54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1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156" w:type="dxa"/>
            <w:tcBorders/>
            <w:shd w:fill="auto" w:val="clear"/>
            <w:vAlign w:val="center"/>
          </w:tcPr>
          <w:p>
            <w:pPr>
              <w:pStyle w:val="TableContents"/>
              <w:spacing w:before="0" w:after="0"/>
              <w:ind w:left="0" w:right="0" w:hanging="0"/>
              <w:rPr/>
            </w:pPr>
            <w:r>
              <w:rPr/>
              <w:t>​</w:t>
            </w:r>
          </w:p>
        </w:tc>
        <w:tc>
          <w:tcPr>
            <w:tcW w:w="371" w:type="dxa"/>
            <w:tcBorders/>
            <w:shd w:fill="auto" w:val="clear"/>
            <w:vAlign w:val="center"/>
          </w:tcPr>
          <w:p>
            <w:pPr>
              <w:pStyle w:val="TableContents"/>
              <w:spacing w:before="0" w:after="0"/>
              <w:ind w:left="0" w:right="0" w:hanging="0"/>
              <w:rPr/>
            </w:pPr>
            <w:r>
              <w:rPr/>
              <w:t>​</w:t>
            </w:r>
          </w:p>
        </w:tc>
      </w:tr>
      <w:tr>
        <w:trPr/>
        <w:tc>
          <w:tcPr>
            <w:tcW w:w="540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Numerator:</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right"/>
              <w:rPr/>
            </w:pPr>
            <w:r>
              <w:rPr/>
              <w:t>  </w:t>
            </w:r>
          </w:p>
        </w:tc>
        <w:tc>
          <w:tcPr>
            <w:tcW w:w="371" w:type="dxa"/>
            <w:tcBorders/>
            <w:shd w:fill="CCEEFF" w:val="clear"/>
            <w:vAlign w:val="center"/>
          </w:tcPr>
          <w:p>
            <w:pPr>
              <w:pStyle w:val="TableContents"/>
              <w:spacing w:before="0" w:after="0"/>
              <w:ind w:left="0" w:right="0" w:hanging="0"/>
              <w:rPr/>
            </w:pPr>
            <w:r>
              <w:rPr/>
              <w:t>​</w:t>
            </w:r>
          </w:p>
        </w:tc>
      </w:tr>
      <w:tr>
        <w:trPr/>
        <w:tc>
          <w:tcPr>
            <w:tcW w:w="54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 (loss) attributable to common stockholders – Basic</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(26,270,424)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7,172,977</w:t>
            </w:r>
          </w:p>
        </w:tc>
        <w:tc>
          <w:tcPr>
            <w:tcW w:w="371" w:type="dxa"/>
            <w:tcBorders/>
            <w:shd w:fill="auto" w:val="clear"/>
            <w:vAlign w:val="center"/>
          </w:tcPr>
          <w:p>
            <w:pPr>
              <w:pStyle w:val="TableContents"/>
              <w:spacing w:before="0" w:after="0"/>
              <w:ind w:left="0" w:right="0" w:hanging="0"/>
              <w:rPr/>
            </w:pPr>
            <w:r>
              <w:rPr/>
              <w:t>​</w:t>
            </w:r>
          </w:p>
        </w:tc>
      </w:tr>
      <w:tr>
        <w:trPr/>
        <w:tc>
          <w:tcPr>
            <w:tcW w:w="54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Add: Investor note accrued interest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1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789,028</w:t>
            </w:r>
          </w:p>
        </w:tc>
        <w:tc>
          <w:tcPr>
            <w:tcW w:w="371" w:type="dxa"/>
            <w:tcBorders/>
            <w:shd w:fill="CCEEFF" w:val="clear"/>
            <w:vAlign w:val="center"/>
          </w:tcPr>
          <w:p>
            <w:pPr>
              <w:pStyle w:val="TableContents"/>
              <w:spacing w:before="0" w:after="0"/>
              <w:ind w:left="0" w:right="0" w:hanging="0"/>
              <w:rPr/>
            </w:pPr>
            <w:r>
              <w:rPr/>
              <w:t>​</w:t>
            </w:r>
          </w:p>
        </w:tc>
      </w:tr>
      <w:tr>
        <w:trPr/>
        <w:tc>
          <w:tcPr>
            <w:tcW w:w="54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Add: Investor note amortized debt discount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1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458,885</w:t>
            </w:r>
          </w:p>
        </w:tc>
        <w:tc>
          <w:tcPr>
            <w:tcW w:w="371" w:type="dxa"/>
            <w:tcBorders/>
            <w:shd w:fill="auto" w:val="clear"/>
            <w:vAlign w:val="center"/>
          </w:tcPr>
          <w:p>
            <w:pPr>
              <w:pStyle w:val="TableContents"/>
              <w:spacing w:before="0" w:after="0"/>
              <w:ind w:left="0" w:right="0" w:hanging="0"/>
              <w:rPr/>
            </w:pPr>
            <w:r>
              <w:rPr/>
              <w:t>​</w:t>
            </w:r>
          </w:p>
        </w:tc>
      </w:tr>
      <w:tr>
        <w:trPr/>
        <w:tc>
          <w:tcPr>
            <w:tcW w:w="54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Gain on derivative liability related to investor note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15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1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(14,013,661)</w:t>
            </w:r>
          </w:p>
        </w:tc>
        <w:tc>
          <w:tcPr>
            <w:tcW w:w="371" w:type="dxa"/>
            <w:tcBorders/>
            <w:shd w:fill="CCEEFF" w:val="clear"/>
            <w:vAlign w:val="center"/>
          </w:tcPr>
          <w:p>
            <w:pPr>
              <w:pStyle w:val="TableContents"/>
              <w:spacing w:before="0" w:after="0"/>
              <w:ind w:left="0" w:right="0" w:hanging="0"/>
              <w:rPr/>
            </w:pPr>
            <w:r>
              <w:rPr/>
              <w:t>​</w:t>
            </w:r>
          </w:p>
        </w:tc>
      </w:tr>
      <w:tr>
        <w:trPr/>
        <w:tc>
          <w:tcPr>
            <w:tcW w:w="54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 (loss) attributable to common stockholders – dilutive</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(26,270,424)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(5,592,771)</w:t>
            </w:r>
          </w:p>
        </w:tc>
        <w:tc>
          <w:tcPr>
            <w:tcW w:w="371" w:type="dxa"/>
            <w:tcBorders/>
            <w:shd w:fill="auto" w:val="clear"/>
            <w:vAlign w:val="center"/>
          </w:tcPr>
          <w:p>
            <w:pPr>
              <w:pStyle w:val="TableContents"/>
              <w:spacing w:before="0" w:after="0"/>
              <w:ind w:left="0" w:right="0" w:hanging="0"/>
              <w:rPr/>
            </w:pPr>
            <w:r>
              <w:rPr/>
              <w:t>​</w:t>
            </w:r>
          </w:p>
        </w:tc>
      </w:tr>
      <w:tr>
        <w:trPr/>
        <w:tc>
          <w:tcPr>
            <w:tcW w:w="540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15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156" w:type="dxa"/>
            <w:tcBorders/>
            <w:shd w:fill="CCEEFF" w:val="clear"/>
            <w:vAlign w:val="center"/>
          </w:tcPr>
          <w:p>
            <w:pPr>
              <w:pStyle w:val="TableContents"/>
              <w:spacing w:before="0" w:after="0"/>
              <w:ind w:left="0" w:right="0" w:hanging="0"/>
              <w:rPr/>
            </w:pPr>
            <w:r>
              <w:rPr/>
              <w:t>​</w:t>
            </w:r>
          </w:p>
        </w:tc>
        <w:tc>
          <w:tcPr>
            <w:tcW w:w="371" w:type="dxa"/>
            <w:tcBorders/>
            <w:shd w:fill="CCEEFF" w:val="clear"/>
            <w:vAlign w:val="center"/>
          </w:tcPr>
          <w:p>
            <w:pPr>
              <w:pStyle w:val="TableContents"/>
              <w:spacing w:before="0" w:after="0"/>
              <w:ind w:left="0" w:right="0" w:hanging="0"/>
              <w:rPr/>
            </w:pPr>
            <w:r>
              <w:rPr/>
              <w:t>​</w:t>
            </w:r>
          </w:p>
        </w:tc>
      </w:tr>
      <w:tr>
        <w:trPr/>
        <w:tc>
          <w:tcPr>
            <w:tcW w:w="540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Denominator:</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right"/>
              <w:rPr/>
            </w:pPr>
            <w:r>
              <w:rPr/>
              <w:t>  </w:t>
            </w:r>
          </w:p>
        </w:tc>
        <w:tc>
          <w:tcPr>
            <w:tcW w:w="371" w:type="dxa"/>
            <w:tcBorders/>
            <w:shd w:fill="auto" w:val="clear"/>
            <w:vAlign w:val="center"/>
          </w:tcPr>
          <w:p>
            <w:pPr>
              <w:pStyle w:val="TableContents"/>
              <w:spacing w:before="0" w:after="0"/>
              <w:ind w:left="0" w:right="0" w:hanging="0"/>
              <w:rPr/>
            </w:pPr>
            <w:r>
              <w:rPr/>
              <w:t>​</w:t>
            </w:r>
          </w:p>
        </w:tc>
      </w:tr>
      <w:tr>
        <w:trPr/>
        <w:tc>
          <w:tcPr>
            <w:tcW w:w="54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Weighted-average shares of common stock</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53,637,003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43,339,092</w:t>
            </w:r>
          </w:p>
        </w:tc>
        <w:tc>
          <w:tcPr>
            <w:tcW w:w="371" w:type="dxa"/>
            <w:tcBorders/>
            <w:shd w:fill="CCEEFF" w:val="clear"/>
            <w:vAlign w:val="center"/>
          </w:tcPr>
          <w:p>
            <w:pPr>
              <w:pStyle w:val="TableContents"/>
              <w:spacing w:before="0" w:after="0"/>
              <w:ind w:left="0" w:right="0" w:hanging="0"/>
              <w:rPr/>
            </w:pPr>
            <w:r>
              <w:rPr/>
              <w:t>​</w:t>
            </w:r>
          </w:p>
        </w:tc>
      </w:tr>
      <w:tr>
        <w:trPr/>
        <w:tc>
          <w:tcPr>
            <w:tcW w:w="54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Dilutive effect of investor notes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51,748,797</w:t>
            </w:r>
          </w:p>
        </w:tc>
        <w:tc>
          <w:tcPr>
            <w:tcW w:w="371" w:type="dxa"/>
            <w:tcBorders/>
            <w:shd w:fill="auto" w:val="clear"/>
            <w:vAlign w:val="center"/>
          </w:tcPr>
          <w:p>
            <w:pPr>
              <w:pStyle w:val="TableContents"/>
              <w:spacing w:before="0" w:after="0"/>
              <w:ind w:left="0" w:right="0" w:hanging="0"/>
              <w:rPr/>
            </w:pPr>
            <w:r>
              <w:rPr/>
              <w:t>​</w:t>
            </w:r>
          </w:p>
        </w:tc>
      </w:tr>
      <w:tr>
        <w:trPr/>
        <w:tc>
          <w:tcPr>
            <w:tcW w:w="54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Dilutive effect of warrants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2,581,250</w:t>
            </w:r>
          </w:p>
        </w:tc>
        <w:tc>
          <w:tcPr>
            <w:tcW w:w="371" w:type="dxa"/>
            <w:tcBorders/>
            <w:shd w:fill="CCEEFF" w:val="clear"/>
            <w:vAlign w:val="center"/>
          </w:tcPr>
          <w:p>
            <w:pPr>
              <w:pStyle w:val="TableContents"/>
              <w:spacing w:before="0" w:after="0"/>
              <w:ind w:left="0" w:right="0" w:hanging="0"/>
              <w:rPr/>
            </w:pPr>
            <w:r>
              <w:rPr/>
              <w:t>​</w:t>
            </w:r>
          </w:p>
        </w:tc>
      </w:tr>
      <w:tr>
        <w:trPr/>
        <w:tc>
          <w:tcPr>
            <w:tcW w:w="54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Dilutive effect of options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3,699,819</w:t>
            </w:r>
          </w:p>
        </w:tc>
        <w:tc>
          <w:tcPr>
            <w:tcW w:w="371" w:type="dxa"/>
            <w:tcBorders/>
            <w:shd w:fill="auto" w:val="clear"/>
            <w:vAlign w:val="center"/>
          </w:tcPr>
          <w:p>
            <w:pPr>
              <w:pStyle w:val="TableContents"/>
              <w:spacing w:before="0" w:after="0"/>
              <w:ind w:left="0" w:right="0" w:hanging="0"/>
              <w:rPr/>
            </w:pPr>
            <w:r>
              <w:rPr/>
              <w:t>​</w:t>
            </w:r>
          </w:p>
        </w:tc>
      </w:tr>
      <w:tr>
        <w:trPr/>
        <w:tc>
          <w:tcPr>
            <w:tcW w:w="54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Diluted weighted-average shares of common stock</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115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53,637,003</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115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101,368,958</w:t>
            </w:r>
          </w:p>
        </w:tc>
        <w:tc>
          <w:tcPr>
            <w:tcW w:w="371" w:type="dxa"/>
            <w:tcBorders/>
            <w:shd w:fill="CCEEFF" w:val="clear"/>
            <w:vAlign w:val="center"/>
          </w:tcPr>
          <w:p>
            <w:pPr>
              <w:pStyle w:val="TableContents"/>
              <w:spacing w:before="0" w:after="0"/>
              <w:ind w:left="0" w:right="0" w:hanging="0"/>
              <w:rPr/>
            </w:pPr>
            <w:r>
              <w:rPr/>
              <w:t>​</w:t>
            </w:r>
          </w:p>
        </w:tc>
      </w:tr>
      <w:tr>
        <w:trPr/>
        <w:tc>
          <w:tcPr>
            <w:tcW w:w="54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1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156" w:type="dxa"/>
            <w:tcBorders/>
            <w:shd w:fill="auto" w:val="clear"/>
            <w:vAlign w:val="center"/>
          </w:tcPr>
          <w:p>
            <w:pPr>
              <w:pStyle w:val="TableContents"/>
              <w:spacing w:before="0" w:after="0"/>
              <w:ind w:left="0" w:right="0" w:hanging="0"/>
              <w:rPr/>
            </w:pPr>
            <w:r>
              <w:rPr/>
              <w:t>​</w:t>
            </w:r>
          </w:p>
        </w:tc>
        <w:tc>
          <w:tcPr>
            <w:tcW w:w="371" w:type="dxa"/>
            <w:tcBorders/>
            <w:shd w:fill="auto" w:val="clear"/>
            <w:vAlign w:val="center"/>
          </w:tcPr>
          <w:p>
            <w:pPr>
              <w:pStyle w:val="TableContents"/>
              <w:spacing w:before="0" w:after="0"/>
              <w:ind w:left="0" w:right="0" w:hanging="0"/>
              <w:rPr/>
            </w:pPr>
            <w:r>
              <w:rPr/>
              <w:t>​</w:t>
            </w:r>
          </w:p>
        </w:tc>
      </w:tr>
      <w:tr>
        <w:trPr/>
        <w:tc>
          <w:tcPr>
            <w:tcW w:w="54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Diluted earnings per share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(0.49)</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(0.06)</w:t>
            </w:r>
          </w:p>
        </w:tc>
        <w:tc>
          <w:tcPr>
            <w:tcW w:w="371"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Basic net loss per share attributable to common stockholders is computed by dividing reported net loss attributable to common stockholders by the weighted average number of common shares outstanding for the reported period. Note that for purposes of basic loss per share calculation, shares of Preferred Stock are excluded from the calculation as of December 31, 2021, as the inclusion of the common share equivalents would be anti-dilutive. As the Company incurred a net loss in 2022, shares of Common Stock issuable pursuant to the equity awards were excluded from the computation of diluted net loss per share in the accompanying consolidated statement of operations, as their effect is anti-dilutive.</w:t>
      </w:r>
    </w:p>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15.</w:t>
      </w:r>
      <w:r>
        <w:rPr>
          <w:rFonts w:ascii="Times New Roman;Times;serif" w:hAnsi="Times New Roman;Times;serif"/>
          <w:b/>
          <w:sz w:val="20"/>
        </w:rPr>
        <w:t>Tax Provision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the Company operates in the cannabis industry, it is subject to the limitations of IRC Section 280E under which the Company is only allowed to deduct expenses directly related to sales of product. This results in permanent differences between ordinary and necessary business expenses deemed non-allowable under IRC Section 280E. Therefore, the effective tax rate can be highly variable and may not necessarily correlate with pre-tax income or loss.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F-25</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bookmarkStart w:id="1107" w:name="Tc_toxcRzyY6UixW6dsxBn3cg_16_5"/>
      <w:bookmarkStart w:id="1108" w:name="Tc_-YQ2XD5H2E-j1NaltdlO9w_16_2"/>
      <w:bookmarkStart w:id="1109" w:name="Tc_taOaszieUke9ivpLjG6PlA_16_0"/>
      <w:bookmarkStart w:id="1110" w:name="Tc_PA5HzJY1w0qCo2byVTknIQ_15_0"/>
      <w:bookmarkStart w:id="1111" w:name="Tc_-9nn50_H30WDIBIfVmnS-w_14_0"/>
      <w:bookmarkStart w:id="1112" w:name="Tc_o5LgEHoOokuZFiQvSwYehQ_13_0"/>
      <w:bookmarkStart w:id="1113" w:name="Tc_hp7JYUR1MkSEcyozZ7NkCg_12_0"/>
      <w:bookmarkStart w:id="1114" w:name="Tc_OQM_UNBH2kSOlt_wu-yjfQ_11_0"/>
      <w:bookmarkStart w:id="1115" w:name="Tc_lpBdDa-CVk-Yw0iDph7hcQ_10_6"/>
      <w:bookmarkStart w:id="1116" w:name="Tc_RhNUlPScR0Ob97huv1oovQ_10_0"/>
      <w:bookmarkStart w:id="1117" w:name="Tc_pUwASS1mUUy3thFPsVX1qw_9_0"/>
      <w:bookmarkStart w:id="1118" w:name="Tc_r5JuCsrf4E2lbWRF7P_Qjg_8_0"/>
      <w:bookmarkStart w:id="1119" w:name="Tc_W3flBDcdeEOAYb2wGU36Hg_7_0"/>
      <w:bookmarkStart w:id="1120" w:name="Tc_NLlukDWfA02jyVf7wLnJWg_5_0"/>
      <w:bookmarkStart w:id="1121" w:name="Tc_UjCpCBmfxk-Di-IJD0Ur-w_4_0"/>
      <w:bookmarkStart w:id="1122" w:name="Tc_0xmrcE8lP0alv4VLZRyI7g_3_5"/>
      <w:bookmarkStart w:id="1123" w:name="Tc_kE0gWDUm0Eq9C2lv6fnVRQ_3_2"/>
      <w:bookmarkStart w:id="1124" w:name="Tc_ZeKxUR7mBk-mw5gzhpksBw_3_0"/>
      <w:bookmarkStart w:id="1125" w:name="Tc_G6ddkgKqtE-kAPkWfOV27A_2_6"/>
      <w:bookmarkStart w:id="1126" w:name="Tc_XLXlyGBMBkuce5zDODbMeA_2_3"/>
      <w:bookmarkStart w:id="1127" w:name="Tc_yvbdJtVMmEKfjWQuAftwzQ_1_6"/>
      <w:bookmarkStart w:id="1128" w:name="Tc_beU1_gno10qa1eWP0DSh5A_1_3"/>
      <w:bookmarkStart w:id="1129" w:name="Tc_sape_glTB0Ksiik3NAy_8w_6_6"/>
      <w:bookmarkStart w:id="1130" w:name="Tc_b3E9vizpN0ycG6h-SGY0tA_6_5"/>
      <w:bookmarkStart w:id="1131" w:name="Tc_qXgYTkp1eUqOSUoLJiS8eQ_6_2"/>
      <w:bookmarkStart w:id="1132" w:name="Tc_OkD27CBa2UGHnDVsR-f3iQ_6_0"/>
      <w:bookmarkStart w:id="1133" w:name="Tc_6f4dRpH6lkaG5IC2zjeQlQ_5_6"/>
      <w:bookmarkStart w:id="1134" w:name="Tc_80_sp6UmdEKfDTZDSm7FZQ_5_0"/>
      <w:bookmarkStart w:id="1135" w:name="Tc_OCnWi5BjIUq-3TgGqoaIpw_4_6"/>
      <w:bookmarkStart w:id="1136" w:name="Tc_abtPfnhRfU6Zfxl6t63p7w_4_5"/>
      <w:bookmarkStart w:id="1137" w:name="Tc_ucATC-URQ0emyBm05s5cCA_4_2"/>
      <w:bookmarkStart w:id="1138" w:name="Tc_EFzP_0JPzUCrpfiddPLTbw_4_0"/>
      <w:bookmarkStart w:id="1139" w:name="Tc_gqmXxZFlWE-E1sqC2t9gLQ_3_0"/>
      <w:bookmarkStart w:id="1140" w:name="Tc_3nHpBtKBEkab3667_Onetw_2_5"/>
      <w:bookmarkStart w:id="1141" w:name="Tc_-K52BH5r4EqOBhjoxegxVw_2_2"/>
      <w:bookmarkStart w:id="1142" w:name="Tc_T_eqg1-RYkq21IywQRG1AQ_1_5"/>
      <w:bookmarkStart w:id="1143" w:name="Tc_PQbBaM-ek0yUnIXS_vexAQ_1_2"/>
      <w:bookmarkStart w:id="1144" w:name="_5616e8cc_ee20_4b67_ae79_b926ce737567"/>
      <w:bookmarkStart w:id="1145" w:name="Tc_IvcDse5xQEmeeAsJpeqr8w_6_5"/>
      <w:bookmarkStart w:id="1146" w:name="Tc_H9gy0Mo-XkW1j-BLM2Ir3g_6_2"/>
      <w:bookmarkStart w:id="1147" w:name="Tc_AFlYDJ1u8EmKE0TIOrVVfw_6_0"/>
      <w:bookmarkStart w:id="1148" w:name="Tc_XOyFL0eY00KcfLzqci9fqQ_5_0"/>
      <w:bookmarkStart w:id="1149" w:name="Tc_OCIR_Rll3U2aNBi6e2Krow_4_5"/>
      <w:bookmarkStart w:id="1150" w:name="Tc_U2fBdx2ekka4dNSpd_wpzg_4_2"/>
      <w:bookmarkStart w:id="1151" w:name="Tc_Z4GPKCO7zUmy2WvJ9gs3Lw_4_0"/>
      <w:bookmarkStart w:id="1152" w:name="Tc_ToWl3rdKLEa9pKxiFASMfA_3_0"/>
      <w:bookmarkStart w:id="1153" w:name="Tc_FtTYyh6UtECcpJQeCqyCOg_2_5"/>
      <w:bookmarkStart w:id="1154" w:name="Tc_bZqhenQbU0O0UP8o9xj0Wg_2_2"/>
      <w:bookmarkStart w:id="1155" w:name="Tc_8C2LjeTiq0yOxVaaXCTX9w_1_5"/>
      <w:bookmarkStart w:id="1156" w:name="Tc_jtHMuZL7iEy2-g1fnluAbA_1_2"/>
      <w:bookmarkStart w:id="1157" w:name="_0f72c482_981a_46b3_b8b5_0bfc9c407d0a"/>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r>
        <w:rPr>
          <w:rFonts w:ascii="Times New Roman;Times;serif" w:hAnsi="Times New Roman;Times;serif"/>
          <w:sz w:val="20"/>
        </w:rPr>
        <w:t>The following table sets forth the components of income tax (benefit) expense for the years ended December 31, 2022 and 2021:</w:t>
      </w:r>
    </w:p>
    <w:p>
      <w:pPr>
        <w:pStyle w:val="TextBody"/>
        <w:spacing w:before="0" w:after="0"/>
        <w:ind w:left="0" w:right="0" w:hanging="0"/>
        <w:rPr/>
      </w:pPr>
      <w:r>
        <w:rPr/>
        <w:t>​</w:t>
      </w:r>
    </w:p>
    <w:tbl>
      <w:tblPr>
        <w:tblW w:w="6170" w:type="dxa"/>
        <w:jc w:val="left"/>
        <w:tblInd w:w="0" w:type="dxa"/>
        <w:tblCellMar>
          <w:top w:w="0" w:type="dxa"/>
          <w:left w:w="0" w:type="dxa"/>
          <w:bottom w:w="0" w:type="dxa"/>
          <w:right w:w="0" w:type="dxa"/>
        </w:tblCellMar>
      </w:tblPr>
      <w:tblGrid>
        <w:gridCol w:w="3016"/>
        <w:gridCol w:w="326"/>
        <w:gridCol w:w="211"/>
        <w:gridCol w:w="1036"/>
        <w:gridCol w:w="326"/>
        <w:gridCol w:w="211"/>
        <w:gridCol w:w="1044"/>
      </w:tblGrid>
      <w:tr>
        <w:trPr/>
        <w:tc>
          <w:tcPr>
            <w:tcW w:w="30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44" w:type="dxa"/>
            <w:tcBorders/>
            <w:shd w:fill="auto" w:val="clear"/>
            <w:vAlign w:val="center"/>
          </w:tcPr>
          <w:p>
            <w:pPr>
              <w:pStyle w:val="TableContents"/>
              <w:spacing w:before="0" w:after="0"/>
              <w:ind w:left="0" w:right="0" w:hanging="0"/>
              <w:rPr/>
            </w:pPr>
            <w:r>
              <w:rPr/>
              <w:t>​</w:t>
            </w:r>
          </w:p>
        </w:tc>
      </w:tr>
      <w:tr>
        <w:trPr/>
        <w:tc>
          <w:tcPr>
            <w:tcW w:w="30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24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shd w:fill="auto" w:val="clear"/>
            <w:vAlign w:val="center"/>
          </w:tcPr>
          <w:p>
            <w:pPr>
              <w:pStyle w:val="TableContents"/>
              <w:spacing w:before="0" w:after="0"/>
              <w:ind w:left="0" w:right="0" w:hanging="0"/>
              <w:jc w:val="center"/>
              <w:rPr/>
            </w:pPr>
            <w:r>
              <w:rPr/>
              <w:t>​</w:t>
            </w:r>
          </w:p>
        </w:tc>
        <w:tc>
          <w:tcPr>
            <w:tcW w:w="125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0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2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    </w:t>
            </w:r>
          </w:p>
        </w:tc>
        <w:tc>
          <w:tcPr>
            <w:tcW w:w="125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301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Current: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44" w:type="dxa"/>
            <w:tcBorders/>
            <w:shd w:fill="CCEEFF" w:val="clear"/>
            <w:vAlign w:val="center"/>
          </w:tcPr>
          <w:p>
            <w:pPr>
              <w:pStyle w:val="TableContents"/>
              <w:spacing w:before="0" w:after="0"/>
              <w:ind w:left="0" w:right="0" w:hanging="0"/>
              <w:jc w:val="right"/>
              <w:rPr/>
            </w:pPr>
            <w:r>
              <w:rPr/>
              <w:t>  </w:t>
            </w:r>
          </w:p>
        </w:tc>
      </w:tr>
      <w:tr>
        <w:trPr/>
        <w:tc>
          <w:tcPr>
            <w:tcW w:w="30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Federal</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17,127,037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4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4,284,163</w:t>
            </w:r>
          </w:p>
        </w:tc>
      </w:tr>
      <w:tr>
        <w:trPr/>
        <w:tc>
          <w:tcPr>
            <w:tcW w:w="30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State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483,037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4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112,001</w:t>
            </w:r>
          </w:p>
        </w:tc>
      </w:tr>
      <w:tr>
        <w:trPr/>
        <w:tc>
          <w:tcPr>
            <w:tcW w:w="301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current tax expense (benefit)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17,610,074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1044" w:type="dxa"/>
            <w:tcBorders>
              <w:bottom w:val="double" w:sz="6" w:space="0" w:color="000000"/>
            </w:tcBorders>
            <w:shd w:fill="auto" w:val="clear"/>
            <w:tcMar>
              <w:bottom w:w="28" w:type="dxa"/>
            </w:tcMar>
            <w:vAlign w:val="center"/>
          </w:tcPr>
          <w:p>
            <w:pPr>
              <w:pStyle w:val="TableContents"/>
              <w:spacing w:before="0" w:after="0"/>
              <w:ind w:left="0" w:right="68" w:hanging="0"/>
              <w:jc w:val="right"/>
              <w:rPr>
                <w:rFonts w:ascii="Times New Roman;Times;serif" w:hAnsi="Times New Roman;Times;serif"/>
                <w:b/>
                <w:sz w:val="20"/>
              </w:rPr>
            </w:pPr>
            <w:r>
              <w:rPr>
                <w:rFonts w:ascii="Times New Roman;Times;serif" w:hAnsi="Times New Roman;Times;serif"/>
                <w:b/>
                <w:sz w:val="20"/>
              </w:rPr>
              <w:t>4,396,164</w:t>
            </w:r>
          </w:p>
        </w:tc>
      </w:tr>
    </w:tbl>
    <w:p>
      <w:pPr>
        <w:pStyle w:val="TextBody"/>
        <w:spacing w:before="0" w:after="0"/>
        <w:ind w:left="0" w:right="0" w:hanging="0"/>
        <w:rPr/>
      </w:pPr>
      <w:r>
        <w:rPr/>
        <w:t>​</w:t>
      </w:r>
    </w:p>
    <w:tbl>
      <w:tblPr>
        <w:tblW w:w="5470" w:type="dxa"/>
        <w:jc w:val="left"/>
        <w:tblInd w:w="0" w:type="dxa"/>
        <w:tblCellMar>
          <w:top w:w="0" w:type="dxa"/>
          <w:left w:w="0" w:type="dxa"/>
          <w:bottom w:w="0" w:type="dxa"/>
          <w:right w:w="0" w:type="dxa"/>
        </w:tblCellMar>
      </w:tblPr>
      <w:tblGrid>
        <w:gridCol w:w="2371"/>
        <w:gridCol w:w="326"/>
        <w:gridCol w:w="211"/>
        <w:gridCol w:w="1051"/>
        <w:gridCol w:w="326"/>
        <w:gridCol w:w="373"/>
        <w:gridCol w:w="812"/>
      </w:tblGrid>
      <w:tr>
        <w:trPr/>
        <w:tc>
          <w:tcPr>
            <w:tcW w:w="23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73" w:type="dxa"/>
            <w:tcBorders/>
            <w:shd w:fill="auto" w:val="clear"/>
            <w:vAlign w:val="center"/>
          </w:tcPr>
          <w:p>
            <w:pPr>
              <w:pStyle w:val="TableContents"/>
              <w:spacing w:before="0" w:after="0"/>
              <w:ind w:left="0" w:right="0" w:hanging="0"/>
              <w:rPr/>
            </w:pPr>
            <w:r>
              <w:rPr/>
              <w:t>​</w:t>
            </w:r>
          </w:p>
        </w:tc>
        <w:tc>
          <w:tcPr>
            <w:tcW w:w="812" w:type="dxa"/>
            <w:tcBorders/>
            <w:shd w:fill="auto" w:val="clear"/>
            <w:vAlign w:val="center"/>
          </w:tcPr>
          <w:p>
            <w:pPr>
              <w:pStyle w:val="TableContents"/>
              <w:spacing w:before="0" w:after="0"/>
              <w:ind w:left="0" w:right="0" w:hanging="0"/>
              <w:rPr/>
            </w:pPr>
            <w:r>
              <w:rPr/>
              <w:t>​</w:t>
            </w:r>
          </w:p>
        </w:tc>
      </w:tr>
      <w:tr>
        <w:trPr/>
        <w:tc>
          <w:tcPr>
            <w:tcW w:w="23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26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shd w:fill="auto" w:val="clear"/>
            <w:vAlign w:val="center"/>
          </w:tcPr>
          <w:p>
            <w:pPr>
              <w:pStyle w:val="TableContents"/>
              <w:spacing w:before="0" w:after="0"/>
              <w:ind w:left="0" w:right="0" w:hanging="0"/>
              <w:jc w:val="center"/>
              <w:rPr/>
            </w:pPr>
            <w:r>
              <w:rPr/>
              <w:t>​</w:t>
            </w:r>
          </w:p>
        </w:tc>
        <w:tc>
          <w:tcPr>
            <w:tcW w:w="118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3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26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    </w:t>
            </w:r>
          </w:p>
        </w:tc>
        <w:tc>
          <w:tcPr>
            <w:tcW w:w="11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237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Deferred:</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373" w:type="dxa"/>
            <w:tcBorders/>
            <w:shd w:fill="CCEEFF" w:val="clear"/>
            <w:vAlign w:val="center"/>
          </w:tcPr>
          <w:p>
            <w:pPr>
              <w:pStyle w:val="TableContents"/>
              <w:spacing w:before="0" w:after="0"/>
              <w:ind w:left="0" w:right="0" w:hanging="0"/>
              <w:rPr/>
            </w:pPr>
            <w:r>
              <w:rPr/>
              <w:t>​</w:t>
            </w:r>
          </w:p>
        </w:tc>
        <w:tc>
          <w:tcPr>
            <w:tcW w:w="812" w:type="dxa"/>
            <w:tcBorders/>
            <w:shd w:fill="CCEEFF" w:val="clear"/>
            <w:vAlign w:val="center"/>
          </w:tcPr>
          <w:p>
            <w:pPr>
              <w:pStyle w:val="TableContents"/>
              <w:spacing w:before="0" w:after="0"/>
              <w:ind w:left="0" w:right="0" w:hanging="0"/>
              <w:jc w:val="right"/>
              <w:rPr/>
            </w:pPr>
            <w:r>
              <w:rPr/>
              <w:t>  </w:t>
            </w:r>
          </w:p>
        </w:tc>
      </w:tr>
      <w:tr>
        <w:trPr/>
        <w:tc>
          <w:tcPr>
            <w:tcW w:w="23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Federal</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(611,750)</w:t>
            </w:r>
          </w:p>
        </w:tc>
        <w:tc>
          <w:tcPr>
            <w:tcW w:w="326" w:type="dxa"/>
            <w:tcBorders/>
            <w:shd w:fill="auto" w:val="clear"/>
            <w:vAlign w:val="center"/>
          </w:tcPr>
          <w:p>
            <w:pPr>
              <w:pStyle w:val="TableContents"/>
              <w:spacing w:before="0" w:after="0"/>
              <w:ind w:left="0" w:right="0" w:hanging="0"/>
              <w:rPr/>
            </w:pPr>
            <w:r>
              <w:rPr/>
              <w:t>​</w:t>
            </w:r>
          </w:p>
        </w:tc>
        <w:tc>
          <w:tcPr>
            <w:tcW w:w="37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12" w:type="dxa"/>
            <w:tcBorders/>
            <w:shd w:fill="auto" w:val="clear"/>
            <w:vAlign w:val="center"/>
          </w:tcPr>
          <w:p>
            <w:pPr>
              <w:pStyle w:val="TableContents"/>
              <w:spacing w:before="0" w:after="0"/>
              <w:ind w:left="0" w:right="0" w:hanging="0"/>
              <w:jc w:val="right"/>
              <w:rPr/>
            </w:pPr>
            <w:r>
              <w:rPr/>
              <w:t>—</w:t>
            </w:r>
          </w:p>
        </w:tc>
      </w:tr>
      <w:tr>
        <w:trPr/>
        <w:tc>
          <w:tcPr>
            <w:tcW w:w="23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State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5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(2,100,260)</w:t>
            </w:r>
          </w:p>
        </w:tc>
        <w:tc>
          <w:tcPr>
            <w:tcW w:w="326" w:type="dxa"/>
            <w:tcBorders/>
            <w:shd w:fill="CCEEFF" w:val="clear"/>
            <w:vAlign w:val="center"/>
          </w:tcPr>
          <w:p>
            <w:pPr>
              <w:pStyle w:val="TableContents"/>
              <w:spacing w:before="0" w:after="0"/>
              <w:ind w:left="0" w:right="0" w:hanging="0"/>
              <w:rPr/>
            </w:pPr>
            <w:r>
              <w:rPr/>
              <w:t>​</w:t>
            </w:r>
          </w:p>
        </w:tc>
        <w:tc>
          <w:tcPr>
            <w:tcW w:w="373"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12"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237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deferred tax expense</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105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(2,712,010)</w:t>
            </w:r>
          </w:p>
        </w:tc>
        <w:tc>
          <w:tcPr>
            <w:tcW w:w="326" w:type="dxa"/>
            <w:tcBorders/>
            <w:shd w:fill="auto" w:val="clear"/>
            <w:vAlign w:val="center"/>
          </w:tcPr>
          <w:p>
            <w:pPr>
              <w:pStyle w:val="TableContents"/>
              <w:spacing w:before="0" w:after="0"/>
              <w:ind w:left="0" w:right="0" w:hanging="0"/>
              <w:rPr/>
            </w:pPr>
            <w:r>
              <w:rPr/>
              <w:t>​</w:t>
            </w:r>
          </w:p>
        </w:tc>
        <w:tc>
          <w:tcPr>
            <w:tcW w:w="373"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812" w:type="dxa"/>
            <w:tcBorders>
              <w:bottom w:val="double" w:sz="6" w:space="0" w:color="000000"/>
            </w:tcBorders>
            <w:shd w:fill="auto" w:val="clear"/>
            <w:tcMar>
              <w:bottom w:w="28" w:type="dxa"/>
            </w:tcMar>
            <w:vAlign w:val="center"/>
          </w:tcPr>
          <w:p>
            <w:pPr>
              <w:pStyle w:val="TableContents"/>
              <w:spacing w:before="0" w:after="0"/>
              <w:ind w:left="0" w:right="68" w:hanging="0"/>
              <w:jc w:val="right"/>
              <w:rPr/>
            </w:pPr>
            <w:r>
              <w:rPr/>
              <w:t>—</w:t>
            </w:r>
          </w:p>
        </w:tc>
      </w:tr>
    </w:tbl>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following table sets forth a reconciliation of income tax expense (benefit) at the federal statutory rate to recorded income tax expense (benefit) for the years ended December 31, 2022 and 2021: </w:t>
      </w:r>
    </w:p>
    <w:p>
      <w:pPr>
        <w:pStyle w:val="TextBody"/>
        <w:spacing w:before="0" w:after="240"/>
        <w:ind w:left="0" w:right="0" w:hanging="0"/>
        <w:jc w:val="both"/>
        <w:rPr/>
      </w:pPr>
      <w:r>
        <w:rPr/>
        <w:t>​</w:t>
      </w:r>
    </w:p>
    <w:p>
      <w:pPr>
        <w:pStyle w:val="TextBody"/>
        <w:spacing w:before="0" w:after="240"/>
        <w:ind w:left="0" w:right="0" w:hanging="0"/>
        <w:jc w:val="both"/>
        <w:rPr/>
      </w:pPr>
      <w:r>
        <w:rPr/>
        <w:t>​</w:t>
      </w:r>
    </w:p>
    <w:tbl>
      <w:tblPr>
        <w:tblW w:w="6808" w:type="dxa"/>
        <w:jc w:val="left"/>
        <w:tblInd w:w="0" w:type="dxa"/>
        <w:tblCellMar>
          <w:top w:w="0" w:type="dxa"/>
          <w:left w:w="0" w:type="dxa"/>
          <w:bottom w:w="0" w:type="dxa"/>
          <w:right w:w="0" w:type="dxa"/>
        </w:tblCellMar>
      </w:tblPr>
      <w:tblGrid>
        <w:gridCol w:w="3841"/>
        <w:gridCol w:w="109"/>
        <w:gridCol w:w="211"/>
        <w:gridCol w:w="1141"/>
        <w:gridCol w:w="109"/>
        <w:gridCol w:w="211"/>
        <w:gridCol w:w="1186"/>
      </w:tblGrid>
      <w:tr>
        <w:trPr/>
        <w:tc>
          <w:tcPr>
            <w:tcW w:w="3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439035" cy="175260"/>
                      <wp:effectExtent l="0" t="0" r="0" b="0"/>
                      <wp:wrapNone/>
                      <wp:docPr id="223" name="Frame223"/>
                      <a:graphic xmlns:a="http://schemas.openxmlformats.org/drawingml/2006/main">
                        <a:graphicData uri="http://schemas.microsoft.com/office/word/2010/wordprocessingShape">
                          <wps:wsp>
                            <wps:cNvSpPr txBox="1"/>
                            <wps:spPr>
                              <a:xfrm>
                                <a:off x="0" y="0"/>
                                <a:ext cx="24390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9215" cy="175260"/>
                      <wp:effectExtent l="0" t="0" r="0" b="0"/>
                      <wp:wrapNone/>
                      <wp:docPr id="224" name="Frame22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33985" cy="175260"/>
                      <wp:effectExtent l="0" t="0" r="0" b="0"/>
                      <wp:wrapNone/>
                      <wp:docPr id="225" name="Frame22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724535" cy="175260"/>
                      <wp:effectExtent l="0" t="0" r="0" b="0"/>
                      <wp:wrapNone/>
                      <wp:docPr id="226" name="Frame226"/>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9215" cy="175260"/>
                      <wp:effectExtent l="0" t="0" r="0" b="0"/>
                      <wp:wrapNone/>
                      <wp:docPr id="227" name="Frame22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33985" cy="175260"/>
                      <wp:effectExtent l="0" t="0" r="0" b="0"/>
                      <wp:wrapNone/>
                      <wp:docPr id="228" name="Frame22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753110" cy="175260"/>
                      <wp:effectExtent l="0" t="0" r="0" b="0"/>
                      <wp:wrapNone/>
                      <wp:docPr id="229" name="Frame229"/>
                      <a:graphic xmlns:a="http://schemas.openxmlformats.org/drawingml/2006/main">
                        <a:graphicData uri="http://schemas.microsoft.com/office/word/2010/wordprocessingShape">
                          <wps:wsp>
                            <wps:cNvSpPr txBox="1"/>
                            <wps:spPr>
                              <a:xfrm>
                                <a:off x="0" y="0"/>
                                <a:ext cx="7531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84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114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09" w:type="dxa"/>
            <w:tcBorders/>
            <w:shd w:fill="auto" w:val="clear"/>
            <w:vAlign w:val="center"/>
          </w:tcPr>
          <w:p>
            <w:pPr>
              <w:pStyle w:val="TableContents"/>
              <w:spacing w:before="0" w:after="1"/>
              <w:ind w:left="0" w:right="0" w:hanging="0"/>
              <w:jc w:val="center"/>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118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84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shd w:fill="auto" w:val="clear"/>
            <w:vAlign w:val="center"/>
          </w:tcPr>
          <w:p>
            <w:pPr>
              <w:pStyle w:val="TableContents"/>
              <w:spacing w:before="0" w:after="1"/>
              <w:ind w:left="0" w:right="0" w:hanging="0"/>
              <w:jc w:val="center"/>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11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38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Income (loss) before income taxes</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(3,569,552)</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5,360,518</w:t>
            </w:r>
          </w:p>
        </w:tc>
      </w:tr>
      <w:tr>
        <w:trPr/>
        <w:tc>
          <w:tcPr>
            <w:tcW w:w="384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Statutory tax rate</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1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38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Expense (benefit) based on statutory rates</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(749,606)</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1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1,125,709</w:t>
            </w:r>
          </w:p>
        </w:tc>
      </w:tr>
      <w:tr>
        <w:trPr/>
        <w:tc>
          <w:tcPr>
            <w:tcW w:w="384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186" w:type="dxa"/>
            <w:tcBorders/>
            <w:shd w:fill="auto" w:val="clear"/>
            <w:vAlign w:val="center"/>
          </w:tcPr>
          <w:p>
            <w:pPr>
              <w:pStyle w:val="TableContents"/>
              <w:spacing w:before="0" w:after="1"/>
              <w:ind w:left="0" w:right="0" w:hanging="0"/>
              <w:rPr/>
            </w:pPr>
            <w:r>
              <w:rPr/>
              <w:t>​</w:t>
            </w:r>
          </w:p>
        </w:tc>
      </w:tr>
      <w:tr>
        <w:trPr/>
        <w:tc>
          <w:tcPr>
            <w:tcW w:w="38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State income taxes</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(949,986)</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1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293,358</w:t>
            </w:r>
          </w:p>
        </w:tc>
      </w:tr>
      <w:tr>
        <w:trPr/>
        <w:tc>
          <w:tcPr>
            <w:tcW w:w="384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Expenses disallowed under IRC Section 280E</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16,308,522</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1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5,610,279</w:t>
            </w:r>
          </w:p>
        </w:tc>
      </w:tr>
      <w:tr>
        <w:trPr/>
        <w:tc>
          <w:tcPr>
            <w:tcW w:w="38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Stock-based compensation</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177,912</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1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578,692</w:t>
            </w:r>
          </w:p>
        </w:tc>
      </w:tr>
      <w:tr>
        <w:trPr/>
        <w:tc>
          <w:tcPr>
            <w:tcW w:w="384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Remeasurement on derivative liability</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(3,867,100)</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1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8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permanent differences</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244,130</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1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28,918</w:t>
            </w:r>
          </w:p>
        </w:tc>
      </w:tr>
      <w:tr>
        <w:trPr/>
        <w:tc>
          <w:tcPr>
            <w:tcW w:w="384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Change in valuation allowance</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(2,062,697)</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1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(5,170,426)</w:t>
            </w:r>
          </w:p>
        </w:tc>
      </w:tr>
      <w:tr>
        <w:trPr/>
        <w:tc>
          <w:tcPr>
            <w:tcW w:w="38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Change in state rate</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(176,568)</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1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(181,521)</w:t>
            </w:r>
          </w:p>
        </w:tc>
      </w:tr>
      <w:tr>
        <w:trPr/>
        <w:tc>
          <w:tcPr>
            <w:tcW w:w="384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Return to provision</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4,890,722</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1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416,125</w:t>
            </w:r>
          </w:p>
        </w:tc>
      </w:tr>
      <w:tr>
        <w:trPr/>
        <w:tc>
          <w:tcPr>
            <w:tcW w:w="38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Deferred tax true-up</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1,082,735</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1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1,695,030</w:t>
            </w:r>
          </w:p>
        </w:tc>
      </w:tr>
      <w:tr>
        <w:trPr/>
        <w:tc>
          <w:tcPr>
            <w:tcW w:w="384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 income tax expense</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14,898,064</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shd w:fill="auto" w:val="clear"/>
            <w:tcMar>
              <w:bottom w:w="28" w:type="dxa"/>
            </w:tcMar>
            <w:vAlign w:val="center"/>
          </w:tcPr>
          <w:p>
            <w:pPr>
              <w:pStyle w:val="TableContents"/>
              <w:spacing w:before="0" w:after="1"/>
              <w:ind w:left="0" w:right="68" w:hanging="0"/>
              <w:jc w:val="right"/>
              <w:rPr>
                <w:rFonts w:ascii="Times New Roman;Times;serif" w:hAnsi="Times New Roman;Times;serif"/>
                <w:b/>
                <w:sz w:val="20"/>
              </w:rPr>
            </w:pPr>
            <w:r>
              <w:rPr>
                <w:rFonts w:ascii="Times New Roman;Times;serif" w:hAnsi="Times New Roman;Times;serif"/>
                <w:b/>
                <w:sz w:val="20"/>
              </w:rPr>
              <w:t>4,396,164</w:t>
            </w:r>
          </w:p>
        </w:tc>
      </w:tr>
    </w:tbl>
    <w:p>
      <w:pPr>
        <w:pStyle w:val="TextBody"/>
        <w:spacing w:before="0" w:after="240"/>
        <w:ind w:left="0" w:right="0" w:hanging="0"/>
        <w:jc w:val="both"/>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F-26</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bookmarkStart w:id="1158" w:name="Tc_QNb2NO7EXUS62wHLD0LTvw_29_5"/>
      <w:bookmarkStart w:id="1159" w:name="Tc_LmDqAWJHd0eRhMSuxpDQkg_29_2"/>
      <w:bookmarkStart w:id="1160" w:name="Tc_gWuzSOZepUSIV8llKzw-uw_29_0"/>
      <w:bookmarkStart w:id="1161" w:name="Tc_-pcnPVIel0SIFGG0lvT-fw_26_0"/>
      <w:bookmarkStart w:id="1162" w:name="Tc_wDRdnbSq_E6w-yRsbtRjPA_25_0"/>
      <w:bookmarkStart w:id="1163" w:name="Tc_erL556FvlU-MWeM5bSvteA_24_0"/>
      <w:bookmarkStart w:id="1164" w:name="Tc_e-ZUQwb_QUC_xts5j1xyCg_23_0"/>
      <w:bookmarkStart w:id="1165" w:name="Tc_QaZHjcl0YE6ToY5X5n07Vg_22_0"/>
      <w:bookmarkStart w:id="1166" w:name="Tc_OzDfNmJNJESCmYci1bjHFg_21_3"/>
      <w:bookmarkStart w:id="1167" w:name="Tc_aNnbsGFv8k6EqUozmv1OSg_21_0"/>
      <w:bookmarkStart w:id="1168" w:name="Tc_BP96Fx9SwUWbZ1NTX-YZ8A_20_0"/>
      <w:bookmarkStart w:id="1169" w:name="Tc_GsmOq1EVJEOdxqfbfa6yqQ_18_0"/>
      <w:bookmarkStart w:id="1170" w:name="Tc__kvC-PJQKE2BbeMmUjiclA_16_3"/>
      <w:bookmarkStart w:id="1171" w:name="Tc_wQRGGQcZR0Kwzdh_rT9btQ_16_0"/>
      <w:bookmarkStart w:id="1172" w:name="Tc_HP-y5aaYz0mRBRJagTxCHg_14_0"/>
      <w:bookmarkStart w:id="1173" w:name="Tc_4fXyRFDA6E-YFMMyPSB5xQ_13_0"/>
      <w:bookmarkStart w:id="1174" w:name="Tc_B0rFmxaaSkqu1cu8bOVDJA_12_0"/>
      <w:bookmarkStart w:id="1175" w:name="Tc_PjteEugPtke1Jft5pc7sxA_11_0"/>
      <w:bookmarkStart w:id="1176" w:name="Tc_PVY34LTvAEOF1NWU8Egnng_10_6"/>
      <w:bookmarkStart w:id="1177" w:name="Tc_vk51sB52dU2lFYphMrmiMg_10_0"/>
      <w:bookmarkStart w:id="1178" w:name="Tc_RPlIcJ6NwEiFMbQfBMiugA_9_0"/>
      <w:bookmarkStart w:id="1179" w:name="Tc_Z98lZdAHYUWpGauhJfWALA_8_0"/>
      <w:bookmarkStart w:id="1180" w:name="Tc_xOEdIQjNoUquj7dpoAsY5Q_7_0"/>
      <w:bookmarkStart w:id="1181" w:name="Tc_3pNN93K0HEa4Inj-PrY2iQ_6_6"/>
      <w:bookmarkStart w:id="1182" w:name="Tc_Jsz6CcqASkKCHij4hefCnQ_6_0"/>
      <w:bookmarkStart w:id="1183" w:name="Tc_lNJHW8-V00q6fduJ0jZYgA_5_0"/>
      <w:bookmarkStart w:id="1184" w:name="Tc_NFVRFNqvm0GWeeJWcDtERA_4_5"/>
      <w:bookmarkStart w:id="1185" w:name="Tc_0tq6vNpcjUW_ZshVs9ksfA_4_3"/>
      <w:bookmarkStart w:id="1186" w:name="Tc_TBZDxDRsVkWVM4eRjLKBNA_4_2"/>
      <w:bookmarkStart w:id="1187" w:name="Tc_ZecpJOY9fEKeDkZ4YzRjqQ_4_0"/>
      <w:bookmarkStart w:id="1188" w:name="Tc_2sQKVa_9TEaBJdT48Y2qvw_3_0"/>
      <w:bookmarkStart w:id="1189" w:name="Tc_Mqv26vqNo0qfqYaPpD67Qg_2_5"/>
      <w:bookmarkStart w:id="1190" w:name="Tc_UCziZPvuKUypIbhG4QkIMg_2_2"/>
      <w:bookmarkStart w:id="1191" w:name="Tc_TOnoe7ubEEGhtuac3ZwPXQ_1_5"/>
      <w:bookmarkStart w:id="1192" w:name="Tc_xYes0DSFVkid2Zs6h06XUg_1_2"/>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r>
        <w:rPr>
          <w:rFonts w:ascii="Times New Roman;Times;serif" w:hAnsi="Times New Roman;Times;serif"/>
          <w:sz w:val="20"/>
        </w:rPr>
        <w:t>The following tables set forth the components of deferred income taxes as of December 31, 2022 and 2021:</w:t>
      </w:r>
    </w:p>
    <w:p>
      <w:pPr>
        <w:pStyle w:val="TextBody"/>
        <w:spacing w:before="0" w:after="0"/>
        <w:ind w:left="0" w:right="0" w:hanging="0"/>
        <w:rPr/>
      </w:pPr>
      <w:r>
        <w:rPr/>
        <w:t>​</w:t>
      </w:r>
    </w:p>
    <w:tbl>
      <w:tblPr>
        <w:tblW w:w="6072" w:type="dxa"/>
        <w:jc w:val="left"/>
        <w:tblInd w:w="0" w:type="dxa"/>
        <w:tblCellMar>
          <w:top w:w="0" w:type="dxa"/>
          <w:left w:w="0" w:type="dxa"/>
          <w:bottom w:w="0" w:type="dxa"/>
          <w:right w:w="0" w:type="dxa"/>
        </w:tblCellMar>
      </w:tblPr>
      <w:tblGrid>
        <w:gridCol w:w="2971"/>
        <w:gridCol w:w="326"/>
        <w:gridCol w:w="211"/>
        <w:gridCol w:w="931"/>
        <w:gridCol w:w="326"/>
        <w:gridCol w:w="211"/>
        <w:gridCol w:w="1096"/>
      </w:tblGrid>
      <w:tr>
        <w:trPr/>
        <w:tc>
          <w:tcPr>
            <w:tcW w:w="29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886585" cy="175260"/>
                      <wp:effectExtent l="0" t="0" r="0" b="0"/>
                      <wp:wrapNone/>
                      <wp:docPr id="230" name="Frame230"/>
                      <a:graphic xmlns:a="http://schemas.openxmlformats.org/drawingml/2006/main">
                        <a:graphicData uri="http://schemas.microsoft.com/office/word/2010/wordprocessingShape">
                          <wps:wsp>
                            <wps:cNvSpPr txBox="1"/>
                            <wps:spPr>
                              <a:xfrm>
                                <a:off x="0" y="0"/>
                                <a:ext cx="1886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07010" cy="175260"/>
                      <wp:effectExtent l="0" t="0" r="0" b="0"/>
                      <wp:wrapNone/>
                      <wp:docPr id="231" name="Frame2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33985" cy="175260"/>
                      <wp:effectExtent l="0" t="0" r="0" b="0"/>
                      <wp:wrapNone/>
                      <wp:docPr id="232" name="Frame23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591185" cy="175260"/>
                      <wp:effectExtent l="0" t="0" r="0" b="0"/>
                      <wp:wrapNone/>
                      <wp:docPr id="233" name="Frame233"/>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07010" cy="175260"/>
                      <wp:effectExtent l="0" t="0" r="0" b="0"/>
                      <wp:wrapNone/>
                      <wp:docPr id="234" name="Frame23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33985" cy="175260"/>
                      <wp:effectExtent l="0" t="0" r="0" b="0"/>
                      <wp:wrapNone/>
                      <wp:docPr id="235" name="Frame23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95960" cy="175260"/>
                      <wp:effectExtent l="0" t="0" r="0" b="0"/>
                      <wp:wrapNone/>
                      <wp:docPr id="236" name="Frame236"/>
                      <a:graphic xmlns:a="http://schemas.openxmlformats.org/drawingml/2006/main">
                        <a:graphicData uri="http://schemas.microsoft.com/office/word/2010/wordprocessingShape">
                          <wps:wsp>
                            <wps:cNvSpPr txBox="1"/>
                            <wps:spPr>
                              <a:xfrm>
                                <a:off x="0" y="0"/>
                                <a:ext cx="695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9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4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shd w:fill="auto" w:val="clear"/>
            <w:vAlign w:val="center"/>
          </w:tcPr>
          <w:p>
            <w:pPr>
              <w:pStyle w:val="TableContents"/>
              <w:spacing w:before="0" w:after="0"/>
              <w:ind w:left="0" w:right="0" w:hanging="0"/>
              <w:jc w:val="center"/>
              <w:rPr/>
            </w:pPr>
            <w:r>
              <w:rPr/>
              <w:t>​</w:t>
            </w:r>
          </w:p>
        </w:tc>
        <w:tc>
          <w:tcPr>
            <w:tcW w:w="130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9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    </w:t>
            </w:r>
          </w:p>
        </w:tc>
        <w:tc>
          <w:tcPr>
            <w:tcW w:w="13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297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Deferred tax assets:</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1096" w:type="dxa"/>
            <w:tcBorders/>
            <w:shd w:fill="CCEEFF" w:val="clear"/>
            <w:vAlign w:val="center"/>
          </w:tcPr>
          <w:p>
            <w:pPr>
              <w:pStyle w:val="TableContents"/>
              <w:spacing w:before="0" w:after="0"/>
              <w:ind w:left="0" w:right="0" w:hanging="0"/>
              <w:jc w:val="right"/>
              <w:rPr/>
            </w:pPr>
            <w:r>
              <w:rPr/>
              <w:t>  </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operating loss carryforwards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64,858</w:t>
            </w:r>
          </w:p>
        </w:tc>
      </w:tr>
      <w:tr>
        <w:trPr/>
        <w:tc>
          <w:tcPr>
            <w:tcW w:w="29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expense carryforwards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1,129,939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84,325</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Goodwill and intangible assets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2,359,197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96" w:type="dxa"/>
            <w:tcBorders/>
            <w:shd w:fill="auto" w:val="clear"/>
            <w:vAlign w:val="center"/>
          </w:tcPr>
          <w:p>
            <w:pPr>
              <w:pStyle w:val="TableContents"/>
              <w:spacing w:before="0" w:after="0"/>
              <w:ind w:left="0" w:right="0" w:hanging="0"/>
              <w:jc w:val="right"/>
              <w:rPr/>
            </w:pPr>
            <w:r>
              <w:rPr/>
              <w:t>—</w:t>
            </w:r>
          </w:p>
        </w:tc>
      </w:tr>
      <w:tr>
        <w:trPr/>
        <w:tc>
          <w:tcPr>
            <w:tcW w:w="29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 liabilities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1,705,867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861,683</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Share based compensation accruals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598,861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2,518,158</w:t>
            </w:r>
          </w:p>
        </w:tc>
      </w:tr>
      <w:tr>
        <w:trPr/>
        <w:tc>
          <w:tcPr>
            <w:tcW w:w="29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Loyalty points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412,218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363,171</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Fixed assets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367,776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96" w:type="dxa"/>
            <w:tcBorders/>
            <w:shd w:fill="auto" w:val="clear"/>
            <w:vAlign w:val="center"/>
          </w:tcPr>
          <w:p>
            <w:pPr>
              <w:pStyle w:val="TableContents"/>
              <w:spacing w:before="0" w:after="0"/>
              <w:ind w:left="0" w:right="0" w:hanging="0"/>
              <w:jc w:val="right"/>
              <w:rPr/>
            </w:pPr>
            <w:r>
              <w:rPr/>
              <w:t>—</w:t>
            </w:r>
          </w:p>
        </w:tc>
      </w:tr>
      <w:tr>
        <w:trPr/>
        <w:tc>
          <w:tcPr>
            <w:tcW w:w="29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Capitalized transaction costs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217,320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662,861</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Bad debt allowance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36,742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94,620</w:t>
            </w:r>
          </w:p>
        </w:tc>
      </w:tr>
      <w:tr>
        <w:trPr/>
        <w:tc>
          <w:tcPr>
            <w:tcW w:w="29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expenses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8,537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9,099</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Gross deferred tax assets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6,836,457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4,658,775</w:t>
            </w:r>
          </w:p>
        </w:tc>
      </w:tr>
      <w:tr>
        <w:trPr/>
        <w:tc>
          <w:tcPr>
            <w:tcW w:w="297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96" w:type="dxa"/>
            <w:tcBorders/>
            <w:shd w:fill="CCEEFF" w:val="clear"/>
            <w:vAlign w:val="center"/>
          </w:tcPr>
          <w:p>
            <w:pPr>
              <w:pStyle w:val="TableContents"/>
              <w:spacing w:before="0" w:after="0"/>
              <w:ind w:left="0" w:right="0" w:hanging="0"/>
              <w:rPr/>
            </w:pPr>
            <w:r>
              <w:rPr/>
              <w:t>​</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Valuation allowance</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(2,062,697)</w:t>
            </w:r>
          </w:p>
        </w:tc>
      </w:tr>
      <w:tr>
        <w:trPr/>
        <w:tc>
          <w:tcPr>
            <w:tcW w:w="297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96" w:type="dxa"/>
            <w:tcBorders/>
            <w:shd w:fill="CCEEFF" w:val="clear"/>
            <w:vAlign w:val="center"/>
          </w:tcPr>
          <w:p>
            <w:pPr>
              <w:pStyle w:val="TableContents"/>
              <w:spacing w:before="0" w:after="0"/>
              <w:ind w:left="0" w:right="0" w:hanging="0"/>
              <w:rPr/>
            </w:pPr>
            <w:r>
              <w:rPr/>
              <w:t>​</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Net deferred tax assets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6,836,457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2,596,078</w:t>
            </w:r>
          </w:p>
        </w:tc>
      </w:tr>
      <w:tr>
        <w:trPr/>
        <w:tc>
          <w:tcPr>
            <w:tcW w:w="297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96" w:type="dxa"/>
            <w:tcBorders/>
            <w:shd w:fill="CCEEFF" w:val="clear"/>
            <w:vAlign w:val="center"/>
          </w:tcPr>
          <w:p>
            <w:pPr>
              <w:pStyle w:val="TableContents"/>
              <w:spacing w:before="0" w:after="0"/>
              <w:ind w:left="0" w:right="0" w:hanging="0"/>
              <w:rPr/>
            </w:pPr>
            <w:r>
              <w:rPr/>
              <w:t>​</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Deferred tax 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96" w:type="dxa"/>
            <w:tcBorders/>
            <w:shd w:fill="auto" w:val="clear"/>
            <w:vAlign w:val="center"/>
          </w:tcPr>
          <w:p>
            <w:pPr>
              <w:pStyle w:val="TableContents"/>
              <w:spacing w:before="0" w:after="0"/>
              <w:ind w:left="0" w:right="0" w:hanging="0"/>
              <w:jc w:val="right"/>
              <w:rPr/>
            </w:pPr>
            <w:r>
              <w:rPr/>
              <w:t>  </w:t>
            </w:r>
          </w:p>
        </w:tc>
      </w:tr>
      <w:tr>
        <w:trPr/>
        <w:tc>
          <w:tcPr>
            <w:tcW w:w="29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Fixed assets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63,301</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Goodwill and intangible assets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5,594,714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1,568,542</w:t>
            </w:r>
          </w:p>
        </w:tc>
      </w:tr>
      <w:tr>
        <w:trPr/>
        <w:tc>
          <w:tcPr>
            <w:tcW w:w="29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leases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1,595,394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850,793</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Unrealized gains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117,750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55,576</w:t>
            </w:r>
          </w:p>
        </w:tc>
      </w:tr>
      <w:tr>
        <w:trPr/>
        <w:tc>
          <w:tcPr>
            <w:tcW w:w="29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Cash-to-accrual</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30,669</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57,866</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Net deferred tax 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7,338,527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2,596,078</w:t>
            </w:r>
          </w:p>
        </w:tc>
      </w:tr>
      <w:tr>
        <w:trPr/>
        <w:tc>
          <w:tcPr>
            <w:tcW w:w="297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96" w:type="dxa"/>
            <w:tcBorders/>
            <w:shd w:fill="CCEEFF" w:val="clear"/>
            <w:vAlign w:val="center"/>
          </w:tcPr>
          <w:p>
            <w:pPr>
              <w:pStyle w:val="TableContents"/>
              <w:spacing w:before="0" w:after="0"/>
              <w:ind w:left="0" w:right="0" w:hanging="0"/>
              <w:rPr/>
            </w:pPr>
            <w:r>
              <w:rPr/>
              <w:t>​</w:t>
            </w:r>
          </w:p>
        </w:tc>
      </w:tr>
      <w:tr>
        <w:trPr/>
        <w:tc>
          <w:tcPr>
            <w:tcW w:w="29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r>
        <w:trPr/>
        <w:tc>
          <w:tcPr>
            <w:tcW w:w="297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net deferred tax assets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(502,070)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1096" w:type="dxa"/>
            <w:tcBorders>
              <w:bottom w:val="double" w:sz="6" w:space="0" w:color="000000"/>
            </w:tcBorders>
            <w:shd w:fill="CCEEFF" w:val="clear"/>
            <w:tcMar>
              <w:bottom w:w="28" w:type="dxa"/>
            </w:tcMar>
            <w:vAlign w:val="center"/>
          </w:tcPr>
          <w:p>
            <w:pPr>
              <w:pStyle w:val="TableContents"/>
              <w:spacing w:before="0" w:after="0"/>
              <w:ind w:left="0" w:right="68" w:hanging="0"/>
              <w:jc w:val="right"/>
              <w:rPr/>
            </w:pPr>
            <w:r>
              <w:rPr/>
              <w:t>—</w:t>
            </w:r>
          </w:p>
        </w:tc>
      </w:tr>
    </w:tbl>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Federal and State tax laws impose significant restrictions on the utilization of tax attribute carryforwards in the event of a change in ownership of the Company, as defined by IRC Section 382. The Company does not expect any Section 382 annual limitations to significantly impact future utilization of its gross state interest expense carryforwards.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assessing the realizability of deferred tax assets, management considers whether it is more likely than not that some portion or all of the deferred tax assets will not be realized. At December 31, 2022, the Company released its valuation allowance, resulting in an income tax benefit of $2,062,697. As of December 31, 2022, the Company believes it is more likely than not that its deferred tax assets will be realized as the Company has additional sources of income, primarily related to acquired deferred tax liabilities with known reversal periods, that will result in future taxable income in excess of its deferred tax assets. As a result, the Company has no valuation allowance recorded against its deferred tax assets as of December 31, 2022.</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2022 and 2021, the Company had no unrecognized tax benefits. The Company does not anticipate any significant unrecognized tax benefits to arise within the next twelve months. The Company did not recognize any significant interest expense or penalties on income tax assessments during 2022 or 2021 and there was no interest or penalties related to income tax assessments accrued as of December 31, 2022 or 2021.</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files income tax returns in the United States, Colorado, and New Mexico. The federal, Colorado, and New Mexico statutes of limitations all remain open for the 2019 tax year to present.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F-27</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16.</w:t>
      </w:r>
      <w:r>
        <w:rPr>
          <w:rFonts w:ascii="Times New Roman;Times;serif" w:hAnsi="Times New Roman;Times;serif"/>
          <w:b/>
          <w:sz w:val="20"/>
        </w:rPr>
        <w:t>Related Party Transactions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Transactions Involving Former Directors, Executive Officers or Their Affiliated Entities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former Chief Executive Officer, Andy Williams, maintains an ownership interest in MedPharm Holdings LLC (“MedPharm”). Effective February 25, 2020 he was no longer an officer of the Company and therefore no longer a related party. During the year ended December 31, 2019, the Company made loans to MedPharm totaling $767,695 evidenced by promissory notes with original maturity dates ranging from September 21, 2019 through January 19, 2020 and all bearing interest at 8% per annum. On August 1, 2020, the Company entered into a Settlement Agreement and Mutual Release (the “Settlement Agreement”) with MedPharm pursuant to which (i) the parties agreed that the outstanding amount owed by MedPharm to the Company was $767,695 of principal and $47,161 in accrued and unpaid interest, (ii) MedPharm paid the Company $100,000 in cash, and (iii) Andrew Williams returned 175,000 shares of Common Stock to the Company, as partial repayment of the outstanding balance at a value of $1.90 per share. These shares are held in treasury. The remaining outstanding principal and interest of $181,911 due and payable by MedPharm under the Settlement Agreement was to be paid out in bi-weekly installments of product by scheduled deliveries through June 30, 2021. This amount was paid off on April 19, 2021.</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During the year ended December 31, 2020, the Company recorded sales to Baseball 18, LLC (“Baseball”) totaling $14,605, to Farm Boy, LLC (“Farm Boy”) totaling $16,125, to Emerald Fields LLC (“Emerald Fields”) totaling $16,605, and to Los Sueños Farms (“Los Sueños”) totaling $52,244. As of December 31, 2020 the Company had net accounts payable balances with Baseball of $31,250, and with Farm Boy of $93,944. One of the Company’s former Chief Operating Officers and directors, Robert DeGabrielle, owns the Colorado retail marijuana cultivation licenses for Farm Boy, Baseball, Emerald Fields, and Los Sueños. Effective June 19, 2020 he was no longer an officer of the Company and therefore no longer a related party. As such, he is not included as a related party with respect to sales and accounts receivable from Baseball, Farm Boy, Emerald Fields, or Los Sueños during the period ended December 31, 2022 and December 31, 2021.</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Transactions with Justin Dye and Entities Affiliated with Mr. Dye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participated in several transaction involving Dye Capital, Dye Capital Cann Holdings, LLC (“Dye Cann I”) and Dye Cann II. Justin Dye, the Company’s Chief Executive Officer, one of its directors, and the largest beneficial owner of Common Stock and Preferred Stock, controls Dye Capital and Dye Capital controls Dye Cann I and Dye Cann II. Dye Cann I is the largest holder of the Company’s outstanding common stock. Dye Cann II is a significant holder of our Preferred Stock. Mr. Dye has sole voting and dispositive power over the securities held by Dye Capital, Dye Cann I, and Dye Cann II.</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entered into a Securities Purchase Agreement with Dye Cann I on June 5, 2019, (as amended, the “Dye Cann I SPA”) pursuant to which the Company agreed to sell to Dye Cann I up to between 8,187,500 and 10,687,500 shares of Common Stock in several tranches at $2.00 per share and warrants to purchase 100% of the number of shares of common stock sold at a purchase price of $3.50 per share. At the initial closing on June 5, 2019, the Company sold to Dye Cann I 1,500,000 shares of common stock and warrants to purchase 1,500,000 shares of common stock for gross proceeds of $3,000,000, and the Company has consummated subsequent closings for an aggregate of 9,287,500 shares of common stock and warrants to purchase 9,287,500 shares of common stock for aggregate gross proceeds of $18,575,000 to the Company. The Company and Dye Cann I entered into a first amendment to the Dye Cann I SPA on July 15, 2019, a second amendment to the Dye Cann I SPA on May 20, 2020, and a Consent, Waiver and Amendment on December 16, 2020. At the time of the initial closing under the Dye Cann I SPA, Justin Dye became a director and the Company’s Chief Executive Officer.</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granted Dye Cann I certain demand and piggyback registration rights with respect to the shares of common stock sold under the Dye Cann I SPA and issuable upon exercise of the warrants sold under the Dye Cann I SPA. The Company also granted Dye Cann I the right to designate one or more individuals for election or appointment to the Company’s board of directors (the “Board”) and Board observer rights. Further, under the Dye Cann I SPA, until June 5, 2022, if the Company desires to pursue debt or equity financing, the Company must first give Dye Cann I an opportunity to provide a proposal to the Company with the terms upon which Dye Cann I would be willing to provide or secure such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F-28</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financing. If the Company does not accept Dye Cann I’s proposal, the Company may pursue such debt or equity financing from other sources but Dye Cann I has a right to participate in such financing to the extent required to enable Dye Cann I to maintain the percentage of Common Stock (on a fully-diluted basis) that it then owns, in the case of equity securities, or, in the case of debt, a pro rata portion of such debt based on the percentage of Common Stock (on a fully-diluted basis) that it then owns.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entered into a Securities Purchase Agreement (as amended, the “Dye Cann II SPA”) with Dye Cann II on November 16, 2020 pursuant to which the Company agreed to sell to Dye Cann II shares of Preferred Stock in one or more tranches at a price of $1,000 per share. The terms of the Dye Cann II SPA are disclosed in the Company’s Current Report on Form 8-K filed on December 23, 2020. The Company and Dye Cann II entered into an amendment to the Dye Cann II SPA on December 16, 2020, a second amendment to the Dye Cann II SPA on February 3, 2021, and a third amendment to the Dye Cann II SPA on March 30, 2021. The Company issued and sold to Dye Cann II 7,700 shares of Preferred Stock on December 16, 2020, 1,450 shares of Preferred Stock on December 18, 2020, 1,300 shares of Series Preferred Stock on December 22, 2020, 3,100 shares of Preferred Stock on February 3, 2021, 3,800 shares of Preferred Stock on March 2, 2021 and 4,000 shares of Preferred Stock on March 30, 2021. As a result, the Company issued and sold an aggregate of 21,350 shares of Preferred Stock to Dye Cann II for aggregate gross proceeds of $21,350,000.</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granted Dye Cann II certain demand and piggyback registration rights with respect to the shares of common stock issuable upon conversion of the Preferred Stock under the Dye Cann II SPA. Further, the Company granted Dye Can II the right to designate one or more individuals for election or appointment to the Board and Board observer rights.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16, 2020, the Company entered into a Secured Convertible Note Purchase Agreement with Dye Capital and issued and sold to Dye Capital a Convertible Note and Security Agreement in the principal amount of $5,000,000. On February 26, 2021, Dye Capital elected to convert the $5,000,000 principal amount and the $60,250 of accrued but unpaid interest under the Convertible Promissory Note and Security Agreement under its terms and Dye Capital and the Company entered into a Conversion Notice and Agreement pursuant to which the Company issued 5,060 shares of Preferred Stock to Dye Capital and also paid Dye Capital $230.97 in cash in lieu of issuing any fractional shares of Preferred Stock upon conversion.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For the year ended December 31, 2021, the Company recorded expenses of $214,908 owed to Tella Digital. As of December 31, 2022, the Company recorded expenses of $382,622 owed to Tella. Tella Digital provides on-premise digital experience solutions for our retail dispensary locations. Mr. Dye is an indirect part owner and serves as Chairman of Tella Digital. </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Transactions with Entities Affiliated with Nirup Krishnamurthy</w:t>
      </w:r>
    </w:p>
    <w:p>
      <w:pPr>
        <w:pStyle w:val="TextBody"/>
        <w:pBdr/>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For the year ended December 31, 2021, the Company recorded expenses of $214,908 owed to Tella Digital. As of December 31, 2022, the Company recorded expenses of $382,622 owed to Tella. Tella Digital provides on-premise digital experience solutions for our retail dispensary locations. Mr. Krishnamurthy, the Company’s President and one of its directors, is an indirect partial owner of Tella Digital. </w:t>
      </w:r>
    </w:p>
    <w:p>
      <w:pPr>
        <w:pStyle w:val="TextBody"/>
        <w:pBdr/>
        <w:shd w:fill="FFFFFF" w:val="clear"/>
        <w:spacing w:before="0" w:after="0"/>
        <w:ind w:left="0" w:right="0" w:hanging="0"/>
        <w:rPr>
          <w:rFonts w:ascii="Times New Roman;Times;serif" w:hAnsi="Times New Roman;Times;serif"/>
          <w:i/>
          <w:sz w:val="20"/>
        </w:rPr>
      </w:pPr>
      <w:r>
        <w:rPr>
          <w:rFonts w:ascii="Times New Roman;Times;serif" w:hAnsi="Times New Roman;Times;serif"/>
          <w:i/>
          <w:sz w:val="20"/>
        </w:rPr>
        <w:t>Transactions with Jeffrey Cozad and Entities Affiliated with Mr. Cozad</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On February 26, 2021, the Company entered into a Securities Purchase Agreement (the “CRW SPA”) with CRW Cann Holdings, LLC (“CRW”) pursuant to which the Company issued and sold 25,350 shares of Preferred Stock to CRW at a price of $1,000 per share for aggregate gross proceeds of $25,350,000. The transaction made CRW a beneficial owner of more than 5% of Common Stock. The Company granted CRW certain demand and piggyback registration rights with respect to the shares of Common Stock issuable upon conversion of the Preferred Stock under the CRW SPA. On the same date, the Company entered into a letter agreement with CRW, granting CRW the right to designate one individual for election or appointment to the Board and Board observer rights. Under the letter agreement, for as long as CRW has the right to designate a Board member, if the Company, directly or indirectly, plans to issue, sell or grant any securities or options to purchase any of its securities, CRW has a right to purchase its pro rata portion of such securities, based on the number of shares of Preferred Stock beneficially held by CRW on the applicable date on an as-converted to Common Stock basis divided by the total number of shares of Common Stock outstanding on such date on an as-converted, fully-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F-29</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diluted basis (taking into account all outstanding securities of the Company regardless of whether the holders of such securities have the right to convert or exercise such securities for Common Stock at the time of determination). Further, under the letter agreement, the Company paid CRW Capital, LLC, the sole manager of CRW and a holder of a carried interest in CRW, a monitoring fee equal to $150,000 in monthly installments of $12,500. The Company paid CRW a monitoring fee of $125,000 during 2021 and $25,000 in monitoring fees during 2022. On March 14, 2021, the Board appointed Jeffrey A. Cozad as a director to fill a vacancy on the Board. Mr. Cozad is a manager and owns 50% of CRW Capital, LLC, and he shares voting and disposition power over the shares of Preferred Stock held by CRW. Mr. Cozad and his family members indirectly own membership interests in CRW. </w:t>
      </w:r>
    </w:p>
    <w:p>
      <w:pPr>
        <w:pStyle w:val="TextBody"/>
        <w:pBdr/>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On December 7, 2021, the Company entered into a Securities Purchase Agreement with Cozad Investments, L.P. pursuant to which the Company issued an Investor Note in the aggregate principal amount of $250,000 to Cozad Investments, L.P. for $245,000 in cash. The Investor Note bears interest at 13% per year payable quarterly commencing March 31, 2022 in cash for an amount equal to the amount payable on such date as if the Investor Note was subject to an annual interest rate of 9% with the remainder of the accrued interest payable as an increase to the principal amount of the Note. Mr. Cozad is a manager of CRW, majority owner of Cozad Investments, L.P., and a member of the Board.</w:t>
      </w:r>
    </w:p>
    <w:p>
      <w:pPr>
        <w:pStyle w:val="TextBody"/>
        <w:pBdr/>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On May 4, 2022, and June 14, 2022, the Company issued 40,463 shares of Common Stock and 22,728 shares of Common Stock, respectively, to Mr. Cozad as compensation for service on the Board. These shares were valued at $70,001 and $35,001 for May and June 2022, respectively.</w:t>
      </w:r>
    </w:p>
    <w:p>
      <w:pPr>
        <w:pStyle w:val="TextBody"/>
        <w:pBdr/>
        <w:shd w:fill="FFFFFF" w:val="clear"/>
        <w:spacing w:before="0" w:after="0"/>
        <w:ind w:left="0" w:right="0" w:hanging="0"/>
        <w:rPr>
          <w:rFonts w:ascii="Times New Roman;Times;serif" w:hAnsi="Times New Roman;Times;serif"/>
          <w:i/>
          <w:sz w:val="20"/>
        </w:rPr>
      </w:pPr>
      <w:r>
        <w:rPr>
          <w:rFonts w:ascii="Times New Roman;Times;serif" w:hAnsi="Times New Roman;Times;serif"/>
          <w:i/>
          <w:sz w:val="20"/>
        </w:rPr>
        <w:t>Transactions with Marc Rubin and Entities Affiliated with Mr. Rubin</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On February 26, 2021, the Company entered into the CRW SPA with CRW, of which Marc Rubin is a beneficial owner. Pursuant to the CRW SPA, the Company issued and sold 25,350 shares of Series A Preferred Stock to CRW at a price of $1,000 per share for aggregate gross proceeds of $25,350,000. The transaction made CRW a beneficial owner of more than 5% of the Company’s common stock. The Company granted CRW certain demand and piggyback registration rights with respect to the shares of common stock issuable upon conversion of the Series A Preferred Stock under the CRW SPA. Effective February 4, 2022, the Company registered the resale of the shares of common stock issuable upon conversion of the Series A Preferred Stock on a Form S-3. Also on February 26, 2021, the Company entered into a letter agreement with CRW, granting CRW the right to designate one individual for election or appointment to the Board and Board observer rights. Under the letter agreement, for as long as CRW has the right to designate a Board member, if the Company, directly or indirectly, plans to issue, sell or grant any securities or options to purchase any of its securities, CRW has a right to purchase its pro rata portion of such securities, based on the number of shares of Series A Preferred Stock beneficially held by CRW on the applicable date on an as-converted-to-common-stock basis divided by the total number of shares of common stock outstanding on such date on an as-converted, fully-diluted basis (taking into account all outstanding securities of the Company regardless of whether the holders of such securities have the right to convert or exercise such securities for common stock at the time of determination). Further, under the letter agreement, the Company paid CRW Capital, LLC, the sole manager of CRW and a holder of a carried interest in CRW, a monitoring fee equal to $125,000 in 2021 and total monitoring fees of $25,000 in 2022. Mr. Rubin is a manager and 50% owner of CRW Capital, LLC, and he shares voting and disposition power over the shares of Series A Preferred Stock held by CRW. In October 2022, the Board appointed Mr. Rubin as a director to fill a vacancy on the Board.</w:t>
      </w:r>
    </w:p>
    <w:p>
      <w:pPr>
        <w:pStyle w:val="TextBody"/>
        <w:shd w:fill="FFFFFF" w:val="clear"/>
        <w:spacing w:before="0" w:after="0"/>
        <w:ind w:left="0" w:right="0" w:hanging="0"/>
        <w:jc w:val="both"/>
        <w:rPr/>
      </w:pPr>
      <w:r>
        <w:rPr/>
        <w:t>​</w:t>
      </w:r>
    </w:p>
    <w:p>
      <w:pPr>
        <w:pStyle w:val="TextBody"/>
        <w:shd w:fill="FFFFFF" w:val="clear"/>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7, 2021, the Company entered into a Securities Purchase Agreement with The Rubin Revocable Trust U/A/D 05/09/2011 (the “Rubin Revocable Trust”) pursuant to which the Company issued an Investor Note in the aggregate principal amount of $100,000 to the Rubin Revocable Trust for $98,000 in cash. The Investor Note bears interest at 13% per year payable quarterly commencing March 31, 2022 in cash for the amount equal to the amount payable on such date as if the Investor Note was subject to an annual interest rate of 9% with the remainder of the accrued interest payable as an increase to the principal amount of the Note. Mr. Rubin is the majority owner of the Rubin Revocable Trust.</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Transactions with Jeffrey Garwood</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December 7, 2021, the Company entered into a Securities Purchase Agreement with Jeff Garwood pursuant to which the Company issued an Investor Note in the aggregate principal amount of $300,000 to Mr. Garwood for $294,000 in cash. The Investor Note bears interest at 13% per year paid quarterly commencing March 31, 2022 in cash for an amount equal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F-30</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to the amount payable on such date as if the Note was subject to an annual interest rate of 9% with the remainder of the accrued interest payable as an increase to the principal amount of the Note. Mr. Garwood is a member of the Board.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May 4, 2022, and June 14, 2022, the Company issued 40,463 shares of Common Stock and 22,728 shares of Common Stock, respectively, to Mr. Garwood as compensation for service on the Board. These shares were valued at $70,001 and $35,001 for May and June 2022, respectively.</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Transactions with Pratap Mukharji</w:t>
      </w:r>
    </w:p>
    <w:p>
      <w:pPr>
        <w:pStyle w:val="TextBody"/>
        <w:pBdr/>
        <w:spacing w:before="0" w:after="0"/>
        <w:ind w:left="0" w:right="0" w:hanging="0"/>
        <w:jc w:val="both"/>
        <w:rPr>
          <w:rFonts w:ascii="Times New Roman;Times;serif" w:hAnsi="Times New Roman;Times;serif"/>
          <w:sz w:val="20"/>
        </w:rPr>
      </w:pPr>
      <w:r>
        <w:rPr>
          <w:rFonts w:ascii="Times New Roman;Times;serif" w:hAnsi="Times New Roman;Times;serif"/>
          <w:sz w:val="20"/>
        </w:rPr>
        <w:t>On December 7, 2021, the Company entered into a Securities Purchase Agreement with Pratap Mukharji pursuant to which the Company issued an Investor Note in the aggregate principal amount of $200,000 to Mr. Mukharji for $196,000 in cash. The Investor Note bears interest at 13% per year paid quarterly commencing March 31, 2022 in cash for an amount equal to the amount payable on such date as if the Note was subject to an annual interest rate of 9% with the remainder of the accrued interest payable as an increase to the principal amount of the Note. Mr. Mukharji is a member of the Board.</w:t>
      </w:r>
    </w:p>
    <w:p>
      <w:pPr>
        <w:pStyle w:val="TextBody"/>
        <w:pBdr/>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On May 4, 2022, and June 14, 2022, the Company issued 40,463 shares of Common Stock and 22,728 shares of Common Stock, respectively, to Mr. Mukharji as compensation for service on the Board. These shares were valued at $70,001 and $35,001 for May and June 2022, respectively.</w:t>
      </w:r>
    </w:p>
    <w:p>
      <w:pPr>
        <w:pStyle w:val="TextBody"/>
        <w:pBdr/>
        <w:shd w:fill="FFFFFF" w:val="clear"/>
        <w:spacing w:before="0" w:after="0"/>
        <w:ind w:left="0" w:right="0" w:hanging="0"/>
        <w:rPr>
          <w:rFonts w:ascii="Times New Roman;Times;serif" w:hAnsi="Times New Roman;Times;serif"/>
          <w:i/>
          <w:sz w:val="20"/>
        </w:rPr>
      </w:pPr>
      <w:r>
        <w:rPr>
          <w:rFonts w:ascii="Times New Roman;Times;serif" w:hAnsi="Times New Roman;Times;serif"/>
          <w:i/>
          <w:sz w:val="20"/>
        </w:rPr>
        <w:t>Transactions with Paul Montalbano</w:t>
      </w:r>
    </w:p>
    <w:p>
      <w:pPr>
        <w:pStyle w:val="TextBody"/>
        <w:pBdr/>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On May 4, 2022, and June 14, 2022, the Company issued 40,463 shares of Common Stock and 22,728 shares of Common Stock, respectively, to Mr. Montalbano as compensation for service on the Board. These shares were valued at $70,001 and $35,001 for May and June 2022, respectively.</w:t>
      </w:r>
    </w:p>
    <w:p>
      <w:pPr>
        <w:pStyle w:val="TextBody"/>
        <w:pBdr/>
        <w:shd w:fill="FFFFFF" w:val="clear"/>
        <w:spacing w:before="0" w:after="0"/>
        <w:ind w:left="0" w:right="0" w:hanging="0"/>
        <w:rPr>
          <w:rFonts w:ascii="Times New Roman;Times;serif" w:hAnsi="Times New Roman;Times;serif"/>
          <w:i/>
          <w:sz w:val="20"/>
        </w:rPr>
      </w:pPr>
      <w:r>
        <w:rPr>
          <w:rFonts w:ascii="Times New Roman;Times;serif" w:hAnsi="Times New Roman;Times;serif"/>
          <w:i/>
          <w:sz w:val="20"/>
        </w:rPr>
        <w:t>Transactions with Jonathan Berger</w:t>
      </w:r>
    </w:p>
    <w:p>
      <w:pPr>
        <w:pStyle w:val="TextBody"/>
        <w:shd w:fill="FFFFFF" w:val="clear"/>
        <w:spacing w:before="0" w:after="240"/>
        <w:ind w:left="0" w:right="0" w:hanging="0"/>
        <w:jc w:val="both"/>
        <w:rPr>
          <w:rFonts w:ascii="Times New Roman;Times;serif" w:hAnsi="Times New Roman;Times;serif"/>
          <w:sz w:val="20"/>
        </w:rPr>
      </w:pPr>
      <w:r>
        <w:rPr>
          <w:rFonts w:ascii="Times New Roman;Times;serif" w:hAnsi="Times New Roman;Times;serif"/>
          <w:sz w:val="20"/>
        </w:rPr>
        <w:t>On May 4, 2022, and June 14, 2022, the Company issued 40,463 shares of Common Stock and 22,728 shares of Common Stock, respectively, to Mr. Berger as compensation for service on the Board. These shares were valued at $70,001 and $35,001 for May and June 2022, respectively. On June 24, 2022, the Company issued 19,085 shares of Common Stock to Mr. Berger as compensation for service as the Chair of the Audit Committee, Compensation Committee, and Nominating and Corporate Governance Committee of the Board. These shares were valued at $25,001 for June 2022. On September 22, 2022, the Company issued 102,355 shares of Common Stock to Mr. Berger as compensation for service as Lead Independent Director of the Board. These shares were valued at $100,000 for September 2022.</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Transactions with Star Buds Parties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participated in several transactions involving entities owned or affiliated with one or more of its directors or 5% or greater beneficial owners that are affiliated with Star Buds and/or the Star Buds Acquisitions. These individuals include: (i) Brian Ruden, a former director of the Company as of October 2022 and a beneficial owner of 10% or more of the Company’s voting stock, (ii) Salim Wahdan, a director of the Company as of December 31, 2022, and (iii) Naser Joudeh and Shadhaa Ramadan, jointly as the beneficial owner of 10% or more of the Company’s voting stock (the “Joudeh Owners” and together with Brian Ruden and Salim Wahdan, the “Star Buds Affiliates”). Each of Brian Ruden, Salim Wahdan, and the Joudeh Owners had an ownership stake in the Star Buds companies acquired by the Company between December 2021 and May 2022.</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Between December 17, 2020 and March 2, 2021, the Company’s wholly-owned subsidiary SBUD, LLC acquired the Star Buds assets. The aggregate purchase price for the Star Buds assets was $118,000,000, paid as follows: (i) $44,250,000 in cash at the applicable closings, (ii) $44,250,000 in deferred cash, also referred to in this report as “seller note(s),” (iii) 29,506 shares of Preferred Stock, of which 25,078 shares were issued at the applicable closings and 4,428 shares were held back by the Company as collateral for potential indemnification obligations pursuant to the applicable purchase agreements. In addition, the Company issued warrants to purchase an aggregate of 5,531,250 shares of Common Stock to the sellers. Each party’s interest in the seller notes is as follows: (i) Brian Ruden: 31%, (ii) Salim Wahdan: 3.5%, and (iii) the Joudeh Owners: 28%. The Company issued warrants to purchase an aggregate of (i) 1,715,936 shares of Common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F-31</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Stock to Mr. Ruden, (ii) 193,929 shares of Common Stock to Mr. Wahdan, and (iii) 1,522,457 shares of Common Stock to the Joudeh Owners.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December 31, 2021, the Company (i) owed an aggregate principal amount of $44,250,000 under the seller notes, (ii) paid an aggregate of $4,780,887 in interest on the seller notes, and (iii) held 4,428 shares of Preferred Stock in escrow as collateral for potential indemnification obligations pursuant to the applicable purchase agreements.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2022, the Company (i) owed an aggregate principal amount of $44,250,000 under the seller notes, (ii) paid an aggregate of $5,310,000 in interest on the seller notes, and (iii) held 944 shares of Preferred Stock in escrow as collateral for potential indemnification obligations pursuant to the applicable purchase agreements.  </w:t>
      </w:r>
    </w:p>
    <w:p>
      <w:pPr>
        <w:pStyle w:val="TextBody"/>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In connection with acquiring the Star Buds assets, the Company also assumed and acquired a number of leases for which one of more of the Star Buds Affiliates serve as landlord or maintain an ownership interest in the landlord entity. The Company has entered into a lease with each of 428 S. McCulloch LLC, Colorado Real Estate Holdings LLC, 5844 Ventures LLC, 5238 W 44</w:t>
      </w:r>
      <w:r>
        <w:rPr>
          <w:rFonts w:ascii="Times New Roman;Times;serif" w:hAnsi="Times New Roman;Times;serif"/>
          <w:sz w:val="15"/>
        </w:rPr>
        <w:t>th</w:t>
      </w:r>
      <w:r>
        <w:rPr>
          <w:rFonts w:ascii="Times New Roman;Times;serif" w:hAnsi="Times New Roman;Times;serif"/>
          <w:sz w:val="20"/>
        </w:rPr>
        <w:t xml:space="preserve"> LLC, 4690 Brighton Blvd LLC, 14655 Arapahoe LLC and Montview Real Estate LLC, on substantially the same terms. Each of the leases is for an initial three-year term. The lease with 428 S. McCulloch LLC is for the Company’s Pueblo West Star Buds location and was effective on December 17, 2020. The lease with Colorado Real Estate Holdings LLC and 5844 Ventures LLC is for the Company’s Niwot and Commerce City Star Buds location, respectively, and was effective on December 18, 2020. The lease with 5238 W 44</w:t>
      </w:r>
      <w:r>
        <w:rPr>
          <w:rFonts w:ascii="Times New Roman;Times;serif" w:hAnsi="Times New Roman;Times;serif"/>
          <w:sz w:val="15"/>
        </w:rPr>
        <w:t>th</w:t>
      </w:r>
      <w:r>
        <w:rPr>
          <w:rFonts w:ascii="Times New Roman;Times;serif" w:hAnsi="Times New Roman;Times;serif"/>
          <w:sz w:val="20"/>
        </w:rPr>
        <w:t xml:space="preserve"> LLC is for the Company’s Lakeside Star Buds location and was effective on February 3, 2021. The lease with 4690 Brighton Blvd LLC is for the Company’s Brighton store in north Denver and was effective on February 3, 2021. The lease with 14655 Arapahoe LLC and Montview Real Estate LLC is for the Company’s Arapahoe and Aurora locations, respectively, and was effective on March 2, 2021. The 428 S McCulloch LLC, 5844 Ventures LLC and 5238 W 44</w:t>
      </w:r>
      <w:r>
        <w:rPr>
          <w:rFonts w:ascii="Times New Roman;Times;serif" w:hAnsi="Times New Roman;Times;serif"/>
          <w:sz w:val="15"/>
        </w:rPr>
        <w:t>th</w:t>
      </w:r>
      <w:r>
        <w:rPr>
          <w:rFonts w:ascii="Times New Roman;Times;serif" w:hAnsi="Times New Roman;Times;serif"/>
          <w:sz w:val="20"/>
        </w:rPr>
        <w:t xml:space="preserve"> LLC provides for a monthly rent payment of $5,000 with an aggregate of $180,000 during the initial term of the leases. The Colorado Real Estate Holdings LLC lease provides for a monthly rent payment of $6,779 with an aggregate of $244,044 during the initial term of the lease. The 14655 Arapahoe LLC lease provides for a monthly rent payment of $12,367 with an aggregate of $445,212 during the initial term of the lease. The Montview Real Estate LLC lease provides for a monthly rent of $6,250 with an aggregate of $225,000 during the initial term of the lease. The Brighton Blvd LLC lease provides for a monthly rent payment of $7,250 with an aggregate of $261,000 during the initial term of the lease. For the year ended December 31, 2021, SBUD LLC made aggregate rental payments of $449,297 to such landlords. For the year ended December 31, 2022, SBUD LLC made aggregate rental payments of $571,752 to such landlords. In addition, SBUD LLC must pay each landlord’s expenses and disbursements incurred in connection with the ownership, operation, maintenance, repair and replacement of the premises. SBUD LLC has the option to renew each lease for two additional three-year terms with escalation. The Company has an option to purchase the premises at fair market value at any time during the lease term and also has a right of first refusal if the landlords desire to sell the premises to a third party.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17, 2020, SBUD LLC entered into a Trademark License Agreement with Star Brands LLC under which Star Brands LLC licenses certain trademarks to SBUD LLC effective as of the closing of the acquisitions of all of the Star Buds assets. SBUD LLC has no payment obligation under this agreement. Mr. Ruden and Mr. Joudeh are a part-owners of Star Brands LLC.</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Star Buds Acquisitions, the Company granted Mr. Ruden and Naser Joudeh the right to designate two or three individuals for election or appointment to the Board, depending on the size of the Board at a given time.</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On May 4, 2022, and June 14, 2022, the Company issued 20,232 shares of Common Stock and 22,728 shares of Common Stock, valued at $35,001 and $35,001, respectively, to Mr. Ruden as compensation for service on the Board.</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 xml:space="preserve">On June 14, 2022 and June 24, 2022, the Company issued 14,584 shares of Common Stock and 15,586 shares of Common Stock, respectively, to Mr. Wahdan as compensation for service on the Board. These shares were valued at $42,887 for June 2022.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F-32</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i w:val="false"/>
          <w:caps w:val="false"/>
          <w:smallCaps w:val="false"/>
          <w:sz w:val="20"/>
        </w:rPr>
        <w:t>17.</w:t>
      </w:r>
      <w:r>
        <w:rPr>
          <w:rFonts w:ascii="Times New Roman;Times;serif" w:hAnsi="Times New Roman;Times;serif"/>
          <w:b/>
          <w:sz w:val="20"/>
        </w:rPr>
        <w:t>Commitments and Contingencies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Definitive Agreement to Acquire the Colorado-Based Brow 2, LLC</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August 20, 2021, the Company entered into the Brow Purchase Agreement, and the Company acquired substantially all of the operating assets of Brow 2 LLC on February 15, 2022. The aggregate consideration was $6.7 million, of which Double Brow paid $6.2 million at closing and held back $500,000 as collateral for potential claims for indemnification under the Brow Purchase Agreement.</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Definitive Agreement to Acquire the Colorado-Based MCG, LLC</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November 15, 2021, the Company entered into the MCG Merger Agreement, and the Company acquired MCG on February 9, 2022. The aggregate closing consideration for the merger was $29 million, consisting of: (i) $16,008,000 in cash; (ii) 6,547,239 shares of Common Stock issued to the members of MCG at a price of $1.63 per share; and (iii) an aggregate of $2,320,000 was held back as collateral for potential claims for indemnification under the MCG Merger Agreement as follows: (y) $1,392,000 in cash and (z) 569,325 shares of Common Stock. The escrowed portion of the purchase price will be released 50% on February 9, 2023 (with such amount being paid from the escrowed cash first) and 50% on August 9, 2023. MCG operates two retail marijuana dispensaries located in Manitou Springs, Colorado and Glendale, Colorado.</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Definitive Agreement to Acquire the New Mexico-Based Reynold Greenleaf &amp; Associates, LLC</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November 29, 2021, the Company entered into the Nuevo Purchase Agreement, and the Company acquired the R. Greenleaf business on February 8, 2022. The aggregate closing consideration for the acquisitions was approximately (i) $32.2 million in cash, which included a $4.5 million cash earnout based on EBITDA of the acquired businesses for the calendar year 2021, and (ii) $17.0 million in the form of an unsecured promissory note issued by Nuevo Holding, LLC to RGA, the principal amount of which is payable on February 8, 2025 with interest payable monthly at an annual interest rate of 5%. </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Definitive Agreement to Acquire Colorado-Based Urban Health &amp; Wellness, Inc.</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March 11, 2022, the Company entered into the Urban Dispensary Purchase Agreement, and the Company acquired substantially all of the operating assets and personal goodwill of Urban Dispensary on May 31, 2022. The aggregate consideration was approximately (i) $1.3 million in cash and (ii) $1.9 million in the form of Common Stock, of which $288,000 of the stock consideration was held back by the Company as collateral for potential claims for indemnification under the Urban Dispensary Purchase Agreement.</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Definitive Agreement to Acquire Colorado-Based Lightshade Labs, LLC</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September 9, 2022, the Company entered into the Lightshade Purchase Agreements, and the Company acquired the operating assets related to the two Lightshade dispensaries pursuant to the Lightshade Purchase Agreements on December 15, 2022. The aggregate consideration paid was approximately $2.75 million, of which $300,000 has been deposited into escrow as collateral for potential claims for indemnification under the Lightshade Purchase Agreements.</w:t>
      </w:r>
    </w:p>
    <w:p>
      <w:pPr>
        <w:pStyle w:val="TextBody"/>
        <w:spacing w:before="0" w:after="0"/>
        <w:ind w:left="0" w:right="0" w:hanging="0"/>
        <w:rPr/>
      </w:pPr>
      <w:r>
        <w:rPr/>
        <w:t>​</w:t>
      </w:r>
    </w:p>
    <w:p>
      <w:pPr>
        <w:pStyle w:val="TextBody"/>
        <w:spacing w:before="0" w:after="240"/>
        <w:ind w:left="0" w:right="0" w:hanging="0"/>
        <w:jc w:val="both"/>
        <w:rPr/>
      </w:pPr>
      <w:r>
        <w:rPr/>
        <w:t>​</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18.</w:t>
      </w:r>
      <w:r>
        <w:rPr>
          <w:rFonts w:ascii="Times New Roman;Times;serif" w:hAnsi="Times New Roman;Times;serif"/>
          <w:b/>
          <w:sz w:val="20"/>
        </w:rPr>
        <w:t>Segment Information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three identifiable segments: (i) retail, (ii) wholesale and (iii) other. The retail segments represent our dispensaries which sell merchandise directly to customers via retail locations and e-commerce portals in Colorado and New Mexico. The wholesale segment represents our manufacturing, cultivation, and wholesale business which sells merchandise to customers via e-commerce portals, a retail location, and a manufacturing facility. The other segment derives its revenue from licensing and consulting agreements with cannabis related entities, in addition to fees from seminars and expense reimbursements included in other revenue on the Company’s financial statements. As of December 31, 2022, the Company ceased operations related to its consulting services.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F-33</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bookmarkStart w:id="1193" w:name="Tc_bjQQCOH4jEyLigWx3HMbDg_8_0"/>
      <w:bookmarkStart w:id="1194" w:name="Tc_ET2cKiQsu06Lsts1WUCWvg_7_0"/>
      <w:bookmarkStart w:id="1195" w:name="Tc_JRSOO2MH-Uqw0ZhESpLmvg_6_0"/>
      <w:bookmarkStart w:id="1196" w:name="Tc_L3zbhrfb5kCZXXYjF0qgQw_5_0"/>
      <w:bookmarkStart w:id="1197" w:name="Tc_cX5BZ4Eyo02PqRt_hfqlAQ_4_0"/>
      <w:bookmarkStart w:id="1198" w:name="Tc_0rV2GTh8lUWsWIxQNb9XvA_3_0"/>
      <w:bookmarkStart w:id="1199" w:name="Tc_6LXGrqIOakSHzXpBm-7t5Q_2_11"/>
      <w:bookmarkStart w:id="1200" w:name="Tc_mqytQ17G0E-7gnxil01yDA_2_8"/>
      <w:bookmarkStart w:id="1201" w:name="Tc_VzWpjP4uBUe1TSkLPgE1sw_2_5"/>
      <w:bookmarkStart w:id="1202" w:name="Tc_emqJOBb8Pk2c2yR1F7k5Fg_2_2"/>
      <w:bookmarkStart w:id="1203" w:name="Tc_BcgFwaz2A0WX-4FmWmxBoQ_2_0"/>
      <w:bookmarkStart w:id="1204" w:name="Tc_GmYd35mJcUyO6rpc56pb4Q_1_11"/>
      <w:bookmarkStart w:id="1205" w:name="Tc_GtR7o2qX00WVH6DbMX8E4A_1_8"/>
      <w:bookmarkStart w:id="1206" w:name="Tc_aNjxsLBeQE-YpoQN3tt0LA_1_5"/>
      <w:bookmarkStart w:id="1207" w:name="Tc_2OSqVuyYjk-_L-7yjyTpqQ_1_2"/>
      <w:bookmarkStart w:id="1208" w:name="Tc_7aB2ctaXDkay2JZr-NujTA_5_0"/>
      <w:bookmarkStart w:id="1209" w:name="Tc_XppcOCH3O0SBgouCEUph-Q_4_0"/>
      <w:bookmarkStart w:id="1210" w:name="Tc_0QzMeyRdsUOfIMwXTqeYkg_3_0"/>
      <w:bookmarkStart w:id="1211" w:name="Tc_2w_c_NCpBU2tN2bJoORGgA_2_11"/>
      <w:bookmarkStart w:id="1212" w:name="Tc_A4zEIx6thU6K30QjL0T7zQ_2_8"/>
      <w:bookmarkStart w:id="1213" w:name="Tc_23KVtBK28kqmQivGDfEhgg_2_5"/>
      <w:bookmarkStart w:id="1214" w:name="Tc_V3Gi_hPfNEixHJBSIqwmGA_2_2"/>
      <w:bookmarkStart w:id="1215" w:name="Tc_pg7aPhicskGs_eJfm_qboA_2_0"/>
      <w:bookmarkStart w:id="1216" w:name="Tc_NSgj5IYb8U2c4kmu1ziGog_1_11"/>
      <w:bookmarkStart w:id="1217" w:name="Tc_ffmsmRZh0k2US4UwjIkucQ_1_8"/>
      <w:bookmarkStart w:id="1218" w:name="Tc_lIbsUhqPEkeDdQozimYLHg_1_5"/>
      <w:bookmarkStart w:id="1219" w:name="Tc_DP4KQHy4wU21fD6wQEc1pA_1_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r>
        <w:rPr>
          <w:rFonts w:ascii="Times New Roman;Times;serif" w:hAnsi="Times New Roman;Times;serif"/>
          <w:sz w:val="20"/>
        </w:rPr>
        <w:t>The following information represents segment activity for the periods ended December 31, 2022:</w:t>
      </w:r>
    </w:p>
    <w:p>
      <w:pPr>
        <w:pStyle w:val="TextBody"/>
        <w:spacing w:before="0" w:after="240"/>
        <w:ind w:left="0" w:right="0" w:hanging="0"/>
        <w:jc w:val="both"/>
        <w:rPr>
          <w:color w:val="FF0000"/>
        </w:rPr>
      </w:pPr>
      <w:r>
        <w:rPr>
          <w:color w:val="FF0000"/>
        </w:rPr>
        <w:t>​</w:t>
      </w:r>
    </w:p>
    <w:tbl>
      <w:tblPr>
        <w:tblW w:w="10205" w:type="dxa"/>
        <w:jc w:val="left"/>
        <w:tblInd w:w="0" w:type="dxa"/>
        <w:tblCellMar>
          <w:top w:w="0" w:type="dxa"/>
          <w:left w:w="0" w:type="dxa"/>
          <w:bottom w:w="0" w:type="dxa"/>
          <w:right w:w="0" w:type="dxa"/>
        </w:tblCellMar>
      </w:tblPr>
      <w:tblGrid>
        <w:gridCol w:w="3593"/>
        <w:gridCol w:w="326"/>
        <w:gridCol w:w="211"/>
        <w:gridCol w:w="1141"/>
        <w:gridCol w:w="109"/>
        <w:gridCol w:w="211"/>
        <w:gridCol w:w="1146"/>
        <w:gridCol w:w="326"/>
        <w:gridCol w:w="211"/>
        <w:gridCol w:w="1146"/>
        <w:gridCol w:w="326"/>
        <w:gridCol w:w="211"/>
        <w:gridCol w:w="1248"/>
      </w:tblGrid>
      <w:tr>
        <w:trPr/>
        <w:tc>
          <w:tcPr>
            <w:tcW w:w="35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281555" cy="175260"/>
                      <wp:effectExtent l="0" t="0" r="0" b="0"/>
                      <wp:wrapNone/>
                      <wp:docPr id="237" name="Frame237"/>
                      <a:graphic xmlns:a="http://schemas.openxmlformats.org/drawingml/2006/main">
                        <a:graphicData uri="http://schemas.microsoft.com/office/word/2010/wordprocessingShape">
                          <wps:wsp>
                            <wps:cNvSpPr txBox="1"/>
                            <wps:spPr>
                              <a:xfrm>
                                <a:off x="0" y="0"/>
                                <a:ext cx="22815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07010" cy="175260"/>
                      <wp:effectExtent l="0" t="0" r="0" b="0"/>
                      <wp:wrapNone/>
                      <wp:docPr id="238" name="Frame23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33985" cy="175260"/>
                      <wp:effectExtent l="0" t="0" r="0" b="0"/>
                      <wp:wrapNone/>
                      <wp:docPr id="239" name="Frame23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724535" cy="175260"/>
                      <wp:effectExtent l="0" t="0" r="0" b="0"/>
                      <wp:wrapNone/>
                      <wp:docPr id="240" name="Frame240"/>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9215" cy="175260"/>
                      <wp:effectExtent l="0" t="0" r="0" b="0"/>
                      <wp:wrapNone/>
                      <wp:docPr id="241" name="Frame24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33985" cy="175260"/>
                      <wp:effectExtent l="0" t="0" r="0" b="0"/>
                      <wp:wrapNone/>
                      <wp:docPr id="242" name="Frame24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727710" cy="175260"/>
                      <wp:effectExtent l="0" t="0" r="0" b="0"/>
                      <wp:wrapNone/>
                      <wp:docPr id="243" name="Frame243"/>
                      <a:graphic xmlns:a="http://schemas.openxmlformats.org/drawingml/2006/main">
                        <a:graphicData uri="http://schemas.microsoft.com/office/word/2010/wordprocessingShape">
                          <wps:wsp>
                            <wps:cNvSpPr txBox="1"/>
                            <wps:spPr>
                              <a:xfrm>
                                <a:off x="0" y="0"/>
                                <a:ext cx="727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07010" cy="175260"/>
                      <wp:effectExtent l="0" t="0" r="0" b="0"/>
                      <wp:wrapNone/>
                      <wp:docPr id="244" name="Frame24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33985" cy="175260"/>
                      <wp:effectExtent l="0" t="0" r="0" b="0"/>
                      <wp:wrapNone/>
                      <wp:docPr id="245" name="Frame24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727710" cy="175260"/>
                      <wp:effectExtent l="0" t="0" r="0" b="0"/>
                      <wp:wrapNone/>
                      <wp:docPr id="246" name="Frame246"/>
                      <a:graphic xmlns:a="http://schemas.openxmlformats.org/drawingml/2006/main">
                        <a:graphicData uri="http://schemas.microsoft.com/office/word/2010/wordprocessingShape">
                          <wps:wsp>
                            <wps:cNvSpPr txBox="1"/>
                            <wps:spPr>
                              <a:xfrm>
                                <a:off x="0" y="0"/>
                                <a:ext cx="727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07010" cy="175260"/>
                      <wp:effectExtent l="0" t="0" r="0" b="0"/>
                      <wp:wrapNone/>
                      <wp:docPr id="247" name="Frame24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33985" cy="175260"/>
                      <wp:effectExtent l="0" t="0" r="0" b="0"/>
                      <wp:wrapNone/>
                      <wp:docPr id="248" name="Frame24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4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792480" cy="175260"/>
                      <wp:effectExtent l="0" t="0" r="0" b="0"/>
                      <wp:wrapNone/>
                      <wp:docPr id="249" name="Frame249"/>
                      <a:graphic xmlns:a="http://schemas.openxmlformats.org/drawingml/2006/main">
                        <a:graphicData uri="http://schemas.microsoft.com/office/word/2010/wordprocessingShape">
                          <wps:wsp>
                            <wps:cNvSpPr txBox="1"/>
                            <wps:spPr>
                              <a:xfrm>
                                <a:off x="0" y="0"/>
                                <a:ext cx="7924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593"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35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109" w:type="dxa"/>
            <w:tcBorders/>
            <w:shd w:fill="auto" w:val="clear"/>
            <w:vAlign w:val="center"/>
          </w:tcPr>
          <w:p>
            <w:pPr>
              <w:pStyle w:val="TableContents"/>
              <w:spacing w:before="0" w:after="1"/>
              <w:ind w:left="0" w:right="0" w:hanging="0"/>
              <w:rPr/>
            </w:pPr>
            <w:r>
              <w:rPr/>
              <w:t>​</w:t>
            </w:r>
          </w:p>
        </w:tc>
        <w:tc>
          <w:tcPr>
            <w:tcW w:w="135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Wholesale</w:t>
            </w:r>
          </w:p>
        </w:tc>
        <w:tc>
          <w:tcPr>
            <w:tcW w:w="326" w:type="dxa"/>
            <w:tcBorders/>
            <w:shd w:fill="auto" w:val="clear"/>
            <w:vAlign w:val="center"/>
          </w:tcPr>
          <w:p>
            <w:pPr>
              <w:pStyle w:val="TableContents"/>
              <w:spacing w:before="0" w:after="1"/>
              <w:ind w:left="0" w:right="0" w:hanging="0"/>
              <w:rPr/>
            </w:pPr>
            <w:r>
              <w:rPr/>
              <w:t>    </w:t>
            </w:r>
          </w:p>
        </w:tc>
        <w:tc>
          <w:tcPr>
            <w:tcW w:w="135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shd w:fill="auto" w:val="clear"/>
            <w:vAlign w:val="center"/>
          </w:tcPr>
          <w:p>
            <w:pPr>
              <w:pStyle w:val="TableContents"/>
              <w:spacing w:before="0" w:after="1"/>
              <w:ind w:left="0" w:right="0" w:hanging="0"/>
              <w:rPr/>
            </w:pPr>
            <w:r>
              <w:rPr/>
              <w:t>    </w:t>
            </w:r>
          </w:p>
        </w:tc>
        <w:tc>
          <w:tcPr>
            <w:tcW w:w="1459"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59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External revenues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141,254,893</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17,819,938</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304,388</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24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159,379,219</w:t>
            </w:r>
          </w:p>
        </w:tc>
      </w:tr>
      <w:tr>
        <w:trPr/>
        <w:tc>
          <w:tcPr>
            <w:tcW w:w="3593"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Depreciation and intangible assets amortization </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8,402,857</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1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2,190,072</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1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956,187</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24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11,549,116</w:t>
            </w:r>
          </w:p>
        </w:tc>
      </w:tr>
      <w:tr>
        <w:trPr/>
        <w:tc>
          <w:tcPr>
            <w:tcW w:w="359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Segment pre tax profit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54,266,802</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1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(12,664,774)</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1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(45,171,579)</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24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(3,569,551)</w:t>
            </w:r>
          </w:p>
        </w:tc>
      </w:tr>
      <w:tr>
        <w:trPr/>
        <w:tc>
          <w:tcPr>
            <w:tcW w:w="3593"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Segment assets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193,068,447</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1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70,400,502</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1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59,413,784</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248" w:type="dxa"/>
            <w:tcBorders/>
            <w:shd w:fill="auto" w:val="cle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322,882,733</w:t>
            </w:r>
          </w:p>
        </w:tc>
      </w:tr>
    </w:tbl>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Goodwill assigned to the Retail, Wholesale and Other segments as of December 31, 2022 totaled $52,583,794, $7,039,936, $34,981,571, respectively. As of December 31, 2022, the acquisition valuations resulting in goodwill that may have fallen under the Retail segment had not been finalized and therefore were allocated to Other until final valuation is completed.</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information represents segment activity for the periods ended December 31, 2021:</w:t>
      </w:r>
    </w:p>
    <w:p>
      <w:pPr>
        <w:pStyle w:val="TextBody"/>
        <w:spacing w:before="0" w:after="240"/>
        <w:ind w:left="0" w:right="0" w:hanging="0"/>
        <w:jc w:val="both"/>
        <w:rPr/>
      </w:pPr>
      <w:r>
        <w:rPr/>
        <w:t>​</w:t>
      </w:r>
    </w:p>
    <w:p>
      <w:pPr>
        <w:pStyle w:val="TextBody"/>
        <w:spacing w:before="0" w:after="0"/>
        <w:ind w:left="0" w:right="0" w:hanging="0"/>
        <w:rPr/>
      </w:pPr>
      <w:r>
        <w:rPr/>
        <w:t>​</w:t>
      </w:r>
    </w:p>
    <w:tbl>
      <w:tblPr>
        <w:tblW w:w="9413" w:type="dxa"/>
        <w:jc w:val="left"/>
        <w:tblInd w:w="0" w:type="dxa"/>
        <w:tblCellMar>
          <w:top w:w="0" w:type="dxa"/>
          <w:left w:w="0" w:type="dxa"/>
          <w:bottom w:w="0" w:type="dxa"/>
          <w:right w:w="0" w:type="dxa"/>
        </w:tblCellMar>
      </w:tblPr>
      <w:tblGrid>
        <w:gridCol w:w="2551"/>
        <w:gridCol w:w="326"/>
        <w:gridCol w:w="211"/>
        <w:gridCol w:w="1156"/>
        <w:gridCol w:w="326"/>
        <w:gridCol w:w="211"/>
        <w:gridCol w:w="1156"/>
        <w:gridCol w:w="326"/>
        <w:gridCol w:w="211"/>
        <w:gridCol w:w="1156"/>
        <w:gridCol w:w="326"/>
        <w:gridCol w:w="211"/>
        <w:gridCol w:w="1246"/>
      </w:tblGrid>
      <w:tr>
        <w:trPr/>
        <w:tc>
          <w:tcPr>
            <w:tcW w:w="25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619885" cy="175260"/>
                      <wp:effectExtent l="0" t="0" r="0" b="0"/>
                      <wp:wrapNone/>
                      <wp:docPr id="250" name="Frame250"/>
                      <a:graphic xmlns:a="http://schemas.openxmlformats.org/drawingml/2006/main">
                        <a:graphicData uri="http://schemas.microsoft.com/office/word/2010/wordprocessingShape">
                          <wps:wsp>
                            <wps:cNvSpPr txBox="1"/>
                            <wps:spPr>
                              <a:xfrm>
                                <a:off x="0" y="0"/>
                                <a:ext cx="16198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07010" cy="175260"/>
                      <wp:effectExtent l="0" t="0" r="0" b="0"/>
                      <wp:wrapNone/>
                      <wp:docPr id="251" name="Frame25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33985" cy="175260"/>
                      <wp:effectExtent l="0" t="0" r="0" b="0"/>
                      <wp:wrapNone/>
                      <wp:docPr id="252" name="Frame25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734060" cy="175260"/>
                      <wp:effectExtent l="0" t="0" r="0" b="0"/>
                      <wp:wrapNone/>
                      <wp:docPr id="253" name="Frame253"/>
                      <a:graphic xmlns:a="http://schemas.openxmlformats.org/drawingml/2006/main">
                        <a:graphicData uri="http://schemas.microsoft.com/office/word/2010/wordprocessingShape">
                          <wps:wsp>
                            <wps:cNvSpPr txBox="1"/>
                            <wps:spPr>
                              <a:xfrm>
                                <a:off x="0" y="0"/>
                                <a:ext cx="7340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07010" cy="175260"/>
                      <wp:effectExtent l="0" t="0" r="0" b="0"/>
                      <wp:wrapNone/>
                      <wp:docPr id="254" name="Frame25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33985" cy="175260"/>
                      <wp:effectExtent l="0" t="0" r="0" b="0"/>
                      <wp:wrapNone/>
                      <wp:docPr id="255" name="Frame25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734060" cy="175260"/>
                      <wp:effectExtent l="0" t="0" r="0" b="0"/>
                      <wp:wrapNone/>
                      <wp:docPr id="256" name="Frame256"/>
                      <a:graphic xmlns:a="http://schemas.openxmlformats.org/drawingml/2006/main">
                        <a:graphicData uri="http://schemas.microsoft.com/office/word/2010/wordprocessingShape">
                          <wps:wsp>
                            <wps:cNvSpPr txBox="1"/>
                            <wps:spPr>
                              <a:xfrm>
                                <a:off x="0" y="0"/>
                                <a:ext cx="7340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07010" cy="175260"/>
                      <wp:effectExtent l="0" t="0" r="0" b="0"/>
                      <wp:wrapNone/>
                      <wp:docPr id="257" name="Frame25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33985" cy="175260"/>
                      <wp:effectExtent l="0" t="0" r="0" b="0"/>
                      <wp:wrapNone/>
                      <wp:docPr id="258" name="Frame25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734060" cy="175260"/>
                      <wp:effectExtent l="0" t="0" r="0" b="0"/>
                      <wp:wrapNone/>
                      <wp:docPr id="259" name="Frame259"/>
                      <a:graphic xmlns:a="http://schemas.openxmlformats.org/drawingml/2006/main">
                        <a:graphicData uri="http://schemas.microsoft.com/office/word/2010/wordprocessingShape">
                          <wps:wsp>
                            <wps:cNvSpPr txBox="1"/>
                            <wps:spPr>
                              <a:xfrm>
                                <a:off x="0" y="0"/>
                                <a:ext cx="7340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07010" cy="175260"/>
                      <wp:effectExtent l="0" t="0" r="0" b="0"/>
                      <wp:wrapNone/>
                      <wp:docPr id="260" name="Frame26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33985" cy="175260"/>
                      <wp:effectExtent l="0" t="0" r="0" b="0"/>
                      <wp:wrapNone/>
                      <wp:docPr id="261" name="Frame26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791210" cy="175260"/>
                      <wp:effectExtent l="0" t="0" r="0" b="0"/>
                      <wp:wrapNone/>
                      <wp:docPr id="262" name="Frame262"/>
                      <a:graphic xmlns:a="http://schemas.openxmlformats.org/drawingml/2006/main">
                        <a:graphicData uri="http://schemas.microsoft.com/office/word/2010/wordprocessingShape">
                          <wps:wsp>
                            <wps:cNvSpPr txBox="1"/>
                            <wps:spPr>
                              <a:xfrm>
                                <a:off x="0" y="0"/>
                                <a:ext cx="7912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5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36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Retail </w:t>
            </w:r>
          </w:p>
        </w:tc>
        <w:tc>
          <w:tcPr>
            <w:tcW w:w="326" w:type="dxa"/>
            <w:tcBorders/>
            <w:shd w:fill="auto" w:val="clear"/>
            <w:vAlign w:val="center"/>
          </w:tcPr>
          <w:p>
            <w:pPr>
              <w:pStyle w:val="TableContents"/>
              <w:spacing w:before="0" w:after="1"/>
              <w:ind w:left="0" w:right="0" w:hanging="0"/>
              <w:rPr/>
            </w:pPr>
            <w:r>
              <w:rPr/>
              <w:t>    </w:t>
            </w:r>
          </w:p>
        </w:tc>
        <w:tc>
          <w:tcPr>
            <w:tcW w:w="136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Wholesale</w:t>
            </w:r>
          </w:p>
        </w:tc>
        <w:tc>
          <w:tcPr>
            <w:tcW w:w="326" w:type="dxa"/>
            <w:tcBorders/>
            <w:shd w:fill="auto" w:val="clear"/>
            <w:vAlign w:val="center"/>
          </w:tcPr>
          <w:p>
            <w:pPr>
              <w:pStyle w:val="TableContents"/>
              <w:spacing w:before="0" w:after="1"/>
              <w:ind w:left="0" w:right="0" w:hanging="0"/>
              <w:rPr/>
            </w:pPr>
            <w:r>
              <w:rPr/>
              <w:t>    </w:t>
            </w:r>
          </w:p>
        </w:tc>
        <w:tc>
          <w:tcPr>
            <w:tcW w:w="136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shd w:fill="auto" w:val="clear"/>
            <w:vAlign w:val="center"/>
          </w:tcPr>
          <w:p>
            <w:pPr>
              <w:pStyle w:val="TableContents"/>
              <w:spacing w:before="0" w:after="1"/>
              <w:ind w:left="0" w:right="0" w:hanging="0"/>
              <w:rPr/>
            </w:pPr>
            <w:r>
              <w:rPr/>
              <w:t>    </w:t>
            </w:r>
          </w:p>
        </w:tc>
        <w:tc>
          <w:tcPr>
            <w:tcW w:w="145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5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External Revenues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73,761,010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34,434,091</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225,138</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2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108,420,239</w:t>
            </w:r>
          </w:p>
        </w:tc>
      </w:tr>
      <w:tr>
        <w:trPr/>
        <w:tc>
          <w:tcPr>
            <w:tcW w:w="25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Cost of goods and services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1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(34,969,178)</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1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(23,817,145)</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1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(280,222)</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2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(59,066,545)</w:t>
            </w:r>
          </w:p>
        </w:tc>
      </w:tr>
      <w:tr>
        <w:trPr/>
        <w:tc>
          <w:tcPr>
            <w:tcW w:w="25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1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38,754,476</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1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10,654,302</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1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(55,084)</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2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49,353,694</w:t>
            </w:r>
          </w:p>
        </w:tc>
      </w:tr>
      <w:tr>
        <w:trPr/>
        <w:tc>
          <w:tcPr>
            <w:tcW w:w="25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Intangible assets amortization</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1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6,876,325</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1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575,384</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1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585</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2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7,452,294</w:t>
            </w:r>
          </w:p>
        </w:tc>
      </w:tr>
      <w:tr>
        <w:trPr/>
        <w:tc>
          <w:tcPr>
            <w:tcW w:w="25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Depreciation</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1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163,217</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1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323,862</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1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637,492</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2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1,124,571</w:t>
            </w:r>
          </w:p>
        </w:tc>
      </w:tr>
      <w:tr>
        <w:trPr/>
        <w:tc>
          <w:tcPr>
            <w:tcW w:w="25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Segment profit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1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22,568,259</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1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8,906,535</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1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(16,955,664)</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2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14,519,130</w:t>
            </w:r>
          </w:p>
        </w:tc>
      </w:tr>
      <w:tr>
        <w:trPr/>
        <w:tc>
          <w:tcPr>
            <w:tcW w:w="25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Segment assets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1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129,715,949</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1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48,218,292</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1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107,096,552</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246" w:type="dxa"/>
            <w:tcBorders/>
            <w:shd w:fill="CCEEFF" w:val="cle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285,030,793</w:t>
            </w:r>
          </w:p>
        </w:tc>
      </w:tr>
    </w:tbl>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Goodwill assigned to the Retail, Wholesale and Other segments as of December 31, 2021 totaled $26,349,025, $13,964,016, $3,003,226, respectively.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Segment assets from Other are mainly related to cash from the Investor Notes. </w:t>
      </w:r>
    </w:p>
    <w:p>
      <w:pPr>
        <w:pStyle w:val="TextBody"/>
        <w:spacing w:before="0" w:after="240"/>
        <w:ind w:left="0" w:right="0" w:hanging="0"/>
        <w:jc w:val="both"/>
        <w:rPr/>
      </w:pPr>
      <w:r>
        <w:rPr/>
        <w:t>​</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19.</w:t>
      </w:r>
      <w:r>
        <w:rPr>
          <w:rFonts w:ascii="Times New Roman;Times;serif" w:hAnsi="Times New Roman;Times;serif"/>
          <w:b/>
          <w:sz w:val="20"/>
        </w:rPr>
        <w:t>Subsequent events</w:t>
      </w:r>
    </w:p>
    <w:p>
      <w:pPr>
        <w:pStyle w:val="TextBody"/>
        <w:pBdr/>
        <w:spacing w:before="0" w:after="0"/>
        <w:ind w:left="0" w:right="0" w:hanging="0"/>
        <w:jc w:val="both"/>
        <w:rPr>
          <w:rFonts w:ascii="Times New Roman;Times;serif" w:hAnsi="Times New Roman;Times;serif"/>
          <w:sz w:val="20"/>
        </w:rPr>
      </w:pPr>
      <w:r>
        <w:rPr>
          <w:rFonts w:ascii="Times New Roman;Times;serif" w:hAnsi="Times New Roman;Times;serif"/>
          <w:sz w:val="20"/>
        </w:rPr>
        <w:t>In accordance with FASB ASC 855-10, Subsequent Events, the Company has analyzed its operations subsequent to December 31, 2022 to the date these consolidated financial statements were issued, and has determined that it does not have any material subsequent events to disclose in these consolidated financial statements, except as follows:</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On January 25, 2023, the Company entered into an Asset Purchase Agreement (the “Smokey’s Purchase Agreement”) with Smoke Holdco, LLC, a wholly-owned subsidiary of the Company (the “Smokey’s Purchaser”), Cannabis Care Wellness Centers, LLC d/b/a Smokey’s (“Cannabis Care”), Green Medicals Wellness Center #5, LLC d/b/a Smokey’s (“Green Medicals” and together with Cannabis Care, “Smokey’s”), Thomas Jerome Wilczynski, as Representative, and the owners of Smokey’s, Jeremy Ryan Lewchuk, T&amp;B Holdings LLC, and Thomas Jerome Wilczynski, pursuant to which the Smokey’s Purchaser will purchase two retail and medical marijuana stores located in Fort Collins, Colorado and Garden City, Colorado, on the terms and subject to the conditions set forth in the Smokey’s Purchase Agreement (collectively, the “Smokey’s Acquisition”).</w:t>
      </w:r>
    </w:p>
    <w:p>
      <w:pPr>
        <w:pStyle w:val="TextBody"/>
        <w:shd w:fill="FFFFFF" w:val="clear"/>
        <w:spacing w:before="0" w:after="0"/>
        <w:ind w:left="0" w:right="0" w:hanging="0"/>
        <w:jc w:val="both"/>
        <w:rPr/>
      </w:pPr>
      <w:r>
        <w:rPr/>
        <w:t> </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aggregate consideration for the Smokey’s Acquisition will be up to $7.5 million, payable in cash and shares of common stock. At the closing, the Company will pay the purchase price (i) in cash in the amount of $3.75 million and (ii) in shares of the Company’s common stock in the amount of $3,150,000 divided by the price per share of the Company’s common stock as of market close on the first trading day immediately before the closing. At the closing, the Company will use a portion of the purchase price to pay off certain indebtedness and transaction expenses of Smokey’s and then pay the balance to Smokey’s. The Company will hold back from issuance additional shares of the Company’s common stock in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F-34</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the amount of $600,000 divided by the price per share of the Company’s common stock as of market close on the first trading day immediately before the closing and $150,000 of the cash portion of the purchase price as collateral for potential claims for indemnification from Smokey’s under the Smokey’s Purchase Agreement. Any portion of the holdback consideration not used to satisfy indemnification claims will be issued or released (as applicable) to the owners of Smokey’s on the 18-month anniversary of the closing date of the Smokey’s Acquisition in accordance with the Smokey’s Purchase Agreement. The cash holdback is also subject to post-closing reduction if any of the actual marijuana inventory or cash at closing is less than certain targets stated in the Smokey’s Purchase Agreement.</w:t>
      </w:r>
    </w:p>
    <w:p>
      <w:pPr>
        <w:pStyle w:val="TextBody"/>
        <w:shd w:fill="FFFFFF" w:val="clear"/>
        <w:spacing w:before="0" w:after="0"/>
        <w:ind w:left="0" w:right="0" w:hanging="0"/>
        <w:jc w:val="both"/>
        <w:rPr/>
      </w:pPr>
      <w:r>
        <w:rPr/>
        <w:t>   </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The Smokey’s Purchase Agreement contains customary representations and warranties, covenants and indemnification provisions for a transaction of this nature, including, without limitation, covenants regarding the operation of Smokey’s’ business before the closing of the Smokey’s Acquisition, and confidentiality, non-compete and non-solicitation undertakings by Smokey’s and the owners of Smokey’s. The Smokey’s Purchase Agreement also contains certain termination rights for each of the Smokey’s Purchaser (on its own behalf and on behalf of the Company) and Smokey’s (on its own behalf and on behalf of the owners), subject to the conditions set forth in the Smokey’s Purchase Agreement, including, without limitation, if the closing has not occurred within 120 days of submission of the state regulatory application required pursuant to the Smokey’s Purchase Agreement.</w:t>
      </w:r>
    </w:p>
    <w:p>
      <w:pPr>
        <w:pStyle w:val="TextBody"/>
        <w:shd w:fill="FFFFFF" w:val="clear"/>
        <w:spacing w:before="0" w:after="0"/>
        <w:ind w:left="0" w:right="0" w:hanging="0"/>
        <w:jc w:val="both"/>
        <w:rPr/>
      </w:pPr>
      <w:r>
        <w:rPr/>
        <w:t> </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The closing of the Smokey’s Acquisition is subject to closing conditions customary for a transaction of this nature, including, without limitation, obtaining licensing approval from the Colorado Marijuana Enforcement Division and local regulatory authorities.</w:t>
      </w:r>
    </w:p>
    <w:p>
      <w:pPr>
        <w:pStyle w:val="TextBody"/>
        <w:shd w:fill="FFFFFF" w:val="clear"/>
        <w:spacing w:before="0" w:after="0"/>
        <w:ind w:left="0" w:right="0" w:hanging="0"/>
        <w:jc w:val="both"/>
        <w:rPr/>
      </w:pPr>
      <w:r>
        <w:rPr/>
        <w:t> </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The issuances of the shares of the Company’s common stock at the closing of the Smokey’s Acquisition and the holdback release date will be exempt from the registration requirements of the Securities Act of 1933, as amended (the “Securities Act”), pursuant to Section 4(a)(2) of the Securities Act. The Company will issue such shares in a privately negotiated transaction. The owners of Smokey’s are sophisticated and represented in writing that they are accredited investors and will acquire the securities for their own accounts for investment purposes. Further, the Smokey’s Purchase Agreement states that the shares in question have not been registered under the Securities Act and cannot be sold or otherwise transferred without registration or an exemption therefrom. A legend will be placed on any certificates representing such shares referencing the restricted nature of the shares.</w:t>
      </w:r>
    </w:p>
    <w:p>
      <w:pPr>
        <w:pStyle w:val="TextBody"/>
        <w:spacing w:before="0" w:after="0"/>
        <w:ind w:left="0" w:right="0" w:hanging="0"/>
        <w:rPr/>
      </w:pPr>
      <w:r>
        <w:rPr/>
        <w:t>​</w:t>
      </w:r>
    </w:p>
    <w:p>
      <w:pPr>
        <w:pStyle w:val="TextBody"/>
        <w:spacing w:before="0" w:after="240"/>
        <w:ind w:left="0" w:right="0" w:hanging="0"/>
        <w:jc w:val="both"/>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F-35</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1220" w:name="ITEM9CHANGESINANDDISAGREEMENTSWITHACCOUN"/>
      <w:bookmarkStart w:id="1221" w:name="_7eb69ef0_b90e_4c53_a901_73d55ef074e8"/>
      <w:bookmarkEnd w:id="1220"/>
      <w:bookmarkEnd w:id="1221"/>
      <w:r>
        <w:rPr>
          <w:rFonts w:ascii="Times New Roman;Times;serif" w:hAnsi="Times New Roman;Times;serif"/>
          <w:b/>
          <w:i w:val="false"/>
          <w:caps w:val="false"/>
          <w:smallCaps w:val="false"/>
          <w:sz w:val="20"/>
        </w:rPr>
        <w:t>ITEM 9.</w:t>
      </w:r>
      <w:r>
        <w:rPr>
          <w:rFonts w:ascii="Times New Roman;Times;serif" w:hAnsi="Times New Roman;Times;serif"/>
          <w:b/>
          <w:sz w:val="20"/>
        </w:rPr>
        <w:t xml:space="preserve">CHANGES IN AND DISAGREEMENTS WITH ACCOUNTANTS ON ACCOUNTING AND FINANCIAL DISCLOSURE.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spacing w:before="0" w:after="240"/>
        <w:ind w:left="0" w:right="0" w:hanging="0"/>
        <w:rPr>
          <w:rFonts w:ascii="Times New Roman;Times;serif" w:hAnsi="Times New Roman;Times;serif"/>
          <w:b/>
          <w:sz w:val="20"/>
        </w:rPr>
      </w:pPr>
      <w:bookmarkStart w:id="1222" w:name="ITEM9ACONTROLSANDPROCEDURES_639402"/>
      <w:bookmarkStart w:id="1223" w:name="_a8ca2ece_a176_478f_b04e_f4c0091b6f6f"/>
      <w:bookmarkEnd w:id="1222"/>
      <w:bookmarkEnd w:id="1223"/>
      <w:r>
        <w:rPr>
          <w:rFonts w:ascii="Times New Roman;Times;serif" w:hAnsi="Times New Roman;Times;serif"/>
          <w:b/>
          <w:i w:val="false"/>
          <w:caps w:val="false"/>
          <w:smallCaps w:val="false"/>
          <w:sz w:val="20"/>
        </w:rPr>
        <w:t>ITEM 9A.</w:t>
      </w:r>
      <w:r>
        <w:rPr>
          <w:rFonts w:ascii="Times New Roman;Times;serif" w:hAnsi="Times New Roman;Times;serif"/>
          <w:b/>
          <w:sz w:val="20"/>
        </w:rPr>
        <w:t xml:space="preserve">CONTROLS AND PROCEDURES. </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DISCLOSURE CONTROLS AND PROCEDURES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i/>
          <w:sz w:val="20"/>
        </w:rPr>
        <w:t>Disclosure Controls and Procedures</w:t>
      </w:r>
      <w:r>
        <w:rPr>
          <w:rFonts w:ascii="Times New Roman;Times;serif" w:hAnsi="Times New Roman;Times;serif"/>
          <w:sz w:val="20"/>
        </w:rPr>
        <w:t> – Management, with the participation of our Chief Executive Officer and Chief Financial Officer, has evaluated the effectiveness of our disclosure controls and procedures (as such term is defined in Rules 13a-15(e) and 15d-15(e) under the Exchange Act) as of the end of the period covered by this Report.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These controls are designed to ensure that information required to be disclosed in the reports we file or submit pursuant to the Exchange Act is recorded, processed, summarized and reported within the time periods specified in the rules and forms of the SEC, and that such information is accumulated and communicated to our management, including our Chief Executive Officer and Chief Financial Officer, to allow timely decisions regarding required disclosure.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Based on this evaluation, our Chief Executive Officer and Chief Financial Officer have concluded that our disclosure controls and procedures were effective as of December 31, 2022, at the reasonable assurance level.</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i/>
          <w:sz w:val="20"/>
        </w:rPr>
        <w:t>Inherent Limitations</w:t>
      </w:r>
      <w:r>
        <w:rPr>
          <w:rFonts w:ascii="Times New Roman;Times;serif" w:hAnsi="Times New Roman;Times;serif"/>
          <w:sz w:val="20"/>
        </w:rPr>
        <w:t> – Management, including our Chief Financial Officer and Chief Executive Officer, does not expect that our disclosure controls and procedures will prevent all error and all fraud. A control system, no matter how well conceived and operated, can provide only reasonable, not absolute, assurance that the objectives of the control system are met. The design of any system of controls is based in part upon certain assumptions about the likelihood of future events, and there can be no assurance that any design will succeed in achieving its stated goals under all potential future conditions.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 can occur because of simple error or mistake. In particular, many of our current processes rely upon manual reviews and processes to ensure that neither human error nor system weakness has resulted in erroneous reporting of financial data.</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MANAGEMENT ANNUAL REPORT ON INTERNAL CONTROL OVER FINANCIAL REPORTING</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Management is responsible for establishing and maintaining adequate internal control over financial reporting as defined in Rule 13a-15(f) or 15d-15(f) promulgated under the Exchange Act. Those rules define internal control over financial reporting as a process designed to provide reasonable assurance regarding the reliability of financial reporting and the preparation of financial statements for external purposes in accordance with generally accepted accounting principles and includes those policies and procedures that: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Pertain to the maintenance of records that in reasonable detail accurately and fairly reflect the transactions and dispositions of the assets of the Company;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regarding prevention or timely detection of unauthorized acquisitions, use or disposition of the Company’s assets that could have a material effect on the financial statements.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Because of its inherent limitations, internal controls over financial reporting may not prevent or detect misstatements. Projections of any evaluation of effectiveness for future periods are subject to the risk that controls may become inadequate because of changes in conditions, or that the degree of compliance with the policies or procedures may deteriorate.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Management assessed the effectiveness of our internal control over financial reporting as of December 31, 2022. In making this assessment, management used the criteria established in Internal Control-Integrated Framework issued by the Committee of Sponsoring Organizations of the 2013 Treadway Commission (COSO).</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Based on this assessment, management concluded that, as of December 31, 2022, our internal control over financial reporting was effective.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There were no changes in our internal control over financial reporting during our fiscal fourth quarter ended December 31, 2022, which were identified in conjunction with management’s evaluation required by paragraph (d) of Rules 13a-15 and 15d-15 under the Exchange Act, that have materially affected, or are reasonably likely to materially affect, our internal control over financial reporting.</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internal control over financial reporting is not subject to attestation by our registered public accounting firm pursuant to SEC rules that permit us, as a non-accelerated filer, to provide only management’s report on internal control over financial reporting. Therefore, this Report does not include an attestation report of our registered public accounting firm regarding internal control over financial reporting.</w:t>
      </w:r>
    </w:p>
    <w:p>
      <w:pPr>
        <w:pStyle w:val="TextBody"/>
        <w:spacing w:before="0" w:after="240"/>
        <w:ind w:left="0" w:right="0" w:hanging="0"/>
        <w:jc w:val="both"/>
        <w:rPr/>
      </w:pPr>
      <w:r>
        <w:rPr/>
        <w:t>​</w:t>
      </w:r>
    </w:p>
    <w:p>
      <w:pPr>
        <w:pStyle w:val="TextBody"/>
        <w:spacing w:before="0" w:after="240"/>
        <w:ind w:left="0" w:right="0" w:hanging="0"/>
        <w:rPr>
          <w:rFonts w:ascii="Times New Roman;Times;serif" w:hAnsi="Times New Roman;Times;serif"/>
          <w:b/>
          <w:sz w:val="20"/>
        </w:rPr>
      </w:pPr>
      <w:bookmarkStart w:id="1224" w:name="ITEM9BOTHERINFORMATION_421296"/>
      <w:bookmarkStart w:id="1225" w:name="_e1382e4a_d801_4c10_8432_208da953009b"/>
      <w:bookmarkEnd w:id="1224"/>
      <w:bookmarkEnd w:id="1225"/>
      <w:r>
        <w:rPr>
          <w:rFonts w:ascii="Times New Roman;Times;serif" w:hAnsi="Times New Roman;Times;serif"/>
          <w:b/>
          <w:i w:val="false"/>
          <w:caps w:val="false"/>
          <w:smallCaps w:val="false"/>
          <w:sz w:val="20"/>
        </w:rPr>
        <w:t>ITEM 9B.</w:t>
      </w:r>
      <w:r>
        <w:rPr>
          <w:rFonts w:ascii="Times New Roman;Times;serif" w:hAnsi="Times New Roman;Times;serif"/>
          <w:b/>
          <w:sz w:val="20"/>
        </w:rPr>
        <w:t>OTHER INFORMATION.</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spacing w:before="0" w:after="240"/>
        <w:ind w:left="0" w:right="0" w:hanging="0"/>
        <w:jc w:val="both"/>
        <w:rPr/>
      </w:pPr>
      <w:r>
        <w:rPr/>
        <w:t>​</w:t>
      </w:r>
    </w:p>
    <w:p>
      <w:pPr>
        <w:pStyle w:val="TextBody"/>
        <w:spacing w:before="0" w:after="240"/>
        <w:ind w:left="0" w:right="0" w:hanging="0"/>
        <w:rPr>
          <w:rFonts w:ascii="Times New Roman;Times;serif" w:hAnsi="Times New Roman;Times;serif"/>
          <w:b/>
          <w:sz w:val="20"/>
        </w:rPr>
      </w:pPr>
      <w:bookmarkStart w:id="1226" w:name="ITEM9CDISCLOSUREREGARDINGFOREIGNJURISDIC"/>
      <w:bookmarkStart w:id="1227" w:name="_5bec48e1_277d_4768_b63a_5379f7dd2bf0"/>
      <w:bookmarkEnd w:id="1226"/>
      <w:bookmarkEnd w:id="1227"/>
      <w:r>
        <w:rPr>
          <w:rFonts w:ascii="Times New Roman;Times;serif" w:hAnsi="Times New Roman;Times;serif"/>
          <w:b/>
          <w:i w:val="false"/>
          <w:caps w:val="false"/>
          <w:smallCaps w:val="false"/>
          <w:sz w:val="20"/>
        </w:rPr>
        <w:t>ITEM 9C.</w:t>
      </w:r>
      <w:r>
        <w:rPr>
          <w:rFonts w:ascii="Times New Roman;Times;serif" w:hAnsi="Times New Roman;Times;serif"/>
          <w:b/>
          <w:sz w:val="20"/>
        </w:rPr>
        <w:t>DISCLOSURE REGARDING FOREIGN JURISDICTIONS THAT PREVENT INSPECTIONS.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1228" w:name="PARTIII_203065"/>
      <w:bookmarkStart w:id="1229" w:name="_0d831b4b_3ab5_44a5_a228_4017c9fd1d79"/>
      <w:bookmarkEnd w:id="1228"/>
      <w:bookmarkEnd w:id="1229"/>
      <w:r>
        <w:rPr>
          <w:rFonts w:ascii="Times New Roman;Times;serif" w:hAnsi="Times New Roman;Times;serif"/>
          <w:b/>
          <w:sz w:val="20"/>
        </w:rPr>
        <w:t>PART III</w:t>
      </w:r>
    </w:p>
    <w:p>
      <w:pPr>
        <w:pStyle w:val="TextBody"/>
        <w:spacing w:before="0" w:after="240"/>
        <w:ind w:left="0" w:right="0" w:hanging="0"/>
        <w:rPr>
          <w:rFonts w:ascii="Times New Roman;Times;serif" w:hAnsi="Times New Roman;Times;serif"/>
          <w:b/>
          <w:sz w:val="20"/>
        </w:rPr>
      </w:pPr>
      <w:bookmarkStart w:id="1230" w:name="ITEM10DIRECTORSEXECUTIVEOFFICERSANDCORPO"/>
      <w:bookmarkEnd w:id="1230"/>
      <w:r>
        <w:rPr>
          <w:rFonts w:ascii="Times New Roman;Times;serif" w:hAnsi="Times New Roman;Times;serif"/>
          <w:b/>
          <w:i w:val="false"/>
          <w:caps w:val="false"/>
          <w:smallCaps w:val="false"/>
          <w:sz w:val="20"/>
        </w:rPr>
        <w:t>ITEM 10.</w:t>
      </w:r>
      <w:r>
        <w:rPr>
          <w:rFonts w:ascii="Times New Roman;Times;serif" w:hAnsi="Times New Roman;Times;serif"/>
          <w:b/>
          <w:sz w:val="20"/>
        </w:rPr>
        <w:t>DIRECTORS, EXECUTIVE OFFICERS AND CORPORATE GOVERNANCE.</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required by this item is incorporated by reference to our proxy statement for our 2023 Annual Meeting of Stockholders.</w:t>
      </w:r>
    </w:p>
    <w:p>
      <w:pPr>
        <w:pStyle w:val="TextBody"/>
        <w:spacing w:before="0" w:after="240"/>
        <w:ind w:left="0" w:right="0" w:hanging="0"/>
        <w:jc w:val="both"/>
        <w:rPr/>
      </w:pPr>
      <w:r>
        <w:rPr/>
        <w:t>​</w:t>
      </w:r>
    </w:p>
    <w:p>
      <w:pPr>
        <w:pStyle w:val="TextBody"/>
        <w:spacing w:before="0" w:after="240"/>
        <w:ind w:left="0" w:right="0" w:hanging="0"/>
        <w:rPr>
          <w:rFonts w:ascii="Times New Roman;Times;serif" w:hAnsi="Times New Roman;Times;serif"/>
          <w:b/>
          <w:sz w:val="20"/>
        </w:rPr>
      </w:pPr>
      <w:bookmarkStart w:id="1231" w:name="ITEM11EXECUTIVECOMPENSATION_240511"/>
      <w:bookmarkStart w:id="1232" w:name="_c4371632_8d90_417f_9b57_e37c3f0783b7"/>
      <w:bookmarkEnd w:id="1231"/>
      <w:bookmarkEnd w:id="1232"/>
      <w:r>
        <w:rPr>
          <w:rFonts w:ascii="Times New Roman;Times;serif" w:hAnsi="Times New Roman;Times;serif"/>
          <w:b/>
          <w:i w:val="false"/>
          <w:caps w:val="false"/>
          <w:smallCaps w:val="false"/>
          <w:sz w:val="20"/>
        </w:rPr>
        <w:t>ITEM 11.</w:t>
      </w:r>
      <w:r>
        <w:rPr>
          <w:rFonts w:ascii="Times New Roman;Times;serif" w:hAnsi="Times New Roman;Times;serif"/>
          <w:b/>
          <w:sz w:val="20"/>
        </w:rPr>
        <w:t>EXECUTIVE COMPENSATION.</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required by this item is incorporated by reference to our proxy statement for our 2023 Annual Meeting of Stockholders.</w:t>
      </w:r>
    </w:p>
    <w:p>
      <w:pPr>
        <w:pStyle w:val="TextBody"/>
        <w:spacing w:before="0" w:after="240"/>
        <w:ind w:left="0" w:right="0" w:hanging="0"/>
        <w:jc w:val="both"/>
        <w:rPr/>
      </w:pPr>
      <w:r>
        <w:rPr/>
        <w:t>​</w:t>
      </w:r>
    </w:p>
    <w:p>
      <w:pPr>
        <w:pStyle w:val="TextBody"/>
        <w:spacing w:before="0" w:after="240"/>
        <w:ind w:left="0" w:right="0" w:hanging="0"/>
        <w:rPr>
          <w:rFonts w:ascii="Times New Roman;Times;serif" w:hAnsi="Times New Roman;Times;serif"/>
          <w:b/>
          <w:sz w:val="20"/>
        </w:rPr>
      </w:pPr>
      <w:bookmarkStart w:id="1233" w:name="ITEM12SECURITYOWNERSHIPOFCERTAINBENEFICI"/>
      <w:bookmarkStart w:id="1234" w:name="_de6c288f_0fc7_45e6_bc4b_8ab4f2b17582"/>
      <w:bookmarkEnd w:id="1233"/>
      <w:bookmarkEnd w:id="1234"/>
      <w:r>
        <w:rPr>
          <w:rFonts w:ascii="Times New Roman;Times;serif" w:hAnsi="Times New Roman;Times;serif"/>
          <w:b/>
          <w:i w:val="false"/>
          <w:caps w:val="false"/>
          <w:smallCaps w:val="false"/>
          <w:sz w:val="20"/>
        </w:rPr>
        <w:t>ITEM 12.</w:t>
      </w:r>
      <w:r>
        <w:rPr>
          <w:rFonts w:ascii="Times New Roman;Times;serif" w:hAnsi="Times New Roman;Times;serif"/>
          <w:b/>
          <w:sz w:val="20"/>
        </w:rPr>
        <w:t>SECURITY OWNERSHIP OF CERTAIN BENEFICIAL OWNERS AND MANAGEMENT AND RELATED STOCKHOLDER MATTERS.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required by this item is incorporated by reference to our proxy statement for our 2023 Annual Meeting of Stockholders.</w:t>
      </w:r>
    </w:p>
    <w:p>
      <w:pPr>
        <w:pStyle w:val="TextBody"/>
        <w:spacing w:before="0" w:after="240"/>
        <w:ind w:left="0" w:right="0" w:hanging="0"/>
        <w:jc w:val="both"/>
        <w:rPr/>
      </w:pPr>
      <w:r>
        <w:rPr/>
        <w:t>​</w:t>
      </w:r>
    </w:p>
    <w:p>
      <w:pPr>
        <w:pStyle w:val="TextBody"/>
        <w:spacing w:before="0" w:after="240"/>
        <w:ind w:left="0" w:right="0" w:hanging="0"/>
        <w:rPr>
          <w:rFonts w:ascii="Times New Roman;Times;serif" w:hAnsi="Times New Roman;Times;serif"/>
          <w:b/>
          <w:sz w:val="20"/>
        </w:rPr>
      </w:pPr>
      <w:bookmarkStart w:id="1235" w:name="ITEM13CERTAINRELATIONSHIPSANDRELATEDTRAN"/>
      <w:bookmarkStart w:id="1236" w:name="_1fe1d857_29d3_4dcd_83cc_467bef76c723"/>
      <w:bookmarkEnd w:id="1235"/>
      <w:bookmarkEnd w:id="1236"/>
      <w:r>
        <w:rPr>
          <w:rFonts w:ascii="Times New Roman;Times;serif" w:hAnsi="Times New Roman;Times;serif"/>
          <w:b/>
          <w:i w:val="false"/>
          <w:caps w:val="false"/>
          <w:smallCaps w:val="false"/>
          <w:sz w:val="20"/>
        </w:rPr>
        <w:t>ITEM 13.</w:t>
      </w:r>
      <w:r>
        <w:rPr>
          <w:rFonts w:ascii="Times New Roman;Times;serif" w:hAnsi="Times New Roman;Times;serif"/>
          <w:b/>
          <w:sz w:val="20"/>
        </w:rPr>
        <w:t>CERTAIN RELATIONSHIPS AND RELATED TRANSACTIONS AND DIRECTOR INDEPENDENCE.</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required by this item is incorporated by reference to our proxy statement for our 2023 Annual Meeting of Stockholders.</w:t>
      </w:r>
    </w:p>
    <w:p>
      <w:pPr>
        <w:pStyle w:val="TextBody"/>
        <w:spacing w:before="0" w:after="240"/>
        <w:ind w:left="0" w:right="0" w:hanging="0"/>
        <w:jc w:val="both"/>
        <w:rPr/>
      </w:pPr>
      <w:r>
        <w:rPr/>
        <w:t>​</w:t>
      </w:r>
    </w:p>
    <w:p>
      <w:pPr>
        <w:pStyle w:val="TextBody"/>
        <w:spacing w:before="0" w:after="240"/>
        <w:ind w:left="0" w:right="0" w:hanging="0"/>
        <w:rPr>
          <w:rFonts w:ascii="Times New Roman;Times;serif" w:hAnsi="Times New Roman;Times;serif"/>
          <w:b/>
          <w:sz w:val="20"/>
        </w:rPr>
      </w:pPr>
      <w:bookmarkStart w:id="1237" w:name="ITEM14PRINCIPALACCOUNTINGFEESANDSERVICES"/>
      <w:bookmarkStart w:id="1238" w:name="_a336f6db_3062_480d_8033_07da6c63ed97"/>
      <w:bookmarkEnd w:id="1237"/>
      <w:bookmarkEnd w:id="1238"/>
      <w:r>
        <w:rPr>
          <w:rFonts w:ascii="Times New Roman;Times;serif" w:hAnsi="Times New Roman;Times;serif"/>
          <w:b/>
          <w:i w:val="false"/>
          <w:caps w:val="false"/>
          <w:smallCaps w:val="false"/>
          <w:sz w:val="20"/>
        </w:rPr>
        <w:t>ITEM 14.</w:t>
      </w:r>
      <w:r>
        <w:rPr>
          <w:rFonts w:ascii="Times New Roman;Times;serif" w:hAnsi="Times New Roman;Times;serif"/>
          <w:b/>
          <w:sz w:val="20"/>
        </w:rPr>
        <w:t>PRINCIPAL ACCOUNTING FEES AND SERVICES.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required by this item is incorporated by reference to our proxy statement for our 2023 Annual Meeting of Stockholders.</w:t>
      </w:r>
    </w:p>
    <w:p>
      <w:pPr>
        <w:pStyle w:val="TextBody"/>
        <w:spacing w:before="0" w:after="240"/>
        <w:ind w:left="0" w:right="0" w:hanging="0"/>
        <w:jc w:val="both"/>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center"/>
        <w:rPr>
          <w:rFonts w:ascii="Times New Roman;Times;serif" w:hAnsi="Times New Roman;Times;serif"/>
          <w:b/>
          <w:sz w:val="20"/>
        </w:rPr>
      </w:pPr>
      <w:bookmarkStart w:id="1239" w:name="PARTIV_153419"/>
      <w:bookmarkStart w:id="1240" w:name="_ae70e91a_3bff_40d4_96ff_d05ec73499f1"/>
      <w:bookmarkEnd w:id="1239"/>
      <w:bookmarkEnd w:id="1240"/>
      <w:r>
        <w:rPr>
          <w:rFonts w:ascii="Times New Roman;Times;serif" w:hAnsi="Times New Roman;Times;serif"/>
          <w:b/>
          <w:sz w:val="20"/>
        </w:rPr>
        <w:t>PART IV</w:t>
      </w:r>
    </w:p>
    <w:p>
      <w:pPr>
        <w:pStyle w:val="TextBody"/>
        <w:spacing w:before="0" w:after="200"/>
        <w:ind w:left="0" w:right="0" w:hanging="0"/>
        <w:rPr>
          <w:rFonts w:ascii="Times New Roman;Times;serif" w:hAnsi="Times New Roman;Times;serif"/>
          <w:b/>
          <w:sz w:val="20"/>
        </w:rPr>
      </w:pPr>
      <w:bookmarkStart w:id="1241" w:name="ITEM15EXHIBITSANDFINANCIALSTATEMENTSCHED"/>
      <w:bookmarkEnd w:id="1241"/>
      <w:r>
        <w:rPr>
          <w:rFonts w:ascii="Times New Roman;Times;serif" w:hAnsi="Times New Roman;Times;serif"/>
          <w:b/>
          <w:i w:val="false"/>
          <w:caps w:val="false"/>
          <w:smallCaps w:val="false"/>
          <w:sz w:val="20"/>
        </w:rPr>
        <w:t>ITEM 15.</w:t>
      </w:r>
      <w:r>
        <w:rPr>
          <w:rFonts w:ascii="Times New Roman;Times;serif" w:hAnsi="Times New Roman;Times;serif"/>
          <w:b/>
          <w:sz w:val="20"/>
        </w:rPr>
        <w:t xml:space="preserve">EXHIBITS AND FINANCIAL STATEMENT SCHEDULES. </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The following exhibits are included herewith:</w:t>
      </w:r>
    </w:p>
    <w:tbl>
      <w:tblPr>
        <w:tblW w:w="10205" w:type="dxa"/>
        <w:jc w:val="left"/>
        <w:tblInd w:w="0" w:type="dxa"/>
        <w:tblCellMar>
          <w:top w:w="0" w:type="dxa"/>
          <w:left w:w="0" w:type="dxa"/>
          <w:bottom w:w="0" w:type="dxa"/>
          <w:right w:w="0" w:type="dxa"/>
        </w:tblCellMar>
      </w:tblPr>
      <w:tblGrid>
        <w:gridCol w:w="1081"/>
        <w:gridCol w:w="326"/>
        <w:gridCol w:w="8798"/>
      </w:tblGrid>
      <w:tr>
        <w:trPr/>
        <w:tc>
          <w:tcPr>
            <w:tcW w:w="1081" w:type="dxa"/>
            <w:tcBorders/>
            <w:shd w:fill="auto" w:val="clear"/>
            <w:vAlign w:val="center"/>
          </w:tcPr>
          <w:p>
            <w:pPr>
              <w:pStyle w:val="TableHeading"/>
              <w:spacing w:before="0" w:after="283"/>
              <w:ind w:left="0" w:right="0" w:hanging="0"/>
              <w:rPr>
                <w:sz w:val="4"/>
                <w:szCs w:val="4"/>
              </w:rPr>
            </w:pPr>
            <w:r>
              <w:rPr>
                <w:sz w:val="4"/>
                <w:szCs w:val="4"/>
              </w:rPr>
            </w:r>
          </w:p>
        </w:tc>
        <w:tc>
          <w:tcPr>
            <w:tcW w:w="326" w:type="dxa"/>
            <w:tcBorders/>
            <w:shd w:fill="auto" w:val="clear"/>
            <w:vAlign w:val="center"/>
          </w:tcPr>
          <w:p>
            <w:pPr>
              <w:pStyle w:val="TableHeading"/>
              <w:spacing w:before="0" w:after="283"/>
              <w:ind w:left="0" w:right="0" w:hanging="0"/>
              <w:rPr>
                <w:sz w:val="4"/>
                <w:szCs w:val="4"/>
              </w:rPr>
            </w:pPr>
            <w:r>
              <w:rPr>
                <w:sz w:val="4"/>
                <w:szCs w:val="4"/>
              </w:rPr>
            </w:r>
          </w:p>
        </w:tc>
        <w:tc>
          <w:tcPr>
            <w:tcW w:w="8798" w:type="dxa"/>
            <w:tcBorders/>
            <w:shd w:fill="auto" w:val="clear"/>
            <w:vAlign w:val="center"/>
          </w:tcPr>
          <w:p>
            <w:pPr>
              <w:pStyle w:val="TableHeading"/>
              <w:spacing w:before="0" w:after="283"/>
              <w:ind w:left="0" w:right="0" w:hanging="0"/>
              <w:rPr>
                <w:sz w:val="4"/>
                <w:szCs w:val="4"/>
              </w:rPr>
            </w:pPr>
            <w:r>
              <w:rPr>
                <w:sz w:val="4"/>
                <w:szCs w:val="4"/>
              </w:rPr>
            </w:r>
          </w:p>
        </w:tc>
      </w:tr>
      <w:tr>
        <w:trPr/>
        <w:tc>
          <w:tcPr>
            <w:tcW w:w="1081" w:type="dxa"/>
            <w:tcBorders>
              <w:bottom w:val="single" w:sz="2" w:space="0" w:color="000000"/>
            </w:tcBorders>
            <w:shd w:fill="auto" w:val="clear"/>
            <w:tcMar>
              <w:bottom w:w="28" w:type="dxa"/>
            </w:tcMar>
            <w:vAlign w:val="center"/>
          </w:tcPr>
          <w:p>
            <w:pPr>
              <w:pStyle w:val="TableHeading"/>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No.</w:t>
            </w:r>
          </w:p>
        </w:tc>
        <w:tc>
          <w:tcPr>
            <w:tcW w:w="326" w:type="dxa"/>
            <w:tcBorders/>
            <w:shd w:fill="auto" w:val="clear"/>
            <w:vAlign w:val="center"/>
          </w:tcPr>
          <w:p>
            <w:pPr>
              <w:pStyle w:val="TableHeading"/>
              <w:spacing w:before="0" w:after="0"/>
              <w:ind w:left="0" w:right="0" w:hanging="0"/>
              <w:jc w:val="left"/>
              <w:rPr/>
            </w:pPr>
            <w:r>
              <w:rPr/>
              <w:t>    </w:t>
            </w:r>
          </w:p>
        </w:tc>
        <w:tc>
          <w:tcPr>
            <w:tcW w:w="8798" w:type="dxa"/>
            <w:tcBorders>
              <w:bottom w:val="single" w:sz="2" w:space="0" w:color="000000"/>
            </w:tcBorders>
            <w:shd w:fill="auto" w:val="clear"/>
            <w:tcMar>
              <w:bottom w:w="28" w:type="dxa"/>
            </w:tcMar>
            <w:vAlign w:val="center"/>
          </w:tcPr>
          <w:p>
            <w:pPr>
              <w:pStyle w:val="TableHeading"/>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1081"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798" w:type="dxa"/>
            <w:tcBorders>
              <w:top w:val="single" w:sz="2" w:space="0" w:color="000000"/>
            </w:tcBorders>
            <w:shd w:fill="auto" w:val="clear"/>
            <w:tcMar>
              <w:top w:w="28" w:type="dxa"/>
            </w:tcMar>
            <w:vAlign w:val="center"/>
          </w:tcPr>
          <w:p>
            <w:pPr>
              <w:pStyle w:val="TableContents"/>
              <w:spacing w:before="0" w:after="0"/>
              <w:ind w:left="0" w:right="0" w:hanging="0"/>
              <w:jc w:val="both"/>
              <w:rPr/>
            </w:pPr>
            <w:r>
              <w:rPr/>
              <w:t>​</w:t>
            </w:r>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2.1</w:t>
            </w:r>
          </w:p>
        </w:tc>
        <w:tc>
          <w:tcPr>
            <w:tcW w:w="326" w:type="dxa"/>
            <w:tcBorders/>
            <w:shd w:fill="auto" w:val="clear"/>
            <w:vAlign w:val="center"/>
          </w:tcPr>
          <w:p>
            <w:pPr>
              <w:pStyle w:val="TableContents"/>
              <w:spacing w:before="0" w:after="0"/>
              <w:ind w:left="0" w:right="0" w:hanging="0"/>
              <w:rPr/>
            </w:pPr>
            <w:r>
              <w:rPr/>
              <w:t> </w:t>
            </w:r>
          </w:p>
        </w:tc>
        <w:tc>
          <w:tcPr>
            <w:tcW w:w="8798" w:type="dxa"/>
            <w:tcBorders/>
            <w:shd w:fill="auto" w:val="clear"/>
            <w:vAlign w:val="center"/>
          </w:tcPr>
          <w:p>
            <w:pPr>
              <w:pStyle w:val="TableContents"/>
              <w:spacing w:before="0" w:after="0"/>
              <w:ind w:left="0" w:right="0" w:hanging="0"/>
              <w:jc w:val="both"/>
              <w:rPr/>
            </w:pPr>
            <w:hyperlink r:id="rId2">
              <w:r>
                <w:rPr>
                  <w:rStyle w:val="InternetLink"/>
                  <w:rFonts w:ascii="Times New Roman;Times;serif" w:hAnsi="Times New Roman;Times;serif"/>
                  <w:b w:val="false"/>
                  <w:i w:val="false"/>
                  <w:caps w:val="false"/>
                  <w:smallCaps w:val="false"/>
                  <w:sz w:val="20"/>
                </w:rPr>
                <w:t>Asset Purchase Agreement entered into by and among Medicine Man Technologies, Inc., SBUD LLC, and Colorado Health Consultants, LLC, dated June 5, 2020 (Incorporated by reference to Exhibit 2.1 to Medicine Man Technologies, Inc.’s Current Report on Form 8-K filed June 8, 2020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2.2</w:t>
            </w:r>
          </w:p>
        </w:tc>
        <w:tc>
          <w:tcPr>
            <w:tcW w:w="326" w:type="dxa"/>
            <w:tcBorders/>
            <w:shd w:fill="auto" w:val="clear"/>
            <w:vAlign w:val="center"/>
          </w:tcPr>
          <w:p>
            <w:pPr>
              <w:pStyle w:val="TableContents"/>
              <w:spacing w:before="0" w:after="0"/>
              <w:ind w:left="0" w:right="0" w:hanging="0"/>
              <w:rPr/>
            </w:pPr>
            <w:r>
              <w:rPr/>
              <w:t> </w:t>
            </w:r>
          </w:p>
        </w:tc>
        <w:tc>
          <w:tcPr>
            <w:tcW w:w="8798" w:type="dxa"/>
            <w:tcBorders/>
            <w:shd w:fill="auto" w:val="clear"/>
            <w:vAlign w:val="center"/>
          </w:tcPr>
          <w:p>
            <w:pPr>
              <w:pStyle w:val="TableContents"/>
              <w:spacing w:before="0" w:after="0"/>
              <w:ind w:left="0" w:right="0" w:hanging="0"/>
              <w:jc w:val="both"/>
              <w:rPr/>
            </w:pPr>
            <w:hyperlink r:id="rId3">
              <w:r>
                <w:rPr>
                  <w:rStyle w:val="InternetLink"/>
                  <w:rFonts w:ascii="Times New Roman;Times;serif" w:hAnsi="Times New Roman;Times;serif"/>
                  <w:b w:val="false"/>
                  <w:i w:val="false"/>
                  <w:caps w:val="false"/>
                  <w:smallCaps w:val="false"/>
                  <w:sz w:val="20"/>
                </w:rPr>
                <w:t>Asset Purchase Agreement entered into by and among Medicine Man Technologies, Inc., SBUD LLC, and Citi-Med LLC, dated June 5, 2020 (Incorporated by reference to Exhibit 2.2 to Medicine Man Technologies, Inc.’s Current Report on Form 8-K filed June 8, 2020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2.3</w:t>
            </w:r>
          </w:p>
        </w:tc>
        <w:tc>
          <w:tcPr>
            <w:tcW w:w="326" w:type="dxa"/>
            <w:tcBorders/>
            <w:shd w:fill="auto" w:val="clear"/>
            <w:vAlign w:val="center"/>
          </w:tcPr>
          <w:p>
            <w:pPr>
              <w:pStyle w:val="TableContents"/>
              <w:spacing w:before="0" w:after="0"/>
              <w:ind w:left="0" w:right="0" w:hanging="0"/>
              <w:rPr/>
            </w:pPr>
            <w:r>
              <w:rPr/>
              <w:t> </w:t>
            </w:r>
          </w:p>
        </w:tc>
        <w:tc>
          <w:tcPr>
            <w:tcW w:w="8798" w:type="dxa"/>
            <w:tcBorders/>
            <w:shd w:fill="auto" w:val="clear"/>
            <w:vAlign w:val="center"/>
          </w:tcPr>
          <w:p>
            <w:pPr>
              <w:pStyle w:val="TableContents"/>
              <w:spacing w:before="0" w:after="0"/>
              <w:ind w:left="0" w:right="0" w:hanging="0"/>
              <w:jc w:val="both"/>
              <w:rPr/>
            </w:pPr>
            <w:hyperlink r:id="rId4">
              <w:r>
                <w:rPr>
                  <w:rStyle w:val="InternetLink"/>
                  <w:rFonts w:ascii="Times New Roman;Times;serif" w:hAnsi="Times New Roman;Times;serif"/>
                  <w:b w:val="false"/>
                  <w:i w:val="false"/>
                  <w:caps w:val="false"/>
                  <w:smallCaps w:val="false"/>
                  <w:sz w:val="20"/>
                </w:rPr>
                <w:t>Asset Purchase Agreement entered into by and among Medicine Man Technologies, Inc., SBUD LLC, and Lucky Ticket LLC, dated June 5, 2020 (Incorporated by reference to Exhibit 2.3 to Medicine Man Technologies, Inc.’s Current Report on Form 8-K filed June 8, 2020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2.4</w:t>
            </w:r>
          </w:p>
        </w:tc>
        <w:tc>
          <w:tcPr>
            <w:tcW w:w="326" w:type="dxa"/>
            <w:tcBorders/>
            <w:shd w:fill="auto" w:val="clear"/>
            <w:vAlign w:val="center"/>
          </w:tcPr>
          <w:p>
            <w:pPr>
              <w:pStyle w:val="TableContents"/>
              <w:spacing w:before="0" w:after="0"/>
              <w:ind w:left="0" w:right="0" w:hanging="0"/>
              <w:rPr/>
            </w:pPr>
            <w:r>
              <w:rPr/>
              <w:t> </w:t>
            </w:r>
          </w:p>
        </w:tc>
        <w:tc>
          <w:tcPr>
            <w:tcW w:w="8798" w:type="dxa"/>
            <w:tcBorders/>
            <w:shd w:fill="auto" w:val="clear"/>
            <w:vAlign w:val="center"/>
          </w:tcPr>
          <w:p>
            <w:pPr>
              <w:pStyle w:val="TableContents"/>
              <w:spacing w:before="0" w:after="0"/>
              <w:ind w:left="0" w:right="0" w:hanging="0"/>
              <w:jc w:val="both"/>
              <w:rPr/>
            </w:pPr>
            <w:hyperlink r:id="rId5">
              <w:r>
                <w:rPr>
                  <w:rStyle w:val="InternetLink"/>
                  <w:rFonts w:ascii="Times New Roman;Times;serif" w:hAnsi="Times New Roman;Times;serif"/>
                  <w:b w:val="false"/>
                  <w:i w:val="false"/>
                  <w:caps w:val="false"/>
                  <w:smallCaps w:val="false"/>
                  <w:sz w:val="20"/>
                </w:rPr>
                <w:t>Asset Purchase Agreement entered into by and among Medicine Man Technologies, Inc., SBUD LLC, and Kew LLC, dated June 5, 2020 (Incorporated by reference to Exhibit 2.4 to Medicine Man Technologies, Inc.’s Current Report on Form 8-K filed June 8, 2020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2.5</w:t>
            </w:r>
          </w:p>
        </w:tc>
        <w:tc>
          <w:tcPr>
            <w:tcW w:w="326" w:type="dxa"/>
            <w:tcBorders/>
            <w:shd w:fill="auto" w:val="clear"/>
            <w:vAlign w:val="center"/>
          </w:tcPr>
          <w:p>
            <w:pPr>
              <w:pStyle w:val="TableContents"/>
              <w:spacing w:before="0" w:after="0"/>
              <w:ind w:left="0" w:right="0" w:hanging="0"/>
              <w:rPr/>
            </w:pPr>
            <w:r>
              <w:rPr/>
              <w:t> </w:t>
            </w:r>
          </w:p>
        </w:tc>
        <w:tc>
          <w:tcPr>
            <w:tcW w:w="8798" w:type="dxa"/>
            <w:tcBorders/>
            <w:shd w:fill="auto" w:val="clear"/>
            <w:vAlign w:val="center"/>
          </w:tcPr>
          <w:p>
            <w:pPr>
              <w:pStyle w:val="TableContents"/>
              <w:spacing w:before="0" w:after="0"/>
              <w:ind w:left="0" w:right="0" w:hanging="0"/>
              <w:jc w:val="both"/>
              <w:rPr/>
            </w:pPr>
            <w:hyperlink r:id="rId6">
              <w:r>
                <w:rPr>
                  <w:rStyle w:val="InternetLink"/>
                  <w:rFonts w:ascii="Times New Roman;Times;serif" w:hAnsi="Times New Roman;Times;serif"/>
                  <w:b w:val="false"/>
                  <w:i w:val="false"/>
                  <w:caps w:val="false"/>
                  <w:smallCaps w:val="false"/>
                  <w:sz w:val="20"/>
                </w:rPr>
                <w:t>Asset Purchase Agreement entered into by and among Medicine Man Technologies, Inc., SBUD LLC, and SB Aurora LLC, dated June 5, 2020 (Incorporated by reference to Exhibit 2.5 to Medicine Man Technologies, Inc.’s Current Report on Form 8-K filed June 8, 2020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2.6</w:t>
            </w:r>
          </w:p>
        </w:tc>
        <w:tc>
          <w:tcPr>
            <w:tcW w:w="326" w:type="dxa"/>
            <w:tcBorders/>
            <w:shd w:fill="auto" w:val="clear"/>
            <w:vAlign w:val="center"/>
          </w:tcPr>
          <w:p>
            <w:pPr>
              <w:pStyle w:val="TableContents"/>
              <w:spacing w:before="0" w:after="0"/>
              <w:ind w:left="0" w:right="0" w:hanging="0"/>
              <w:rPr/>
            </w:pPr>
            <w:r>
              <w:rPr/>
              <w:t> </w:t>
            </w:r>
          </w:p>
        </w:tc>
        <w:tc>
          <w:tcPr>
            <w:tcW w:w="8798" w:type="dxa"/>
            <w:tcBorders/>
            <w:shd w:fill="auto" w:val="clear"/>
            <w:vAlign w:val="center"/>
          </w:tcPr>
          <w:p>
            <w:pPr>
              <w:pStyle w:val="TableContents"/>
              <w:spacing w:before="0" w:after="0"/>
              <w:ind w:left="0" w:right="0" w:hanging="0"/>
              <w:jc w:val="both"/>
              <w:rPr/>
            </w:pPr>
            <w:hyperlink r:id="rId7">
              <w:r>
                <w:rPr>
                  <w:rStyle w:val="InternetLink"/>
                  <w:rFonts w:ascii="Times New Roman;Times;serif" w:hAnsi="Times New Roman;Times;serif"/>
                  <w:b w:val="false"/>
                  <w:i w:val="false"/>
                  <w:caps w:val="false"/>
                  <w:smallCaps w:val="false"/>
                  <w:sz w:val="20"/>
                </w:rPr>
                <w:t>Asset Purchase Agreement entered into by and among Medicine Man Technologies, Inc., SBUD LLC, and SB Arapahoe LLC, dated June 5, 2020 (Incorporated by reference to Exhibit 2.6 to Medicine Man Technologies, Inc.’s Current Report on Form 8-K filed June 8, 2020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2.7</w:t>
            </w:r>
          </w:p>
        </w:tc>
        <w:tc>
          <w:tcPr>
            <w:tcW w:w="326" w:type="dxa"/>
            <w:tcBorders/>
            <w:shd w:fill="auto" w:val="clear"/>
            <w:vAlign w:val="center"/>
          </w:tcPr>
          <w:p>
            <w:pPr>
              <w:pStyle w:val="TableContents"/>
              <w:spacing w:before="0" w:after="0"/>
              <w:ind w:left="0" w:right="0" w:hanging="0"/>
              <w:rPr/>
            </w:pPr>
            <w:r>
              <w:rPr/>
              <w:t> </w:t>
            </w:r>
          </w:p>
        </w:tc>
        <w:tc>
          <w:tcPr>
            <w:tcW w:w="8798" w:type="dxa"/>
            <w:tcBorders/>
            <w:shd w:fill="auto" w:val="clear"/>
            <w:vAlign w:val="center"/>
          </w:tcPr>
          <w:p>
            <w:pPr>
              <w:pStyle w:val="TableContents"/>
              <w:spacing w:before="0" w:after="0"/>
              <w:ind w:left="0" w:right="0" w:hanging="0"/>
              <w:jc w:val="both"/>
              <w:rPr/>
            </w:pPr>
            <w:hyperlink r:id="rId8">
              <w:r>
                <w:rPr>
                  <w:rStyle w:val="InternetLink"/>
                  <w:rFonts w:ascii="Times New Roman;Times;serif" w:hAnsi="Times New Roman;Times;serif"/>
                  <w:b w:val="false"/>
                  <w:i w:val="false"/>
                  <w:caps w:val="false"/>
                  <w:smallCaps w:val="false"/>
                  <w:sz w:val="20"/>
                </w:rPr>
                <w:t>Asset Purchase Agreement entered into by and among Medicine Man Technologies, Inc., SBUD LLC, and SB 44th LLC, dated June 5, 2020 (Incorporated by reference to Exhibit 2.7 to Medicine Man Technologies, Inc.’s Current Report on Form 8-K filed June 8, 2020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2.8</w:t>
            </w:r>
          </w:p>
        </w:tc>
        <w:tc>
          <w:tcPr>
            <w:tcW w:w="326" w:type="dxa"/>
            <w:tcBorders/>
            <w:shd w:fill="auto" w:val="clear"/>
            <w:vAlign w:val="center"/>
          </w:tcPr>
          <w:p>
            <w:pPr>
              <w:pStyle w:val="TableContents"/>
              <w:spacing w:before="0" w:after="0"/>
              <w:ind w:left="0" w:right="0" w:hanging="0"/>
              <w:rPr/>
            </w:pPr>
            <w:r>
              <w:rPr/>
              <w:t> </w:t>
            </w:r>
          </w:p>
        </w:tc>
        <w:tc>
          <w:tcPr>
            <w:tcW w:w="8798" w:type="dxa"/>
            <w:tcBorders/>
            <w:shd w:fill="auto" w:val="clear"/>
            <w:vAlign w:val="center"/>
          </w:tcPr>
          <w:p>
            <w:pPr>
              <w:pStyle w:val="TableContents"/>
              <w:spacing w:before="0" w:after="0"/>
              <w:ind w:left="0" w:right="0" w:hanging="0"/>
              <w:jc w:val="both"/>
              <w:rPr/>
            </w:pPr>
            <w:hyperlink r:id="rId9">
              <w:r>
                <w:rPr>
                  <w:rStyle w:val="InternetLink"/>
                  <w:rFonts w:ascii="Times New Roman;Times;serif" w:hAnsi="Times New Roman;Times;serif"/>
                  <w:b w:val="false"/>
                  <w:i w:val="false"/>
                  <w:caps w:val="false"/>
                  <w:smallCaps w:val="false"/>
                  <w:sz w:val="20"/>
                </w:rPr>
                <w:t>Asset Purchase Agreement entered into by and among Medicine Man Technologies, Inc., SBUD LLC, and Starbuds Pueblo LLC, dated June 5, 2020 (Incorporated by reference to Exhibit 2.8 to Medicine Man Technologies, Inc.’s Current Report on Form 8-K filed June 8, 2020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2.9</w:t>
            </w:r>
          </w:p>
        </w:tc>
        <w:tc>
          <w:tcPr>
            <w:tcW w:w="326" w:type="dxa"/>
            <w:tcBorders/>
            <w:shd w:fill="auto" w:val="clear"/>
            <w:vAlign w:val="center"/>
          </w:tcPr>
          <w:p>
            <w:pPr>
              <w:pStyle w:val="TableContents"/>
              <w:spacing w:before="0" w:after="0"/>
              <w:ind w:left="0" w:right="0" w:hanging="0"/>
              <w:rPr/>
            </w:pPr>
            <w:r>
              <w:rPr/>
              <w:t> </w:t>
            </w:r>
          </w:p>
        </w:tc>
        <w:tc>
          <w:tcPr>
            <w:tcW w:w="8798" w:type="dxa"/>
            <w:tcBorders/>
            <w:shd w:fill="auto" w:val="clear"/>
            <w:vAlign w:val="center"/>
          </w:tcPr>
          <w:p>
            <w:pPr>
              <w:pStyle w:val="TableContents"/>
              <w:spacing w:before="0" w:after="0"/>
              <w:ind w:left="0" w:right="0" w:hanging="0"/>
              <w:jc w:val="both"/>
              <w:rPr/>
            </w:pPr>
            <w:hyperlink r:id="rId10">
              <w:r>
                <w:rPr>
                  <w:rStyle w:val="InternetLink"/>
                  <w:rFonts w:ascii="Times New Roman;Times;serif" w:hAnsi="Times New Roman;Times;serif"/>
                  <w:b w:val="false"/>
                  <w:i w:val="false"/>
                  <w:caps w:val="false"/>
                  <w:smallCaps w:val="false"/>
                  <w:sz w:val="20"/>
                </w:rPr>
                <w:t>Asset Purchase Agreement entered into by and among Medicine Man Technologies, Inc., SBUD LLC, and Starbuds Louisville LLC, dated June 5, 2020 (Incorporated by reference to Exhibit 2.9 to Medicine Man Technologies, Inc.’s Current Report on Form 8-K filed June 8, 2020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2.10</w:t>
            </w:r>
          </w:p>
        </w:tc>
        <w:tc>
          <w:tcPr>
            <w:tcW w:w="326" w:type="dxa"/>
            <w:tcBorders/>
            <w:shd w:fill="auto" w:val="clear"/>
            <w:vAlign w:val="center"/>
          </w:tcPr>
          <w:p>
            <w:pPr>
              <w:pStyle w:val="TableContents"/>
              <w:spacing w:before="0" w:after="0"/>
              <w:ind w:left="0" w:right="0" w:hanging="0"/>
              <w:rPr/>
            </w:pPr>
            <w:r>
              <w:rPr/>
              <w:t> </w:t>
            </w:r>
          </w:p>
        </w:tc>
        <w:tc>
          <w:tcPr>
            <w:tcW w:w="8798" w:type="dxa"/>
            <w:tcBorders/>
            <w:shd w:fill="auto" w:val="clear"/>
            <w:vAlign w:val="center"/>
          </w:tcPr>
          <w:p>
            <w:pPr>
              <w:pStyle w:val="TableContents"/>
              <w:spacing w:before="0" w:after="0"/>
              <w:ind w:left="0" w:right="0" w:hanging="0"/>
              <w:jc w:val="both"/>
              <w:rPr/>
            </w:pPr>
            <w:hyperlink r:id="rId11">
              <w:r>
                <w:rPr>
                  <w:rStyle w:val="InternetLink"/>
                  <w:rFonts w:ascii="Times New Roman;Times;serif" w:hAnsi="Times New Roman;Times;serif"/>
                  <w:b w:val="false"/>
                  <w:i w:val="false"/>
                  <w:caps w:val="false"/>
                  <w:smallCaps w:val="false"/>
                  <w:sz w:val="20"/>
                </w:rPr>
                <w:t>Asset Purchase Agreement entered into by and among Medicine Man Technologies, Inc., SBUD LLC, and Starbuds Niwot LLC, dated June 5, 2020 (Incorporated by reference to Exhibit 2.10 to Medicine Man Technologies, Inc.’s Current Report on Form 8-K filed June 8, 2020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2.11</w:t>
            </w:r>
          </w:p>
        </w:tc>
        <w:tc>
          <w:tcPr>
            <w:tcW w:w="326" w:type="dxa"/>
            <w:tcBorders/>
            <w:shd w:fill="auto" w:val="clear"/>
            <w:vAlign w:val="center"/>
          </w:tcPr>
          <w:p>
            <w:pPr>
              <w:pStyle w:val="TableContents"/>
              <w:spacing w:before="0" w:after="0"/>
              <w:ind w:left="0" w:right="0" w:hanging="0"/>
              <w:rPr/>
            </w:pPr>
            <w:r>
              <w:rPr/>
              <w:t> </w:t>
            </w:r>
          </w:p>
        </w:tc>
        <w:tc>
          <w:tcPr>
            <w:tcW w:w="8798" w:type="dxa"/>
            <w:tcBorders/>
            <w:shd w:fill="auto" w:val="clear"/>
            <w:vAlign w:val="center"/>
          </w:tcPr>
          <w:p>
            <w:pPr>
              <w:pStyle w:val="TableContents"/>
              <w:spacing w:before="0" w:after="0"/>
              <w:ind w:left="0" w:right="0" w:hanging="0"/>
              <w:jc w:val="both"/>
              <w:rPr/>
            </w:pPr>
            <w:hyperlink r:id="rId12">
              <w:r>
                <w:rPr>
                  <w:rStyle w:val="InternetLink"/>
                  <w:rFonts w:ascii="Times New Roman;Times;serif" w:hAnsi="Times New Roman;Times;serif"/>
                  <w:b w:val="false"/>
                  <w:i w:val="false"/>
                  <w:caps w:val="false"/>
                  <w:smallCaps w:val="false"/>
                  <w:sz w:val="20"/>
                </w:rPr>
                <w:t>Asset Purchase Agreement entered into by and among Medicine Man Technologies, Inc., SBUD LLC, and Alameda LLC, dated June 5, 2020 (Incorporated by reference to Exhibit 2.11 to Medicine Man Technologies, Inc.’s Current Report on Form 8-K filed June 8, 2020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2.12</w:t>
            </w:r>
          </w:p>
        </w:tc>
        <w:tc>
          <w:tcPr>
            <w:tcW w:w="326" w:type="dxa"/>
            <w:tcBorders/>
            <w:shd w:fill="auto" w:val="clear"/>
            <w:vAlign w:val="center"/>
          </w:tcPr>
          <w:p>
            <w:pPr>
              <w:pStyle w:val="TableContents"/>
              <w:spacing w:before="0" w:after="0"/>
              <w:ind w:left="0" w:right="0" w:hanging="0"/>
              <w:rPr/>
            </w:pPr>
            <w:r>
              <w:rPr/>
              <w:t> </w:t>
            </w:r>
          </w:p>
        </w:tc>
        <w:tc>
          <w:tcPr>
            <w:tcW w:w="8798" w:type="dxa"/>
            <w:tcBorders/>
            <w:shd w:fill="auto" w:val="clear"/>
            <w:vAlign w:val="center"/>
          </w:tcPr>
          <w:p>
            <w:pPr>
              <w:pStyle w:val="TableContents"/>
              <w:spacing w:before="0" w:after="0"/>
              <w:ind w:left="0" w:right="0" w:hanging="0"/>
              <w:jc w:val="both"/>
              <w:rPr/>
            </w:pPr>
            <w:hyperlink r:id="rId13">
              <w:r>
                <w:rPr>
                  <w:rStyle w:val="InternetLink"/>
                  <w:rFonts w:ascii="Times New Roman;Times;serif" w:hAnsi="Times New Roman;Times;serif"/>
                  <w:b w:val="false"/>
                  <w:i w:val="false"/>
                  <w:caps w:val="false"/>
                  <w:smallCaps w:val="false"/>
                  <w:sz w:val="20"/>
                </w:rPr>
                <w:t>Asset Purchase Agreement entered into by and among Medicine Man Technologies, Inc., SBUD LLC, and Starbuds Longmont LLC, dated June 5, 2020 (Incorporated by reference to Exhibit 2.12 to Medicine Man Technologies, Inc.’s Current Report on Form 8-K filed June 8, 2020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2.13</w:t>
            </w:r>
          </w:p>
        </w:tc>
        <w:tc>
          <w:tcPr>
            <w:tcW w:w="326" w:type="dxa"/>
            <w:tcBorders/>
            <w:shd w:fill="auto" w:val="clear"/>
            <w:vAlign w:val="center"/>
          </w:tcPr>
          <w:p>
            <w:pPr>
              <w:pStyle w:val="TableContents"/>
              <w:spacing w:before="0" w:after="0"/>
              <w:ind w:left="0" w:right="0" w:hanging="0"/>
              <w:rPr/>
            </w:pPr>
            <w:r>
              <w:rPr/>
              <w:t> </w:t>
            </w:r>
          </w:p>
        </w:tc>
        <w:tc>
          <w:tcPr>
            <w:tcW w:w="8798" w:type="dxa"/>
            <w:tcBorders/>
            <w:shd w:fill="auto" w:val="clear"/>
            <w:vAlign w:val="center"/>
          </w:tcPr>
          <w:p>
            <w:pPr>
              <w:pStyle w:val="TableContents"/>
              <w:spacing w:before="0" w:after="0"/>
              <w:ind w:left="0" w:right="0" w:hanging="0"/>
              <w:jc w:val="both"/>
              <w:rPr/>
            </w:pPr>
            <w:hyperlink r:id="rId14">
              <w:r>
                <w:rPr>
                  <w:rStyle w:val="InternetLink"/>
                  <w:rFonts w:ascii="Times New Roman;Times;serif" w:hAnsi="Times New Roman;Times;serif"/>
                  <w:b w:val="false"/>
                  <w:i w:val="false"/>
                  <w:caps w:val="false"/>
                  <w:smallCaps w:val="false"/>
                  <w:sz w:val="20"/>
                </w:rPr>
                <w:t>Asset Purchase Agreement entered into by and among Medicine Man Technologies, Inc., SBUD LLC, and Starbuds Commerce City LLC, dated June 5, 2020 (Incorporated by reference to Exhibit 2.13 to Medicine Man Technologies, Inc.’s Current Report on Form 8-K filed June 8, 2020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2.14</w:t>
            </w:r>
          </w:p>
        </w:tc>
        <w:tc>
          <w:tcPr>
            <w:tcW w:w="326" w:type="dxa"/>
            <w:tcBorders/>
            <w:shd w:fill="auto" w:val="clear"/>
            <w:vAlign w:val="center"/>
          </w:tcPr>
          <w:p>
            <w:pPr>
              <w:pStyle w:val="TableContents"/>
              <w:spacing w:before="0" w:after="0"/>
              <w:ind w:left="0" w:right="0" w:hanging="0"/>
              <w:rPr/>
            </w:pPr>
            <w:r>
              <w:rPr/>
              <w:t> </w:t>
            </w:r>
          </w:p>
        </w:tc>
        <w:tc>
          <w:tcPr>
            <w:tcW w:w="8798" w:type="dxa"/>
            <w:tcBorders/>
            <w:shd w:fill="auto" w:val="clear"/>
            <w:vAlign w:val="center"/>
          </w:tcPr>
          <w:p>
            <w:pPr>
              <w:pStyle w:val="TableContents"/>
              <w:spacing w:before="0" w:after="0"/>
              <w:ind w:left="0" w:right="0" w:hanging="0"/>
              <w:jc w:val="both"/>
              <w:rPr/>
            </w:pPr>
            <w:hyperlink r:id="rId15">
              <w:r>
                <w:rPr>
                  <w:rStyle w:val="InternetLink"/>
                  <w:rFonts w:ascii="Times New Roman;Times;serif" w:hAnsi="Times New Roman;Times;serif"/>
                  <w:b w:val="false"/>
                  <w:i w:val="false"/>
                  <w:caps w:val="false"/>
                  <w:smallCaps w:val="false"/>
                  <w:sz w:val="20"/>
                </w:rPr>
                <w:t>Omnibus Amendment No. 1 dated September 15, 2020 to Asset Purchase Agreements dated June 5, 2020 (Incorporated by reference to Exhibit 2.1 to Medicine Man Technologies, Inc.’s Current Report on Form 8-K filed September 21, 2020 (Commission File No. 000-55450))</w:t>
              </w:r>
            </w:hyperlink>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1081"/>
        <w:gridCol w:w="326"/>
        <w:gridCol w:w="8798"/>
      </w:tblGrid>
      <w:tr>
        <w:trPr/>
        <w:tc>
          <w:tcPr>
            <w:tcW w:w="1081" w:type="dxa"/>
            <w:tcBorders/>
            <w:shd w:fill="auto" w:val="clear"/>
            <w:vAlign w:val="center"/>
          </w:tcPr>
          <w:p>
            <w:pPr>
              <w:pStyle w:val="TableHeading"/>
              <w:spacing w:before="0" w:after="283"/>
              <w:ind w:left="0" w:right="0" w:hanging="0"/>
              <w:rPr>
                <w:sz w:val="4"/>
                <w:szCs w:val="4"/>
              </w:rPr>
            </w:pPr>
            <w:r>
              <w:rPr>
                <w:sz w:val="4"/>
                <w:szCs w:val="4"/>
              </w:rPr>
            </w:r>
          </w:p>
        </w:tc>
        <w:tc>
          <w:tcPr>
            <w:tcW w:w="326" w:type="dxa"/>
            <w:tcBorders/>
            <w:shd w:fill="auto" w:val="clear"/>
            <w:vAlign w:val="center"/>
          </w:tcPr>
          <w:p>
            <w:pPr>
              <w:pStyle w:val="TableHeading"/>
              <w:spacing w:before="0" w:after="283"/>
              <w:ind w:left="0" w:right="0" w:hanging="0"/>
              <w:rPr>
                <w:sz w:val="4"/>
                <w:szCs w:val="4"/>
              </w:rPr>
            </w:pPr>
            <w:r>
              <w:rPr>
                <w:sz w:val="4"/>
                <w:szCs w:val="4"/>
              </w:rPr>
            </w:r>
          </w:p>
        </w:tc>
        <w:tc>
          <w:tcPr>
            <w:tcW w:w="8798" w:type="dxa"/>
            <w:tcBorders/>
            <w:shd w:fill="auto" w:val="clear"/>
            <w:vAlign w:val="center"/>
          </w:tcPr>
          <w:p>
            <w:pPr>
              <w:pStyle w:val="TableHeading"/>
              <w:spacing w:before="0" w:after="283"/>
              <w:ind w:left="0" w:right="0" w:hanging="0"/>
              <w:rPr>
                <w:sz w:val="4"/>
                <w:szCs w:val="4"/>
              </w:rPr>
            </w:pPr>
            <w:r>
              <w:rPr>
                <w:sz w:val="4"/>
                <w:szCs w:val="4"/>
              </w:rPr>
            </w:r>
          </w:p>
        </w:tc>
      </w:tr>
      <w:tr>
        <w:trPr/>
        <w:tc>
          <w:tcPr>
            <w:tcW w:w="1081" w:type="dxa"/>
            <w:tcBorders>
              <w:bottom w:val="single" w:sz="2" w:space="0" w:color="000000"/>
            </w:tcBorders>
            <w:shd w:fill="auto" w:val="clear"/>
            <w:tcMar>
              <w:bottom w:w="28" w:type="dxa"/>
            </w:tcMar>
            <w:vAlign w:val="center"/>
          </w:tcPr>
          <w:p>
            <w:pPr>
              <w:pStyle w:val="TableHeading"/>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No.</w:t>
            </w:r>
          </w:p>
        </w:tc>
        <w:tc>
          <w:tcPr>
            <w:tcW w:w="326" w:type="dxa"/>
            <w:tcBorders/>
            <w:shd w:fill="auto" w:val="clear"/>
            <w:vAlign w:val="center"/>
          </w:tcPr>
          <w:p>
            <w:pPr>
              <w:pStyle w:val="TableHeading"/>
              <w:spacing w:before="0" w:after="0"/>
              <w:ind w:left="0" w:right="0" w:hanging="0"/>
              <w:jc w:val="left"/>
              <w:rPr/>
            </w:pPr>
            <w:r>
              <w:rPr/>
              <w:t>    </w:t>
            </w:r>
          </w:p>
        </w:tc>
        <w:tc>
          <w:tcPr>
            <w:tcW w:w="8798" w:type="dxa"/>
            <w:tcBorders>
              <w:bottom w:val="single" w:sz="2" w:space="0" w:color="000000"/>
            </w:tcBorders>
            <w:shd w:fill="auto" w:val="clear"/>
            <w:tcMar>
              <w:bottom w:w="28" w:type="dxa"/>
            </w:tcMar>
            <w:vAlign w:val="center"/>
          </w:tcPr>
          <w:p>
            <w:pPr>
              <w:pStyle w:val="TableHeading"/>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2.15</w:t>
            </w:r>
          </w:p>
        </w:tc>
        <w:tc>
          <w:tcPr>
            <w:tcW w:w="326" w:type="dxa"/>
            <w:tcBorders/>
            <w:shd w:fill="auto" w:val="clear"/>
            <w:vAlign w:val="center"/>
          </w:tcPr>
          <w:p>
            <w:pPr>
              <w:pStyle w:val="TableContents"/>
              <w:spacing w:before="0" w:after="0"/>
              <w:ind w:left="0" w:right="0" w:hanging="0"/>
              <w:rPr/>
            </w:pPr>
            <w:r>
              <w:rPr/>
              <w:t> </w:t>
            </w:r>
          </w:p>
        </w:tc>
        <w:tc>
          <w:tcPr>
            <w:tcW w:w="8798" w:type="dxa"/>
            <w:tcBorders/>
            <w:shd w:fill="auto" w:val="clear"/>
            <w:vAlign w:val="center"/>
          </w:tcPr>
          <w:p>
            <w:pPr>
              <w:pStyle w:val="TableContents"/>
              <w:spacing w:before="0" w:after="0"/>
              <w:ind w:left="0" w:right="0" w:hanging="0"/>
              <w:jc w:val="both"/>
              <w:rPr/>
            </w:pPr>
            <w:hyperlink r:id="rId16">
              <w:r>
                <w:rPr>
                  <w:rStyle w:val="InternetLink"/>
                  <w:rFonts w:ascii="Times New Roman;Times;serif" w:hAnsi="Times New Roman;Times;serif"/>
                  <w:b w:val="false"/>
                  <w:i w:val="false"/>
                  <w:caps w:val="false"/>
                  <w:smallCaps w:val="false"/>
                  <w:sz w:val="20"/>
                </w:rPr>
                <w:t>Omnibus Amendment No. 2 to Asset Purchase Agreement, dated as of December 17, 2020, by and among SBUD LLC, Medicine Man Technologies, Inc., and each signatory thereto designated as a seller (Incorporated by reference to Exhibit 2.1 to Medicine Man Technologies, Inc.’s Current Report on Form 8-K filed December 23, 2020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2.16+</w:t>
            </w:r>
          </w:p>
        </w:tc>
        <w:tc>
          <w:tcPr>
            <w:tcW w:w="326" w:type="dxa"/>
            <w:tcBorders/>
            <w:shd w:fill="auto" w:val="clear"/>
            <w:vAlign w:val="center"/>
          </w:tcPr>
          <w:p>
            <w:pPr>
              <w:pStyle w:val="TableContents"/>
              <w:spacing w:before="0" w:after="0"/>
              <w:ind w:left="0" w:right="0" w:hanging="0"/>
              <w:rPr/>
            </w:pPr>
            <w:r>
              <w:rPr/>
              <w:t> </w:t>
            </w:r>
          </w:p>
        </w:tc>
        <w:tc>
          <w:tcPr>
            <w:tcW w:w="8798" w:type="dxa"/>
            <w:tcBorders/>
            <w:shd w:fill="auto" w:val="clear"/>
            <w:vAlign w:val="center"/>
          </w:tcPr>
          <w:p>
            <w:pPr>
              <w:pStyle w:val="TableContents"/>
              <w:spacing w:before="0" w:after="0"/>
              <w:ind w:left="0" w:right="0" w:hanging="0"/>
              <w:jc w:val="both"/>
              <w:rPr/>
            </w:pPr>
            <w:hyperlink r:id="rId17">
              <w:r>
                <w:rPr>
                  <w:rStyle w:val="InternetLink"/>
                  <w:rFonts w:ascii="Times New Roman;Times;serif" w:hAnsi="Times New Roman;Times;serif"/>
                  <w:b w:val="false"/>
                  <w:i w:val="false"/>
                  <w:caps w:val="false"/>
                  <w:smallCaps w:val="false"/>
                  <w:sz w:val="20"/>
                </w:rPr>
                <w:t>Asset Purchase Agreement, dated May 27, 2021, by and among SCG Holding, LLC, Medicine Man Technologies, Inc., SCG Services, LLC, and John Sakun and Vladimir Sakun (Incorporated by reference to Exhibit 2.1 to Medicine Man Technologies, Inc.’s Current Report on Form 8-K filed June 2, 2021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2.17+</w:t>
            </w:r>
          </w:p>
        </w:tc>
        <w:tc>
          <w:tcPr>
            <w:tcW w:w="326" w:type="dxa"/>
            <w:tcBorders/>
            <w:shd w:fill="auto" w:val="clear"/>
            <w:vAlign w:val="center"/>
          </w:tcPr>
          <w:p>
            <w:pPr>
              <w:pStyle w:val="TableContents"/>
              <w:spacing w:before="0" w:after="0"/>
              <w:ind w:left="0" w:right="0" w:hanging="0"/>
              <w:rPr/>
            </w:pPr>
            <w:r>
              <w:rPr/>
              <w:t> </w:t>
            </w:r>
          </w:p>
        </w:tc>
        <w:tc>
          <w:tcPr>
            <w:tcW w:w="8798" w:type="dxa"/>
            <w:tcBorders/>
            <w:shd w:fill="auto" w:val="clear"/>
            <w:vAlign w:val="center"/>
          </w:tcPr>
          <w:p>
            <w:pPr>
              <w:pStyle w:val="TableContents"/>
              <w:spacing w:before="0" w:after="0"/>
              <w:ind w:left="0" w:right="0" w:hanging="0"/>
              <w:jc w:val="both"/>
              <w:rPr/>
            </w:pPr>
            <w:hyperlink r:id="rId18">
              <w:r>
                <w:rPr>
                  <w:rStyle w:val="InternetLink"/>
                  <w:rFonts w:ascii="Times New Roman;Times;serif" w:hAnsi="Times New Roman;Times;serif"/>
                  <w:b w:val="false"/>
                  <w:i w:val="false"/>
                  <w:caps w:val="false"/>
                  <w:smallCaps w:val="false"/>
                  <w:sz w:val="20"/>
                </w:rPr>
                <w:t>Agreement of Purchase and Sale, dated May 27, 2021, by and between SCG Holding, LLC and BWR L.L.C. (Incorporated by reference to Exhibit 2.2 to Medicine Man Technologies, Inc.’s Current Report on Form 8-K filed June 2, 2021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2.18+</w:t>
            </w:r>
          </w:p>
        </w:tc>
        <w:tc>
          <w:tcPr>
            <w:tcW w:w="326" w:type="dxa"/>
            <w:tcBorders/>
            <w:shd w:fill="auto" w:val="clear"/>
            <w:vAlign w:val="center"/>
          </w:tcPr>
          <w:p>
            <w:pPr>
              <w:pStyle w:val="TableContents"/>
              <w:spacing w:before="0" w:after="0"/>
              <w:ind w:left="0" w:right="0" w:hanging="0"/>
              <w:rPr/>
            </w:pPr>
            <w:r>
              <w:rPr/>
              <w:t> </w:t>
            </w:r>
          </w:p>
        </w:tc>
        <w:tc>
          <w:tcPr>
            <w:tcW w:w="8798" w:type="dxa"/>
            <w:tcBorders/>
            <w:shd w:fill="auto" w:val="clear"/>
            <w:vAlign w:val="center"/>
          </w:tcPr>
          <w:p>
            <w:pPr>
              <w:pStyle w:val="TableContents"/>
              <w:spacing w:before="0" w:after="0"/>
              <w:ind w:left="0" w:right="0" w:hanging="0"/>
              <w:jc w:val="both"/>
              <w:rPr/>
            </w:pPr>
            <w:hyperlink r:id="rId19">
              <w:r>
                <w:rPr>
                  <w:rStyle w:val="InternetLink"/>
                  <w:rFonts w:ascii="Times New Roman;Times;serif" w:hAnsi="Times New Roman;Times;serif"/>
                  <w:b w:val="false"/>
                  <w:i w:val="false"/>
                  <w:caps w:val="false"/>
                  <w:smallCaps w:val="false"/>
                  <w:sz w:val="20"/>
                </w:rPr>
                <w:t>Asset Purchase Agreement, dated June 25, 2021, by and among Double Brow, LLC, Medicine Man Technologies, Inc., BG3 Investments, LLC, Black Box Licensing, LLC, and Brian Searchinger (Incorporated by reference to Exhibit 2.1 to Medicine Man Technologies, Inc.’s Current Report on Form 8-K filed July 1, 2021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2.19</w:t>
            </w:r>
          </w:p>
        </w:tc>
        <w:tc>
          <w:tcPr>
            <w:tcW w:w="326" w:type="dxa"/>
            <w:tcBorders/>
            <w:shd w:fill="auto" w:val="clear"/>
            <w:vAlign w:val="center"/>
          </w:tcPr>
          <w:p>
            <w:pPr>
              <w:pStyle w:val="TableContents"/>
              <w:spacing w:before="0" w:after="0"/>
              <w:ind w:left="0" w:right="0" w:hanging="0"/>
              <w:rPr/>
            </w:pPr>
            <w:r>
              <w:rPr/>
              <w:t> </w:t>
            </w:r>
          </w:p>
        </w:tc>
        <w:tc>
          <w:tcPr>
            <w:tcW w:w="8798" w:type="dxa"/>
            <w:tcBorders/>
            <w:shd w:fill="auto" w:val="clear"/>
            <w:vAlign w:val="center"/>
          </w:tcPr>
          <w:p>
            <w:pPr>
              <w:pStyle w:val="TableContents"/>
              <w:spacing w:before="0" w:after="0"/>
              <w:ind w:left="0" w:right="0" w:hanging="0"/>
              <w:jc w:val="both"/>
              <w:rPr/>
            </w:pPr>
            <w:hyperlink r:id="rId20">
              <w:r>
                <w:rPr>
                  <w:rStyle w:val="InternetLink"/>
                  <w:rFonts w:ascii="Times New Roman;Times;serif" w:hAnsi="Times New Roman;Times;serif"/>
                  <w:b w:val="false"/>
                  <w:i w:val="false"/>
                  <w:caps w:val="false"/>
                  <w:smallCaps w:val="false"/>
                  <w:sz w:val="20"/>
                </w:rPr>
                <w:t>Amendment No. 1 to Asset Purchase Agreement, dated October 28, 2021, by and among Double Brow, LLC, Medicine Man Technologies, Inc., BG3 Investments, LLC, Black Box Licensing, LLC, and Brian Searchinger (Incorporated by reference to Exhibit 99.2 to Medicine Man Technologies, Inc.’s Current Report on Form 8-K filed January 31, 2022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2.20+</w:t>
            </w:r>
          </w:p>
        </w:tc>
        <w:tc>
          <w:tcPr>
            <w:tcW w:w="326" w:type="dxa"/>
            <w:tcBorders/>
            <w:shd w:fill="auto" w:val="clear"/>
            <w:vAlign w:val="center"/>
          </w:tcPr>
          <w:p>
            <w:pPr>
              <w:pStyle w:val="TableContents"/>
              <w:spacing w:before="0" w:after="0"/>
              <w:ind w:left="0" w:right="0" w:hanging="0"/>
              <w:rPr/>
            </w:pPr>
            <w:r>
              <w:rPr/>
              <w:t> </w:t>
            </w:r>
          </w:p>
        </w:tc>
        <w:tc>
          <w:tcPr>
            <w:tcW w:w="8798" w:type="dxa"/>
            <w:tcBorders/>
            <w:shd w:fill="auto" w:val="clear"/>
            <w:vAlign w:val="center"/>
          </w:tcPr>
          <w:p>
            <w:pPr>
              <w:pStyle w:val="TableContents"/>
              <w:spacing w:before="0" w:after="0"/>
              <w:ind w:left="0" w:right="0" w:hanging="0"/>
              <w:jc w:val="both"/>
              <w:rPr/>
            </w:pPr>
            <w:hyperlink r:id="rId21">
              <w:r>
                <w:rPr>
                  <w:rStyle w:val="InternetLink"/>
                  <w:rFonts w:ascii="Times New Roman;Times;serif" w:hAnsi="Times New Roman;Times;serif"/>
                  <w:b w:val="false"/>
                  <w:i w:val="false"/>
                  <w:caps w:val="false"/>
                  <w:smallCaps w:val="false"/>
                  <w:sz w:val="20"/>
                </w:rPr>
                <w:t>Asset Purchase Agreement, dated August 20, 2021, by and among Double Brow, LLC, Brow 2, LLC and Brian Welsh (Incorporated by reference to Exhibit 2.1 to Medicine Man Technologies, Inc.’s Current Report on Form 8-K filed August 26, 2021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2.21</w:t>
            </w:r>
          </w:p>
        </w:tc>
        <w:tc>
          <w:tcPr>
            <w:tcW w:w="326" w:type="dxa"/>
            <w:tcBorders/>
            <w:shd w:fill="auto" w:val="clear"/>
            <w:vAlign w:val="center"/>
          </w:tcPr>
          <w:p>
            <w:pPr>
              <w:pStyle w:val="TableContents"/>
              <w:spacing w:before="0" w:after="0"/>
              <w:ind w:left="0" w:right="0" w:hanging="0"/>
              <w:rPr/>
            </w:pPr>
            <w:r>
              <w:rPr/>
              <w:t> </w:t>
            </w:r>
          </w:p>
        </w:tc>
        <w:tc>
          <w:tcPr>
            <w:tcW w:w="8798" w:type="dxa"/>
            <w:tcBorders/>
            <w:shd w:fill="auto" w:val="clear"/>
            <w:vAlign w:val="center"/>
          </w:tcPr>
          <w:p>
            <w:pPr>
              <w:pStyle w:val="TableContents"/>
              <w:spacing w:before="0" w:after="0"/>
              <w:ind w:left="0" w:right="0" w:hanging="0"/>
              <w:jc w:val="both"/>
              <w:rPr/>
            </w:pPr>
            <w:hyperlink r:id="rId22">
              <w:r>
                <w:rPr>
                  <w:rStyle w:val="InternetLink"/>
                  <w:rFonts w:ascii="Times New Roman;Times;serif" w:hAnsi="Times New Roman;Times;serif"/>
                  <w:b w:val="false"/>
                  <w:i w:val="false"/>
                  <w:caps w:val="false"/>
                  <w:smallCaps w:val="false"/>
                  <w:sz w:val="20"/>
                </w:rPr>
                <w:t>Agreement and Plan of Merger, dated November 15, 2021, by and among Medicine Man Technologies, Inc., Emerald Fields Merger Sub, LLC, MCG, LLC, the Members of MCG, LLC, and Donald Douglas Burkhalter and James Gulbrandsen as Member Representatives. (Incorporated by reference to Exhibit 2.1 to Medicine Man Technologies, Inc.’s Current Report on Form 8-K filed November 16, 2021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2.22</w:t>
            </w:r>
          </w:p>
        </w:tc>
        <w:tc>
          <w:tcPr>
            <w:tcW w:w="326" w:type="dxa"/>
            <w:tcBorders/>
            <w:shd w:fill="auto" w:val="clear"/>
            <w:vAlign w:val="center"/>
          </w:tcPr>
          <w:p>
            <w:pPr>
              <w:pStyle w:val="TableContents"/>
              <w:spacing w:before="0" w:after="0"/>
              <w:ind w:left="0" w:right="0" w:hanging="0"/>
              <w:rPr/>
            </w:pPr>
            <w:r>
              <w:rPr/>
              <w:t> </w:t>
            </w:r>
          </w:p>
        </w:tc>
        <w:tc>
          <w:tcPr>
            <w:tcW w:w="8798" w:type="dxa"/>
            <w:tcBorders/>
            <w:shd w:fill="auto" w:val="clear"/>
            <w:vAlign w:val="center"/>
          </w:tcPr>
          <w:p>
            <w:pPr>
              <w:pStyle w:val="TableContents"/>
              <w:spacing w:before="0" w:after="0"/>
              <w:ind w:left="0" w:right="0" w:hanging="0"/>
              <w:jc w:val="both"/>
              <w:rPr/>
            </w:pPr>
            <w:hyperlink r:id="rId23">
              <w:r>
                <w:rPr>
                  <w:rStyle w:val="InternetLink"/>
                  <w:rFonts w:ascii="Times New Roman;Times;serif" w:hAnsi="Times New Roman;Times;serif"/>
                  <w:b w:val="false"/>
                  <w:i w:val="false"/>
                  <w:caps w:val="false"/>
                  <w:smallCaps w:val="false"/>
                  <w:sz w:val="20"/>
                </w:rPr>
                <w:t>Amendment No. 1 to Agreement and Plan of Merger, dated February 9, 2022, by and among Medicine Man Technologies, Inc., Emerald Fields Merger Sub, LLC, MCG, LLC, the Members of MCG, LLC, and Donald Douglas Burkhalter and James Gulbrandsen as Member Representatives (Incorporated by reference to Exhibit  2.2 to Medicine Man Technologies, Inc.’s Current Report on Form 8-K filed February 15, 2022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2.23</w:t>
            </w:r>
          </w:p>
        </w:tc>
        <w:tc>
          <w:tcPr>
            <w:tcW w:w="326" w:type="dxa"/>
            <w:tcBorders/>
            <w:shd w:fill="auto" w:val="clear"/>
            <w:vAlign w:val="center"/>
          </w:tcPr>
          <w:p>
            <w:pPr>
              <w:pStyle w:val="TableContents"/>
              <w:spacing w:before="0" w:after="0"/>
              <w:ind w:left="0" w:right="0" w:hanging="0"/>
              <w:rPr/>
            </w:pPr>
            <w:r>
              <w:rPr/>
              <w:t> </w:t>
            </w:r>
          </w:p>
        </w:tc>
        <w:tc>
          <w:tcPr>
            <w:tcW w:w="8798" w:type="dxa"/>
            <w:tcBorders/>
            <w:shd w:fill="auto" w:val="clear"/>
            <w:vAlign w:val="center"/>
          </w:tcPr>
          <w:p>
            <w:pPr>
              <w:pStyle w:val="TableContents"/>
              <w:spacing w:before="0" w:after="0"/>
              <w:ind w:left="0" w:right="0" w:hanging="0"/>
              <w:jc w:val="both"/>
              <w:rPr/>
            </w:pPr>
            <w:hyperlink r:id="rId24">
              <w:r>
                <w:rPr>
                  <w:rStyle w:val="InternetLink"/>
                  <w:rFonts w:ascii="Times New Roman;Times;serif" w:hAnsi="Times New Roman;Times;serif"/>
                  <w:b w:val="false"/>
                  <w:i w:val="false"/>
                  <w:caps w:val="false"/>
                  <w:smallCaps w:val="false"/>
                  <w:sz w:val="20"/>
                </w:rPr>
                <w:t>Contract to Buy and Sell Real Estate (Commercial), dated January 26, 2022, by and between Emerald Fields Merger Sub, LLC and Manitou Springs Real Estate Development, LLC (Incorporated by reference to Exhibit 2.3 to Medicine Man Technologies, Inc.’s Current Report on Form 8-K filed February 15, 2022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2.24</w:t>
            </w:r>
          </w:p>
        </w:tc>
        <w:tc>
          <w:tcPr>
            <w:tcW w:w="326" w:type="dxa"/>
            <w:tcBorders/>
            <w:shd w:fill="auto" w:val="clear"/>
            <w:vAlign w:val="center"/>
          </w:tcPr>
          <w:p>
            <w:pPr>
              <w:pStyle w:val="TableContents"/>
              <w:spacing w:before="0" w:after="0"/>
              <w:ind w:left="0" w:right="0" w:hanging="0"/>
              <w:rPr/>
            </w:pPr>
            <w:r>
              <w:rPr/>
              <w:t> </w:t>
            </w:r>
          </w:p>
        </w:tc>
        <w:tc>
          <w:tcPr>
            <w:tcW w:w="8798" w:type="dxa"/>
            <w:tcBorders/>
            <w:shd w:fill="auto" w:val="clear"/>
            <w:vAlign w:val="center"/>
          </w:tcPr>
          <w:p>
            <w:pPr>
              <w:pStyle w:val="TableContents"/>
              <w:spacing w:before="0" w:after="0"/>
              <w:ind w:left="0" w:right="0" w:hanging="0"/>
              <w:jc w:val="both"/>
              <w:rPr/>
            </w:pPr>
            <w:hyperlink r:id="rId25">
              <w:r>
                <w:rPr>
                  <w:rStyle w:val="InternetLink"/>
                  <w:rFonts w:ascii="Times New Roman;Times;serif" w:hAnsi="Times New Roman;Times;serif"/>
                  <w:b w:val="false"/>
                  <w:i w:val="false"/>
                  <w:caps w:val="false"/>
                  <w:smallCaps w:val="false"/>
                  <w:sz w:val="20"/>
                </w:rPr>
                <w:t>Rider to Contract to Buy and Sell Real Estate by and between Emerald Fields Merger Sub, LLC and Manitou Springs Real Estate Development, LLC (Incorporated by reference to Exhibit 2.4 to Medicine Man Technologies, Inc.’s Current Report on Form 8-K filed February 15, 2022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2.25</w:t>
            </w:r>
          </w:p>
        </w:tc>
        <w:tc>
          <w:tcPr>
            <w:tcW w:w="326" w:type="dxa"/>
            <w:tcBorders/>
            <w:shd w:fill="auto" w:val="clear"/>
            <w:vAlign w:val="center"/>
          </w:tcPr>
          <w:p>
            <w:pPr>
              <w:pStyle w:val="TableContents"/>
              <w:spacing w:before="0" w:after="0"/>
              <w:ind w:left="0" w:right="0" w:hanging="0"/>
              <w:rPr/>
            </w:pPr>
            <w:r>
              <w:rPr/>
              <w:t> </w:t>
            </w:r>
          </w:p>
        </w:tc>
        <w:tc>
          <w:tcPr>
            <w:tcW w:w="8798" w:type="dxa"/>
            <w:tcBorders/>
            <w:shd w:fill="auto" w:val="clear"/>
            <w:vAlign w:val="center"/>
          </w:tcPr>
          <w:p>
            <w:pPr>
              <w:pStyle w:val="TableContents"/>
              <w:spacing w:before="0" w:after="0"/>
              <w:ind w:left="0" w:right="0" w:hanging="0"/>
              <w:jc w:val="both"/>
              <w:rPr/>
            </w:pPr>
            <w:hyperlink r:id="rId26">
              <w:r>
                <w:rPr>
                  <w:rStyle w:val="InternetLink"/>
                  <w:rFonts w:ascii="Times New Roman;Times;serif" w:hAnsi="Times New Roman;Times;serif"/>
                  <w:b w:val="false"/>
                  <w:i w:val="false"/>
                  <w:caps w:val="false"/>
                  <w:smallCaps w:val="false"/>
                  <w:sz w:val="20"/>
                </w:rPr>
                <w:t>Amendment to Rider to Contract to Buy and Sell Real Estate by and between Emerald Fields Merger Sub, LLC and Manitou Springs Real Estate Development, LLC (Incorporated by reference to Exhibit 2.5 to Medicine Man Technologies, Inc.’s Current Report on Form 8-K filed February 15, 2022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2.26</w:t>
            </w:r>
          </w:p>
        </w:tc>
        <w:tc>
          <w:tcPr>
            <w:tcW w:w="326" w:type="dxa"/>
            <w:tcBorders/>
            <w:shd w:fill="auto" w:val="clear"/>
            <w:vAlign w:val="center"/>
          </w:tcPr>
          <w:p>
            <w:pPr>
              <w:pStyle w:val="TableContents"/>
              <w:spacing w:before="0" w:after="0"/>
              <w:ind w:left="0" w:right="0" w:hanging="0"/>
              <w:rPr/>
            </w:pPr>
            <w:r>
              <w:rPr/>
              <w:t> </w:t>
            </w:r>
          </w:p>
        </w:tc>
        <w:tc>
          <w:tcPr>
            <w:tcW w:w="8798" w:type="dxa"/>
            <w:tcBorders/>
            <w:shd w:fill="auto" w:val="clear"/>
            <w:vAlign w:val="center"/>
          </w:tcPr>
          <w:p>
            <w:pPr>
              <w:pStyle w:val="TableContents"/>
              <w:spacing w:before="0" w:after="0"/>
              <w:ind w:left="0" w:right="0" w:hanging="0"/>
              <w:jc w:val="both"/>
              <w:rPr/>
            </w:pPr>
            <w:hyperlink r:id="rId27">
              <w:r>
                <w:rPr>
                  <w:rStyle w:val="InternetLink"/>
                  <w:rFonts w:ascii="Times New Roman;Times;serif" w:hAnsi="Times New Roman;Times;serif"/>
                  <w:b w:val="false"/>
                  <w:i w:val="false"/>
                  <w:caps w:val="false"/>
                  <w:smallCaps w:val="false"/>
                  <w:sz w:val="20"/>
                </w:rPr>
                <w:t>Second Amendment to Rider to Contract to Buy and Sell Real Estate by and between Emerald Fields Merger Sub, LLC and Manitou Springs Real Estate Development, LLC (Incorporated by reference to Exhibit 2.6 to Medicine Man Technologies, Inc.’s Current Report on Form 8-K filed February 15, 2022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2.27</w:t>
            </w:r>
          </w:p>
        </w:tc>
        <w:tc>
          <w:tcPr>
            <w:tcW w:w="326" w:type="dxa"/>
            <w:tcBorders/>
            <w:shd w:fill="auto" w:val="clear"/>
            <w:vAlign w:val="center"/>
          </w:tcPr>
          <w:p>
            <w:pPr>
              <w:pStyle w:val="TableContents"/>
              <w:spacing w:before="0" w:after="0"/>
              <w:ind w:left="0" w:right="0" w:hanging="0"/>
              <w:rPr/>
            </w:pPr>
            <w:r>
              <w:rPr/>
              <w:t>​</w:t>
            </w:r>
          </w:p>
        </w:tc>
        <w:tc>
          <w:tcPr>
            <w:tcW w:w="8798" w:type="dxa"/>
            <w:tcBorders/>
            <w:shd w:fill="auto" w:val="clear"/>
            <w:vAlign w:val="center"/>
          </w:tcPr>
          <w:p>
            <w:pPr>
              <w:pStyle w:val="TableContents"/>
              <w:spacing w:before="0" w:after="0"/>
              <w:ind w:left="0" w:right="0" w:hanging="0"/>
              <w:jc w:val="both"/>
              <w:rPr/>
            </w:pPr>
            <w:hyperlink r:id="rId28">
              <w:r>
                <w:rPr>
                  <w:rStyle w:val="InternetLink"/>
                  <w:rFonts w:ascii="Times New Roman;Times;serif" w:hAnsi="Times New Roman;Times;serif"/>
                  <w:b w:val="false"/>
                  <w:i w:val="false"/>
                  <w:caps w:val="false"/>
                  <w:smallCaps w:val="false"/>
                  <w:sz w:val="20"/>
                </w:rPr>
                <w:t>Bill of Sale and Assignment and Assumption Agreement, dated February 9, 2022, by and between Emerald Fields Merger Sub, LLC and 1508 Management, LLC (Incorporated by reference to Exhibit 2.7 to Medicine Man Technologies, Inc.’s Current Report on Form 8-K filed February 15, 2022 (Commission File No. 000-55450))</w:t>
              </w:r>
            </w:hyperlink>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1081"/>
        <w:gridCol w:w="326"/>
        <w:gridCol w:w="8798"/>
      </w:tblGrid>
      <w:tr>
        <w:trPr/>
        <w:tc>
          <w:tcPr>
            <w:tcW w:w="1081" w:type="dxa"/>
            <w:tcBorders/>
            <w:shd w:fill="auto" w:val="clear"/>
            <w:vAlign w:val="center"/>
          </w:tcPr>
          <w:p>
            <w:pPr>
              <w:pStyle w:val="TableHeading"/>
              <w:spacing w:before="0" w:after="283"/>
              <w:ind w:left="0" w:right="0" w:hanging="0"/>
              <w:rPr>
                <w:sz w:val="4"/>
                <w:szCs w:val="4"/>
              </w:rPr>
            </w:pPr>
            <w:r>
              <w:rPr>
                <w:sz w:val="4"/>
                <w:szCs w:val="4"/>
              </w:rPr>
            </w:r>
          </w:p>
        </w:tc>
        <w:tc>
          <w:tcPr>
            <w:tcW w:w="326" w:type="dxa"/>
            <w:tcBorders/>
            <w:shd w:fill="auto" w:val="clear"/>
            <w:vAlign w:val="center"/>
          </w:tcPr>
          <w:p>
            <w:pPr>
              <w:pStyle w:val="TableHeading"/>
              <w:spacing w:before="0" w:after="283"/>
              <w:ind w:left="0" w:right="0" w:hanging="0"/>
              <w:rPr>
                <w:sz w:val="4"/>
                <w:szCs w:val="4"/>
              </w:rPr>
            </w:pPr>
            <w:r>
              <w:rPr>
                <w:sz w:val="4"/>
                <w:szCs w:val="4"/>
              </w:rPr>
            </w:r>
          </w:p>
        </w:tc>
        <w:tc>
          <w:tcPr>
            <w:tcW w:w="8798" w:type="dxa"/>
            <w:tcBorders/>
            <w:shd w:fill="auto" w:val="clear"/>
            <w:vAlign w:val="center"/>
          </w:tcPr>
          <w:p>
            <w:pPr>
              <w:pStyle w:val="TableHeading"/>
              <w:spacing w:before="0" w:after="283"/>
              <w:ind w:left="0" w:right="0" w:hanging="0"/>
              <w:rPr>
                <w:sz w:val="4"/>
                <w:szCs w:val="4"/>
              </w:rPr>
            </w:pPr>
            <w:r>
              <w:rPr>
                <w:sz w:val="4"/>
                <w:szCs w:val="4"/>
              </w:rPr>
            </w:r>
          </w:p>
        </w:tc>
      </w:tr>
      <w:tr>
        <w:trPr/>
        <w:tc>
          <w:tcPr>
            <w:tcW w:w="1081" w:type="dxa"/>
            <w:tcBorders>
              <w:bottom w:val="single" w:sz="2" w:space="0" w:color="000000"/>
            </w:tcBorders>
            <w:shd w:fill="auto" w:val="clear"/>
            <w:tcMar>
              <w:bottom w:w="28" w:type="dxa"/>
            </w:tcMar>
            <w:vAlign w:val="center"/>
          </w:tcPr>
          <w:p>
            <w:pPr>
              <w:pStyle w:val="TableHeading"/>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No.</w:t>
            </w:r>
          </w:p>
        </w:tc>
        <w:tc>
          <w:tcPr>
            <w:tcW w:w="326" w:type="dxa"/>
            <w:tcBorders/>
            <w:shd w:fill="auto" w:val="clear"/>
            <w:vAlign w:val="center"/>
          </w:tcPr>
          <w:p>
            <w:pPr>
              <w:pStyle w:val="TableHeading"/>
              <w:spacing w:before="0" w:after="0"/>
              <w:ind w:left="0" w:right="0" w:hanging="0"/>
              <w:jc w:val="left"/>
              <w:rPr/>
            </w:pPr>
            <w:r>
              <w:rPr/>
              <w:t>    </w:t>
            </w:r>
          </w:p>
        </w:tc>
        <w:tc>
          <w:tcPr>
            <w:tcW w:w="8798" w:type="dxa"/>
            <w:tcBorders>
              <w:bottom w:val="single" w:sz="2" w:space="0" w:color="000000"/>
            </w:tcBorders>
            <w:shd w:fill="auto" w:val="clear"/>
            <w:tcMar>
              <w:bottom w:w="28" w:type="dxa"/>
            </w:tcMar>
            <w:vAlign w:val="center"/>
          </w:tcPr>
          <w:p>
            <w:pPr>
              <w:pStyle w:val="TableHeading"/>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2.28</w:t>
            </w:r>
          </w:p>
        </w:tc>
        <w:tc>
          <w:tcPr>
            <w:tcW w:w="326" w:type="dxa"/>
            <w:tcBorders/>
            <w:shd w:fill="auto" w:val="clear"/>
            <w:vAlign w:val="center"/>
          </w:tcPr>
          <w:p>
            <w:pPr>
              <w:pStyle w:val="TableContents"/>
              <w:spacing w:before="0" w:after="0"/>
              <w:ind w:left="0" w:right="0" w:hanging="0"/>
              <w:rPr/>
            </w:pPr>
            <w:r>
              <w:rPr/>
              <w:t> </w:t>
            </w:r>
          </w:p>
        </w:tc>
        <w:tc>
          <w:tcPr>
            <w:tcW w:w="8798" w:type="dxa"/>
            <w:tcBorders/>
            <w:shd w:fill="auto" w:val="clear"/>
            <w:vAlign w:val="center"/>
          </w:tcPr>
          <w:p>
            <w:pPr>
              <w:pStyle w:val="TableContents"/>
              <w:spacing w:before="0" w:after="0"/>
              <w:ind w:left="0" w:right="0" w:hanging="0"/>
              <w:jc w:val="both"/>
              <w:rPr/>
            </w:pPr>
            <w:hyperlink r:id="rId29">
              <w:r>
                <w:rPr>
                  <w:rStyle w:val="InternetLink"/>
                  <w:rFonts w:ascii="Times New Roman;Times;serif" w:hAnsi="Times New Roman;Times;serif"/>
                  <w:b w:val="false"/>
                  <w:i w:val="false"/>
                  <w:caps w:val="false"/>
                  <w:smallCaps w:val="false"/>
                  <w:sz w:val="20"/>
                </w:rPr>
                <w:t>Asset Purchase Agreement, dated November 13, 2021, by and among Double Brow, LLC, Smoking Gun, LLC, Smoking Gun Land Company, LLC, and the Members defined therein (Incorporated by reference to Exhibit 2.29 to Medicine Man Technologies, Inc.’s Annual Report on Form 10-K filed March 31, 2022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2.29</w:t>
            </w:r>
          </w:p>
        </w:tc>
        <w:tc>
          <w:tcPr>
            <w:tcW w:w="326" w:type="dxa"/>
            <w:tcBorders/>
            <w:shd w:fill="auto" w:val="clear"/>
            <w:vAlign w:val="center"/>
          </w:tcPr>
          <w:p>
            <w:pPr>
              <w:pStyle w:val="TableContents"/>
              <w:spacing w:before="0" w:after="0"/>
              <w:ind w:left="0" w:right="0" w:hanging="0"/>
              <w:rPr/>
            </w:pPr>
            <w:r>
              <w:rPr/>
              <w:t> </w:t>
            </w:r>
          </w:p>
        </w:tc>
        <w:tc>
          <w:tcPr>
            <w:tcW w:w="8798" w:type="dxa"/>
            <w:tcBorders/>
            <w:shd w:fill="auto" w:val="clear"/>
            <w:vAlign w:val="center"/>
          </w:tcPr>
          <w:p>
            <w:pPr>
              <w:pStyle w:val="TableContents"/>
              <w:spacing w:before="0" w:after="0"/>
              <w:ind w:left="0" w:right="0" w:hanging="0"/>
              <w:jc w:val="both"/>
              <w:rPr/>
            </w:pPr>
            <w:hyperlink r:id="rId30">
              <w:r>
                <w:rPr>
                  <w:rStyle w:val="InternetLink"/>
                  <w:rFonts w:ascii="Times New Roman;Times;serif" w:hAnsi="Times New Roman;Times;serif"/>
                  <w:b w:val="false"/>
                  <w:i w:val="false"/>
                  <w:caps w:val="false"/>
                  <w:smallCaps w:val="false"/>
                  <w:sz w:val="20"/>
                </w:rPr>
                <w:t>Purchase Agreement, dated November 29, 2021, by and among Medicine Man Technologies, Inc., Nuevo Holding, LLC, Nuevo Elemental Holding, LLC, Reynold Greenleaf &amp; Associates, LLC, William N. Ford, Elemental Kitchen and Labs, LLC and the Equityholders Named Therein (Incorporated by reference to Exhibit 2.1 to Medicine Man Technologies, Inc.’s Current Report on Form 8-K filed December 3, 2021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2.30 +</w:t>
            </w:r>
          </w:p>
        </w:tc>
        <w:tc>
          <w:tcPr>
            <w:tcW w:w="326" w:type="dxa"/>
            <w:tcBorders/>
            <w:shd w:fill="auto" w:val="clear"/>
            <w:vAlign w:val="center"/>
          </w:tcPr>
          <w:p>
            <w:pPr>
              <w:pStyle w:val="TableContents"/>
              <w:spacing w:before="0" w:after="0"/>
              <w:ind w:left="0" w:right="0" w:hanging="0"/>
              <w:rPr/>
            </w:pPr>
            <w:r>
              <w:rPr/>
              <w:t> </w:t>
            </w:r>
          </w:p>
        </w:tc>
        <w:tc>
          <w:tcPr>
            <w:tcW w:w="8798" w:type="dxa"/>
            <w:tcBorders/>
            <w:shd w:fill="auto" w:val="clear"/>
            <w:vAlign w:val="center"/>
          </w:tcPr>
          <w:p>
            <w:pPr>
              <w:pStyle w:val="TableContents"/>
              <w:spacing w:before="0" w:after="0"/>
              <w:ind w:left="0" w:right="0" w:hanging="0"/>
              <w:jc w:val="both"/>
              <w:rPr/>
            </w:pPr>
            <w:hyperlink r:id="rId31">
              <w:r>
                <w:rPr>
                  <w:rStyle w:val="InternetLink"/>
                  <w:rFonts w:ascii="Times New Roman;Times;serif" w:hAnsi="Times New Roman;Times;serif"/>
                  <w:b w:val="false"/>
                  <w:i w:val="false"/>
                  <w:caps w:val="false"/>
                  <w:smallCaps w:val="false"/>
                  <w:sz w:val="20"/>
                </w:rPr>
                <w:t>Modification Agreement, dated February 8, 2022, by and among Medicine Man Technologies, Inc., Nuevo Holding, LLC, Nuevo Elemental Holding, LLC and William N. Ford in his capacity as Representative under the Purchase Agreement, dated November 29, 2021 (Incorporated by reference to Exhibit 2.2 to Medicine Man Technologies, Inc.’s Current Report on Form 8-K filed February 14, 2022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2.31</w:t>
            </w:r>
          </w:p>
        </w:tc>
        <w:tc>
          <w:tcPr>
            <w:tcW w:w="326" w:type="dxa"/>
            <w:tcBorders/>
            <w:shd w:fill="auto" w:val="clear"/>
            <w:vAlign w:val="center"/>
          </w:tcPr>
          <w:p>
            <w:pPr>
              <w:pStyle w:val="TableContents"/>
              <w:spacing w:before="0" w:after="0"/>
              <w:ind w:left="0" w:right="0" w:hanging="0"/>
              <w:rPr/>
            </w:pPr>
            <w:r>
              <w:rPr/>
              <w:t> </w:t>
            </w:r>
          </w:p>
        </w:tc>
        <w:tc>
          <w:tcPr>
            <w:tcW w:w="8798" w:type="dxa"/>
            <w:tcBorders/>
            <w:shd w:fill="auto" w:val="clear"/>
            <w:vAlign w:val="center"/>
          </w:tcPr>
          <w:p>
            <w:pPr>
              <w:pStyle w:val="TableContents"/>
              <w:spacing w:before="0" w:after="0"/>
              <w:ind w:left="0" w:right="0" w:hanging="0"/>
              <w:jc w:val="both"/>
              <w:rPr/>
            </w:pPr>
            <w:hyperlink r:id="rId32">
              <w:r>
                <w:rPr>
                  <w:rStyle w:val="InternetLink"/>
                  <w:rFonts w:ascii="Times New Roman;Times;serif" w:hAnsi="Times New Roman;Times;serif"/>
                  <w:b w:val="false"/>
                  <w:i w:val="false"/>
                  <w:caps w:val="false"/>
                  <w:smallCaps w:val="false"/>
                  <w:sz w:val="20"/>
                </w:rPr>
                <w:t>Call Option Agreement, dated February 8, 2022, by and between Nuevo Holding, LLC and R. Greenleaf Organics, Inc. (Incorporated by reference to Exhibit 2.3 to Medicine Man Technologies, Inc.’s Current Report on Form 8-K filed February 14, 2022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2.32</w:t>
            </w:r>
          </w:p>
        </w:tc>
        <w:tc>
          <w:tcPr>
            <w:tcW w:w="326" w:type="dxa"/>
            <w:tcBorders/>
            <w:shd w:fill="auto" w:val="clear"/>
            <w:vAlign w:val="center"/>
          </w:tcPr>
          <w:p>
            <w:pPr>
              <w:pStyle w:val="TableContents"/>
              <w:spacing w:before="0" w:after="0"/>
              <w:ind w:left="0" w:right="0" w:hanging="0"/>
              <w:rPr/>
            </w:pPr>
            <w:r>
              <w:rPr/>
              <w:t>​</w:t>
            </w:r>
          </w:p>
        </w:tc>
        <w:tc>
          <w:tcPr>
            <w:tcW w:w="8798" w:type="dxa"/>
            <w:tcBorders/>
            <w:shd w:fill="auto" w:val="clear"/>
            <w:vAlign w:val="center"/>
          </w:tcPr>
          <w:p>
            <w:pPr>
              <w:pStyle w:val="TableContents"/>
              <w:spacing w:before="0" w:after="0"/>
              <w:ind w:left="0" w:right="0" w:hanging="0"/>
              <w:jc w:val="both"/>
              <w:rPr/>
            </w:pPr>
            <w:r>
              <w:rPr>
                <w:rFonts w:ascii="Times New Roman;Times;serif" w:hAnsi="Times New Roman;Times;serif"/>
                <w:sz w:val="20"/>
              </w:rPr>
              <w:t>Call Option Agreement, dated February 8, 2022, by and between Nuevo Holding, LLC and Medzen Services, Inc. (</w:t>
            </w:r>
            <w:hyperlink r:id="rId33">
              <w:r>
                <w:rPr>
                  <w:rStyle w:val="InternetLink"/>
                  <w:rFonts w:ascii="Times New Roman;Times;serif" w:hAnsi="Times New Roman;Times;serif"/>
                  <w:b w:val="false"/>
                  <w:i w:val="false"/>
                  <w:caps w:val="false"/>
                  <w:smallCaps w:val="false"/>
                  <w:sz w:val="20"/>
                </w:rPr>
                <w:t>Incorporated by reference to Exhibit 2.4 to Medicine Man Technologies, Inc.’s Current Report on Form 8-K filed February 14, 2022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2.33</w:t>
            </w:r>
          </w:p>
        </w:tc>
        <w:tc>
          <w:tcPr>
            <w:tcW w:w="326" w:type="dxa"/>
            <w:tcBorders/>
            <w:shd w:fill="auto" w:val="clear"/>
            <w:vAlign w:val="center"/>
          </w:tcPr>
          <w:p>
            <w:pPr>
              <w:pStyle w:val="TableContents"/>
              <w:spacing w:before="0" w:after="0"/>
              <w:ind w:left="0" w:right="0" w:hanging="0"/>
              <w:rPr/>
            </w:pPr>
            <w:r>
              <w:rPr/>
              <w:t>​</w:t>
            </w:r>
          </w:p>
        </w:tc>
        <w:tc>
          <w:tcPr>
            <w:tcW w:w="8798" w:type="dxa"/>
            <w:tcBorders/>
            <w:shd w:fill="auto" w:val="clear"/>
            <w:vAlign w:val="center"/>
          </w:tcPr>
          <w:p>
            <w:pPr>
              <w:pStyle w:val="TableContents"/>
              <w:spacing w:before="0" w:after="0"/>
              <w:ind w:left="0" w:right="0" w:hanging="0"/>
              <w:jc w:val="both"/>
              <w:rPr/>
            </w:pPr>
            <w:hyperlink r:id="rId34">
              <w:r>
                <w:rPr>
                  <w:rStyle w:val="InternetLink"/>
                  <w:rFonts w:ascii="Times New Roman;Times;serif" w:hAnsi="Times New Roman;Times;serif"/>
                  <w:b w:val="false"/>
                  <w:i w:val="false"/>
                  <w:caps w:val="false"/>
                  <w:smallCaps w:val="false"/>
                  <w:sz w:val="20"/>
                  <w:highlight w:val="white"/>
                </w:rPr>
                <w:t>Asset Purchase Agreement, dated September 9, 2022, by and among Medicine Man Technologies, Inc., Double Brow, LLC, Lightshade Labs LLC, Thomas Van Alsburg, Steve Brooks, and John Fritzel</w:t>
              </w:r>
            </w:hyperlink>
            <w:hyperlink r:id="rId35">
              <w:r>
                <w:rPr>
                  <w:rStyle w:val="InternetLink"/>
                  <w:rFonts w:ascii="Times New Roman;Times;serif" w:hAnsi="Times New Roman;Times;serif"/>
                  <w:caps w:val="false"/>
                  <w:smallCaps w:val="false"/>
                  <w:sz w:val="20"/>
                </w:rPr>
                <w:t xml:space="preserve"> </w:t>
              </w:r>
            </w:hyperlink>
            <w:hyperlink r:id="rId36">
              <w:r>
                <w:rPr>
                  <w:rStyle w:val="InternetLink"/>
                  <w:rFonts w:ascii="Times New Roman;Times;serif" w:hAnsi="Times New Roman;Times;serif"/>
                  <w:b w:val="false"/>
                  <w:i w:val="false"/>
                  <w:caps w:val="false"/>
                  <w:smallCaps w:val="false"/>
                  <w:sz w:val="20"/>
                </w:rPr>
                <w:t>(Incorporated by reference to Exhibit 2.1 to Medicine Man Technologies Inc.’s Quarterly Report on Form 10-Q filed September 30, 2022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2.34 **</w:t>
            </w:r>
          </w:p>
        </w:tc>
        <w:tc>
          <w:tcPr>
            <w:tcW w:w="326" w:type="dxa"/>
            <w:tcBorders/>
            <w:shd w:fill="auto" w:val="clear"/>
            <w:vAlign w:val="center"/>
          </w:tcPr>
          <w:p>
            <w:pPr>
              <w:pStyle w:val="TableContents"/>
              <w:spacing w:before="0" w:after="0"/>
              <w:ind w:left="0" w:right="0" w:hanging="0"/>
              <w:rPr/>
            </w:pPr>
            <w:r>
              <w:rPr/>
              <w:t>​</w:t>
            </w:r>
          </w:p>
        </w:tc>
        <w:tc>
          <w:tcPr>
            <w:tcW w:w="8798" w:type="dxa"/>
            <w:tcBorders/>
            <w:shd w:fill="auto" w:val="clear"/>
            <w:vAlign w:val="center"/>
          </w:tcPr>
          <w:p>
            <w:pPr>
              <w:pStyle w:val="TableContents"/>
              <w:spacing w:before="0" w:after="0"/>
              <w:ind w:left="0" w:right="0" w:hanging="0"/>
              <w:jc w:val="both"/>
              <w:rPr/>
            </w:pPr>
            <w:hyperlink w:anchor="shwz-20221231xex2d34.htm">
              <w:r>
                <w:rPr>
                  <w:rStyle w:val="InternetLink"/>
                  <w:rFonts w:ascii="Times New Roman;Times;serif" w:hAnsi="Times New Roman;Times;serif"/>
                  <w:b w:val="false"/>
                  <w:i w:val="false"/>
                  <w:caps w:val="false"/>
                  <w:smallCaps w:val="false"/>
                  <w:sz w:val="20"/>
                </w:rPr>
                <w:t>First Amendment to Asset Purchase Agreement, dated December 15, 2022, by and among by and among Medicine Man Technologies, Inc., Double Brow, LLC, Lightshade Labs LLC, Thomas Van Alsburg, Steve Brooks, and John Fritzel</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2.35</w:t>
            </w:r>
          </w:p>
        </w:tc>
        <w:tc>
          <w:tcPr>
            <w:tcW w:w="326" w:type="dxa"/>
            <w:tcBorders/>
            <w:shd w:fill="auto" w:val="clear"/>
            <w:vAlign w:val="center"/>
          </w:tcPr>
          <w:p>
            <w:pPr>
              <w:pStyle w:val="TableContents"/>
              <w:spacing w:before="0" w:after="0"/>
              <w:ind w:left="0" w:right="0" w:hanging="0"/>
              <w:rPr/>
            </w:pPr>
            <w:r>
              <w:rPr/>
              <w:t>​</w:t>
            </w:r>
          </w:p>
        </w:tc>
        <w:tc>
          <w:tcPr>
            <w:tcW w:w="8798" w:type="dxa"/>
            <w:tcBorders/>
            <w:shd w:fill="auto" w:val="clear"/>
            <w:vAlign w:val="center"/>
          </w:tcPr>
          <w:p>
            <w:pPr>
              <w:pStyle w:val="TableContents"/>
              <w:spacing w:before="0" w:after="0"/>
              <w:ind w:left="0" w:right="0" w:hanging="0"/>
              <w:jc w:val="both"/>
              <w:rPr/>
            </w:pPr>
            <w:hyperlink r:id="rId37">
              <w:r>
                <w:rPr>
                  <w:rStyle w:val="InternetLink"/>
                  <w:rFonts w:ascii="Times New Roman;Times;serif" w:hAnsi="Times New Roman;Times;serif"/>
                  <w:b w:val="false"/>
                  <w:i w:val="false"/>
                  <w:caps w:val="false"/>
                  <w:smallCaps w:val="false"/>
                  <w:sz w:val="20"/>
                  <w:highlight w:val="white"/>
                </w:rPr>
                <w:t>Asset Purchase Agreement, dated September 9, 2022, by and among Medicine Man Technologies, Inc., Double Brow, LLC, Lightshade Labs LLC, Thomas Van Alsburg, Steve Brooks, and John Fritzel</w:t>
              </w:r>
            </w:hyperlink>
            <w:hyperlink r:id="rId38">
              <w:r>
                <w:rPr>
                  <w:rStyle w:val="InternetLink"/>
                  <w:rFonts w:ascii="Times New Roman;Times;serif" w:hAnsi="Times New Roman;Times;serif"/>
                  <w:caps w:val="false"/>
                  <w:smallCaps w:val="false"/>
                  <w:sz w:val="20"/>
                </w:rPr>
                <w:t xml:space="preserve"> </w:t>
              </w:r>
            </w:hyperlink>
            <w:hyperlink r:id="rId39">
              <w:r>
                <w:rPr>
                  <w:rStyle w:val="InternetLink"/>
                  <w:rFonts w:ascii="Times New Roman;Times;serif" w:hAnsi="Times New Roman;Times;serif"/>
                  <w:b w:val="false"/>
                  <w:i w:val="false"/>
                  <w:caps w:val="false"/>
                  <w:smallCaps w:val="false"/>
                  <w:sz w:val="20"/>
                </w:rPr>
                <w:t>(Incorporated by reference to Exhibit 2.2 to Medicine Man Technologies Inc.’s Quarterly Report on Form 10-Q filed September 30, 2022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2.36 **</w:t>
            </w:r>
          </w:p>
        </w:tc>
        <w:tc>
          <w:tcPr>
            <w:tcW w:w="326" w:type="dxa"/>
            <w:tcBorders/>
            <w:shd w:fill="auto" w:val="clear"/>
            <w:vAlign w:val="center"/>
          </w:tcPr>
          <w:p>
            <w:pPr>
              <w:pStyle w:val="TableContents"/>
              <w:spacing w:before="0" w:after="0"/>
              <w:ind w:left="0" w:right="0" w:hanging="0"/>
              <w:rPr/>
            </w:pPr>
            <w:r>
              <w:rPr/>
              <w:t>​</w:t>
            </w:r>
          </w:p>
        </w:tc>
        <w:tc>
          <w:tcPr>
            <w:tcW w:w="8798" w:type="dxa"/>
            <w:tcBorders/>
            <w:shd w:fill="auto" w:val="clear"/>
            <w:vAlign w:val="center"/>
          </w:tcPr>
          <w:p>
            <w:pPr>
              <w:pStyle w:val="TableContents"/>
              <w:spacing w:before="0" w:after="0"/>
              <w:ind w:left="0" w:right="0" w:hanging="0"/>
              <w:jc w:val="both"/>
              <w:rPr/>
            </w:pPr>
            <w:hyperlink w:anchor="shwz-20221231xex2d36.htm">
              <w:r>
                <w:rPr>
                  <w:rStyle w:val="InternetLink"/>
                  <w:rFonts w:ascii="Times New Roman;Times;serif" w:hAnsi="Times New Roman;Times;serif"/>
                  <w:b w:val="false"/>
                  <w:i w:val="false"/>
                  <w:caps w:val="false"/>
                  <w:smallCaps w:val="false"/>
                  <w:sz w:val="20"/>
                </w:rPr>
                <w:t>First Amendment to Asset Purchase Agreement, dated December 15, 2022, by and among by and among Medicine Man Technologies, Inc., Double Brow, LLC, Lightshade Labs LLC, Thomas Van Alsburg, Steve Brooks, and John Fritzel</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3.1</w:t>
            </w:r>
          </w:p>
        </w:tc>
        <w:tc>
          <w:tcPr>
            <w:tcW w:w="326" w:type="dxa"/>
            <w:tcBorders/>
            <w:shd w:fill="auto" w:val="clear"/>
            <w:vAlign w:val="center"/>
          </w:tcPr>
          <w:p>
            <w:pPr>
              <w:pStyle w:val="TableContents"/>
              <w:spacing w:before="0" w:after="0"/>
              <w:ind w:left="0" w:right="0" w:hanging="0"/>
              <w:rPr/>
            </w:pPr>
            <w:r>
              <w:rPr/>
              <w:t> </w:t>
            </w:r>
          </w:p>
        </w:tc>
        <w:tc>
          <w:tcPr>
            <w:tcW w:w="8798" w:type="dxa"/>
            <w:tcBorders/>
            <w:shd w:fill="auto" w:val="clear"/>
            <w:vAlign w:val="center"/>
          </w:tcPr>
          <w:p>
            <w:pPr>
              <w:pStyle w:val="TableContents"/>
              <w:spacing w:before="0" w:after="0"/>
              <w:ind w:left="0" w:right="0" w:hanging="0"/>
              <w:jc w:val="both"/>
              <w:rPr/>
            </w:pPr>
            <w:hyperlink r:id="rId40">
              <w:r>
                <w:rPr>
                  <w:rStyle w:val="InternetLink"/>
                  <w:rFonts w:ascii="Times New Roman;Times;serif" w:hAnsi="Times New Roman;Times;serif"/>
                  <w:b w:val="false"/>
                  <w:i w:val="false"/>
                  <w:caps w:val="false"/>
                  <w:smallCaps w:val="false"/>
                  <w:sz w:val="20"/>
                </w:rPr>
                <w:t>Complete Articles of Incorporation together with all Certificates of Amendment and the Certificate of Designation of Series A Cumulative Convertible Preferred Stock, as amended (Incorporated by reference to Exhibit 3.6 to Medicine Man Technologies, Inc.’s Annual Report on Form 10-K filed March 31, 2021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3.2</w:t>
            </w:r>
          </w:p>
        </w:tc>
        <w:tc>
          <w:tcPr>
            <w:tcW w:w="326" w:type="dxa"/>
            <w:tcBorders/>
            <w:shd w:fill="auto" w:val="clear"/>
            <w:vAlign w:val="center"/>
          </w:tcPr>
          <w:p>
            <w:pPr>
              <w:pStyle w:val="TableContents"/>
              <w:spacing w:before="0" w:after="0"/>
              <w:ind w:left="0" w:right="0" w:hanging="0"/>
              <w:rPr/>
            </w:pPr>
            <w:r>
              <w:rPr/>
              <w:t> </w:t>
            </w:r>
          </w:p>
        </w:tc>
        <w:tc>
          <w:tcPr>
            <w:tcW w:w="8798" w:type="dxa"/>
            <w:tcBorders/>
            <w:shd w:fill="auto" w:val="clear"/>
            <w:vAlign w:val="center"/>
          </w:tcPr>
          <w:p>
            <w:pPr>
              <w:pStyle w:val="TableContents"/>
              <w:spacing w:before="0" w:after="0"/>
              <w:ind w:left="0" w:right="0" w:hanging="0"/>
              <w:jc w:val="both"/>
              <w:rPr/>
            </w:pPr>
            <w:hyperlink r:id="rId41">
              <w:r>
                <w:rPr>
                  <w:rStyle w:val="InternetLink"/>
                  <w:rFonts w:ascii="Times New Roman;Times;serif" w:hAnsi="Times New Roman;Times;serif"/>
                  <w:b w:val="false"/>
                  <w:i w:val="false"/>
                  <w:caps w:val="false"/>
                  <w:smallCaps w:val="false"/>
                  <w:sz w:val="20"/>
                </w:rPr>
                <w:t>Amended and Restated Bylaws of Medicine Man Technologies, Inc. (Incorporated by reference to Exhibit 3.1 to Medicine Man Technologies, Inc.’s Current Report on Form 8-K filed December 11, 2019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w:t>
            </w:r>
          </w:p>
        </w:tc>
        <w:tc>
          <w:tcPr>
            <w:tcW w:w="326" w:type="dxa"/>
            <w:tcBorders/>
            <w:shd w:fill="auto" w:val="clear"/>
            <w:vAlign w:val="center"/>
          </w:tcPr>
          <w:p>
            <w:pPr>
              <w:pStyle w:val="TableContents"/>
              <w:spacing w:before="0" w:after="0"/>
              <w:ind w:left="0" w:right="0" w:hanging="0"/>
              <w:rPr/>
            </w:pPr>
            <w:r>
              <w:rPr/>
              <w:t> </w:t>
            </w:r>
          </w:p>
        </w:tc>
        <w:tc>
          <w:tcPr>
            <w:tcW w:w="8798" w:type="dxa"/>
            <w:tcBorders/>
            <w:shd w:fill="auto" w:val="clear"/>
            <w:vAlign w:val="center"/>
          </w:tcPr>
          <w:p>
            <w:pPr>
              <w:pStyle w:val="TableContents"/>
              <w:spacing w:before="0" w:after="0"/>
              <w:ind w:left="0" w:right="0" w:hanging="0"/>
              <w:jc w:val="both"/>
              <w:rPr/>
            </w:pPr>
            <w:hyperlink w:anchor="shwz-20221231xex4d1.htm">
              <w:r>
                <w:rPr>
                  <w:rStyle w:val="InternetLink"/>
                  <w:rFonts w:ascii="Times New Roman;Times;serif" w:hAnsi="Times New Roman;Times;serif"/>
                  <w:b w:val="false"/>
                  <w:i w:val="false"/>
                  <w:caps w:val="false"/>
                  <w:smallCaps w:val="false"/>
                  <w:sz w:val="20"/>
                </w:rPr>
                <w:t>Description of Capital Stock of Medicine Man Technologies, Inc.</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4.2</w:t>
            </w:r>
          </w:p>
        </w:tc>
        <w:tc>
          <w:tcPr>
            <w:tcW w:w="326" w:type="dxa"/>
            <w:tcBorders/>
            <w:shd w:fill="auto" w:val="clear"/>
            <w:vAlign w:val="center"/>
          </w:tcPr>
          <w:p>
            <w:pPr>
              <w:pStyle w:val="TableContents"/>
              <w:spacing w:before="0" w:after="0"/>
              <w:ind w:left="0" w:right="0" w:hanging="0"/>
              <w:rPr/>
            </w:pPr>
            <w:r>
              <w:rPr/>
              <w:t> </w:t>
            </w:r>
          </w:p>
        </w:tc>
        <w:tc>
          <w:tcPr>
            <w:tcW w:w="8798" w:type="dxa"/>
            <w:tcBorders/>
            <w:shd w:fill="auto" w:val="clear"/>
            <w:vAlign w:val="center"/>
          </w:tcPr>
          <w:p>
            <w:pPr>
              <w:pStyle w:val="TableContents"/>
              <w:spacing w:before="0" w:after="0"/>
              <w:ind w:left="0" w:right="0" w:hanging="0"/>
              <w:jc w:val="both"/>
              <w:rPr/>
            </w:pPr>
            <w:hyperlink r:id="rId42">
              <w:r>
                <w:rPr>
                  <w:rStyle w:val="InternetLink"/>
                  <w:rFonts w:ascii="Times New Roman;Times;serif" w:hAnsi="Times New Roman;Times;serif"/>
                  <w:b w:val="false"/>
                  <w:i w:val="false"/>
                  <w:caps w:val="false"/>
                  <w:smallCaps w:val="false"/>
                  <w:sz w:val="20"/>
                </w:rPr>
                <w:t>Form of Warrant to Purchase Common Stock of Medicine Man Technologies, Inc.(Incorporated by reference to Exhibit 4.5 to Medicine Man Technologies, Inc.’s Annual Report on Form 10-K filed March 31, 2021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4.3</w:t>
            </w:r>
          </w:p>
        </w:tc>
        <w:tc>
          <w:tcPr>
            <w:tcW w:w="326" w:type="dxa"/>
            <w:tcBorders/>
            <w:shd w:fill="auto" w:val="clear"/>
            <w:vAlign w:val="center"/>
          </w:tcPr>
          <w:p>
            <w:pPr>
              <w:pStyle w:val="TableContents"/>
              <w:spacing w:before="0" w:after="0"/>
              <w:ind w:left="0" w:right="0" w:hanging="0"/>
              <w:rPr/>
            </w:pPr>
            <w:r>
              <w:rPr/>
              <w:t> </w:t>
            </w:r>
          </w:p>
        </w:tc>
        <w:tc>
          <w:tcPr>
            <w:tcW w:w="8798" w:type="dxa"/>
            <w:tcBorders/>
            <w:shd w:fill="auto" w:val="clear"/>
            <w:vAlign w:val="center"/>
          </w:tcPr>
          <w:p>
            <w:pPr>
              <w:pStyle w:val="TableContents"/>
              <w:spacing w:before="0" w:after="0"/>
              <w:ind w:left="0" w:right="0" w:hanging="0"/>
              <w:jc w:val="both"/>
              <w:rPr/>
            </w:pPr>
            <w:hyperlink r:id="rId43">
              <w:r>
                <w:rPr>
                  <w:rStyle w:val="InternetLink"/>
                  <w:rFonts w:ascii="Times New Roman;Times;serif" w:hAnsi="Times New Roman;Times;serif"/>
                  <w:b w:val="false"/>
                  <w:i w:val="false"/>
                  <w:caps w:val="false"/>
                  <w:smallCaps w:val="false"/>
                  <w:sz w:val="20"/>
                </w:rPr>
                <w:t>Warrant to Purchase Common Stock of Medicine Man Technologies, Inc.(Incorporated by reference to Exhibit 4.6 to Medicine Man Technologies, Inc.’s Annual Report on Form 10-K filed March 31, 2021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4.4</w:t>
            </w:r>
          </w:p>
        </w:tc>
        <w:tc>
          <w:tcPr>
            <w:tcW w:w="326" w:type="dxa"/>
            <w:tcBorders/>
            <w:shd w:fill="auto" w:val="clear"/>
            <w:vAlign w:val="center"/>
          </w:tcPr>
          <w:p>
            <w:pPr>
              <w:pStyle w:val="TableContents"/>
              <w:spacing w:before="0" w:after="0"/>
              <w:ind w:left="0" w:right="0" w:hanging="0"/>
              <w:rPr/>
            </w:pPr>
            <w:r>
              <w:rPr/>
              <w:t> </w:t>
            </w:r>
          </w:p>
        </w:tc>
        <w:tc>
          <w:tcPr>
            <w:tcW w:w="8798" w:type="dxa"/>
            <w:tcBorders/>
            <w:shd w:fill="auto" w:val="clear"/>
            <w:vAlign w:val="center"/>
          </w:tcPr>
          <w:p>
            <w:pPr>
              <w:pStyle w:val="TableContents"/>
              <w:spacing w:before="0" w:after="0"/>
              <w:ind w:left="0" w:right="0" w:hanging="0"/>
              <w:jc w:val="both"/>
              <w:rPr/>
            </w:pPr>
            <w:hyperlink r:id="rId44">
              <w:r>
                <w:rPr>
                  <w:rStyle w:val="InternetLink"/>
                  <w:rFonts w:ascii="Times New Roman;Times;serif" w:hAnsi="Times New Roman;Times;serif"/>
                  <w:b w:val="false"/>
                  <w:i w:val="false"/>
                  <w:caps w:val="false"/>
                  <w:smallCaps w:val="false"/>
                  <w:sz w:val="20"/>
                </w:rPr>
                <w:t>Convertible Note and Security Agreement, dated December 16, 2020, issued to Dye Capital &amp; Company, LLC (Incorporated by reference to Exhibit 4.1 to Medicine Man Technologies, Inc.’s Current Report on Form 8-K filed December 23, 2020 (Commission File No. 000-55450))</w:t>
              </w:r>
            </w:hyperlink>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1081"/>
        <w:gridCol w:w="326"/>
        <w:gridCol w:w="8798"/>
      </w:tblGrid>
      <w:tr>
        <w:trPr/>
        <w:tc>
          <w:tcPr>
            <w:tcW w:w="1081" w:type="dxa"/>
            <w:tcBorders/>
            <w:shd w:fill="auto" w:val="clear"/>
            <w:vAlign w:val="center"/>
          </w:tcPr>
          <w:p>
            <w:pPr>
              <w:pStyle w:val="TableHeading"/>
              <w:spacing w:before="0" w:after="283"/>
              <w:ind w:left="0" w:right="0" w:hanging="0"/>
              <w:rPr>
                <w:sz w:val="4"/>
                <w:szCs w:val="4"/>
              </w:rPr>
            </w:pPr>
            <w:r>
              <w:rPr>
                <w:sz w:val="4"/>
                <w:szCs w:val="4"/>
              </w:rPr>
            </w:r>
          </w:p>
        </w:tc>
        <w:tc>
          <w:tcPr>
            <w:tcW w:w="326" w:type="dxa"/>
            <w:tcBorders/>
            <w:shd w:fill="auto" w:val="clear"/>
            <w:vAlign w:val="center"/>
          </w:tcPr>
          <w:p>
            <w:pPr>
              <w:pStyle w:val="TableHeading"/>
              <w:spacing w:before="0" w:after="283"/>
              <w:ind w:left="0" w:right="0" w:hanging="0"/>
              <w:rPr>
                <w:sz w:val="4"/>
                <w:szCs w:val="4"/>
              </w:rPr>
            </w:pPr>
            <w:r>
              <w:rPr>
                <w:sz w:val="4"/>
                <w:szCs w:val="4"/>
              </w:rPr>
            </w:r>
          </w:p>
        </w:tc>
        <w:tc>
          <w:tcPr>
            <w:tcW w:w="8798" w:type="dxa"/>
            <w:tcBorders/>
            <w:shd w:fill="auto" w:val="clear"/>
            <w:vAlign w:val="center"/>
          </w:tcPr>
          <w:p>
            <w:pPr>
              <w:pStyle w:val="TableHeading"/>
              <w:spacing w:before="0" w:after="283"/>
              <w:ind w:left="0" w:right="0" w:hanging="0"/>
              <w:rPr>
                <w:sz w:val="4"/>
                <w:szCs w:val="4"/>
              </w:rPr>
            </w:pPr>
            <w:r>
              <w:rPr>
                <w:sz w:val="4"/>
                <w:szCs w:val="4"/>
              </w:rPr>
            </w:r>
          </w:p>
        </w:tc>
      </w:tr>
      <w:tr>
        <w:trPr/>
        <w:tc>
          <w:tcPr>
            <w:tcW w:w="1081" w:type="dxa"/>
            <w:tcBorders>
              <w:bottom w:val="single" w:sz="2" w:space="0" w:color="000000"/>
            </w:tcBorders>
            <w:shd w:fill="auto" w:val="clear"/>
            <w:tcMar>
              <w:bottom w:w="28" w:type="dxa"/>
            </w:tcMar>
            <w:vAlign w:val="center"/>
          </w:tcPr>
          <w:p>
            <w:pPr>
              <w:pStyle w:val="TableHeading"/>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No.</w:t>
            </w:r>
          </w:p>
        </w:tc>
        <w:tc>
          <w:tcPr>
            <w:tcW w:w="326" w:type="dxa"/>
            <w:tcBorders/>
            <w:shd w:fill="auto" w:val="clear"/>
            <w:vAlign w:val="center"/>
          </w:tcPr>
          <w:p>
            <w:pPr>
              <w:pStyle w:val="TableHeading"/>
              <w:spacing w:before="0" w:after="0"/>
              <w:ind w:left="0" w:right="0" w:hanging="0"/>
              <w:jc w:val="left"/>
              <w:rPr/>
            </w:pPr>
            <w:r>
              <w:rPr/>
              <w:t>    </w:t>
            </w:r>
          </w:p>
        </w:tc>
        <w:tc>
          <w:tcPr>
            <w:tcW w:w="8798" w:type="dxa"/>
            <w:tcBorders>
              <w:bottom w:val="single" w:sz="2" w:space="0" w:color="000000"/>
            </w:tcBorders>
            <w:shd w:fill="auto" w:val="clear"/>
            <w:tcMar>
              <w:bottom w:w="28" w:type="dxa"/>
            </w:tcMar>
            <w:vAlign w:val="center"/>
          </w:tcPr>
          <w:p>
            <w:pPr>
              <w:pStyle w:val="TableHeading"/>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4.5</w:t>
            </w:r>
          </w:p>
        </w:tc>
        <w:tc>
          <w:tcPr>
            <w:tcW w:w="326" w:type="dxa"/>
            <w:tcBorders/>
            <w:shd w:fill="auto" w:val="clear"/>
            <w:vAlign w:val="center"/>
          </w:tcPr>
          <w:p>
            <w:pPr>
              <w:pStyle w:val="TableContents"/>
              <w:spacing w:before="0" w:after="0"/>
              <w:ind w:left="0" w:right="0" w:hanging="0"/>
              <w:rPr/>
            </w:pPr>
            <w:r>
              <w:rPr/>
              <w:t> </w:t>
            </w:r>
          </w:p>
        </w:tc>
        <w:tc>
          <w:tcPr>
            <w:tcW w:w="8798" w:type="dxa"/>
            <w:tcBorders/>
            <w:shd w:fill="auto" w:val="clear"/>
            <w:vAlign w:val="center"/>
          </w:tcPr>
          <w:p>
            <w:pPr>
              <w:pStyle w:val="TableContents"/>
              <w:spacing w:before="0" w:after="0"/>
              <w:ind w:left="0" w:right="0" w:hanging="0"/>
              <w:jc w:val="both"/>
              <w:rPr/>
            </w:pPr>
            <w:hyperlink r:id="rId45">
              <w:r>
                <w:rPr>
                  <w:rStyle w:val="InternetLink"/>
                  <w:rFonts w:ascii="Times New Roman;Times;serif" w:hAnsi="Times New Roman;Times;serif"/>
                  <w:b w:val="false"/>
                  <w:i w:val="false"/>
                  <w:caps w:val="false"/>
                  <w:smallCaps w:val="false"/>
                  <w:sz w:val="20"/>
                </w:rPr>
                <w:t>Form of Warrant to Purchase Common Stock of Medicine Man Technologies, Inc. issued to Star Buds Sellers and Members (Incorporated by reference to Exhibit 4.8 of Medicine Man Technologies, Inc.’s Annual Report on Form 10-K filed March 31, 2022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4.6</w:t>
            </w:r>
          </w:p>
        </w:tc>
        <w:tc>
          <w:tcPr>
            <w:tcW w:w="326" w:type="dxa"/>
            <w:tcBorders/>
            <w:shd w:fill="auto" w:val="clear"/>
            <w:vAlign w:val="center"/>
          </w:tcPr>
          <w:p>
            <w:pPr>
              <w:pStyle w:val="TableContents"/>
              <w:spacing w:before="0" w:after="0"/>
              <w:ind w:left="0" w:right="0" w:hanging="0"/>
              <w:rPr/>
            </w:pPr>
            <w:r>
              <w:rPr/>
              <w:t> </w:t>
            </w:r>
          </w:p>
        </w:tc>
        <w:tc>
          <w:tcPr>
            <w:tcW w:w="8798" w:type="dxa"/>
            <w:tcBorders/>
            <w:shd w:fill="auto" w:val="clear"/>
            <w:vAlign w:val="center"/>
          </w:tcPr>
          <w:p>
            <w:pPr>
              <w:pStyle w:val="TableContents"/>
              <w:spacing w:before="0" w:after="0"/>
              <w:ind w:left="0" w:right="0" w:hanging="0"/>
              <w:jc w:val="both"/>
              <w:rPr/>
            </w:pPr>
            <w:hyperlink r:id="rId46">
              <w:r>
                <w:rPr>
                  <w:rStyle w:val="InternetLink"/>
                  <w:rFonts w:ascii="Times New Roman;Times;serif" w:hAnsi="Times New Roman;Times;serif"/>
                  <w:b w:val="false"/>
                  <w:i w:val="false"/>
                  <w:caps w:val="false"/>
                  <w:smallCaps w:val="false"/>
                  <w:sz w:val="20"/>
                </w:rPr>
                <w:t>Warrant to Purchase Common Stock, dated February 26, 2021, issued by Medicine Man Technologies, Inc. to SHWZ Altmore, LLC (Incorporated by reference to Exhibit 4.1 to Medicine Man Technologies, Inc.’s Current Report on Form 8-K filed March 4, 2021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4.7</w:t>
            </w:r>
          </w:p>
        </w:tc>
        <w:tc>
          <w:tcPr>
            <w:tcW w:w="326" w:type="dxa"/>
            <w:tcBorders/>
            <w:shd w:fill="auto" w:val="clear"/>
            <w:vAlign w:val="center"/>
          </w:tcPr>
          <w:p>
            <w:pPr>
              <w:pStyle w:val="TableContents"/>
              <w:spacing w:before="0" w:after="0"/>
              <w:ind w:left="0" w:right="0" w:hanging="0"/>
              <w:rPr/>
            </w:pPr>
            <w:r>
              <w:rPr/>
              <w:t> </w:t>
            </w:r>
          </w:p>
        </w:tc>
        <w:tc>
          <w:tcPr>
            <w:tcW w:w="8798" w:type="dxa"/>
            <w:tcBorders/>
            <w:shd w:fill="auto" w:val="clear"/>
            <w:vAlign w:val="center"/>
          </w:tcPr>
          <w:p>
            <w:pPr>
              <w:pStyle w:val="TableContents"/>
              <w:spacing w:before="0" w:after="0"/>
              <w:ind w:left="0" w:right="0" w:hanging="0"/>
              <w:jc w:val="both"/>
              <w:rPr/>
            </w:pPr>
            <w:hyperlink r:id="rId47">
              <w:r>
                <w:rPr>
                  <w:rStyle w:val="InternetLink"/>
                  <w:rFonts w:ascii="Times New Roman;Times;serif" w:hAnsi="Times New Roman;Times;serif"/>
                  <w:b w:val="false"/>
                  <w:i w:val="false"/>
                  <w:caps w:val="false"/>
                  <w:smallCaps w:val="false"/>
                  <w:sz w:val="20"/>
                </w:rPr>
                <w:t>Indenture, dated December 7, 2021, among Medicine Man Technologies, Inc., the Subsidiary Guarantors, Chicago Atlantic Admin, LLC, in its capacity as collateral agent, and Ankura Trust Company, LLC, as Trustee (Incorporated by reference to Exhibit 4.1 to Medicine Man Technologies, Inc.’s Current Report on Form 8-K filed December 9, 2021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4.8</w:t>
            </w:r>
          </w:p>
        </w:tc>
        <w:tc>
          <w:tcPr>
            <w:tcW w:w="326" w:type="dxa"/>
            <w:tcBorders/>
            <w:shd w:fill="auto" w:val="clear"/>
            <w:vAlign w:val="center"/>
          </w:tcPr>
          <w:p>
            <w:pPr>
              <w:pStyle w:val="TableContents"/>
              <w:spacing w:before="0" w:after="0"/>
              <w:ind w:left="0" w:right="0" w:hanging="0"/>
              <w:rPr/>
            </w:pPr>
            <w:r>
              <w:rPr/>
              <w:t> </w:t>
            </w:r>
          </w:p>
        </w:tc>
        <w:tc>
          <w:tcPr>
            <w:tcW w:w="8798" w:type="dxa"/>
            <w:tcBorders/>
            <w:shd w:fill="auto" w:val="clear"/>
            <w:vAlign w:val="center"/>
          </w:tcPr>
          <w:p>
            <w:pPr>
              <w:pStyle w:val="TableContents"/>
              <w:spacing w:before="0" w:after="0"/>
              <w:ind w:left="0" w:right="0" w:hanging="0"/>
              <w:jc w:val="both"/>
              <w:rPr/>
            </w:pPr>
            <w:hyperlink r:id="rId48">
              <w:r>
                <w:rPr>
                  <w:rStyle w:val="InternetLink"/>
                  <w:rFonts w:ascii="Times New Roman;Times;serif" w:hAnsi="Times New Roman;Times;serif"/>
                  <w:b w:val="false"/>
                  <w:i w:val="false"/>
                  <w:caps w:val="false"/>
                  <w:smallCaps w:val="false"/>
                  <w:sz w:val="20"/>
                </w:rPr>
                <w:t>Form of 13% Senior Secured Convertible Note Due December 7, 2026 issued by Medicine Man Technologies, Inc. to each Investor thereto (Incorporated by reference to Exhibit 4.2 to Medicine Man Technologies, Inc.’s Current Report on Form 8-K filed December 9, 2021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4.9 ++</w:t>
            </w:r>
          </w:p>
        </w:tc>
        <w:tc>
          <w:tcPr>
            <w:tcW w:w="326" w:type="dxa"/>
            <w:tcBorders/>
            <w:shd w:fill="auto" w:val="clear"/>
            <w:vAlign w:val="center"/>
          </w:tcPr>
          <w:p>
            <w:pPr>
              <w:pStyle w:val="TableContents"/>
              <w:spacing w:before="0" w:after="0"/>
              <w:ind w:left="0" w:right="0" w:hanging="0"/>
              <w:rPr/>
            </w:pPr>
            <w:r>
              <w:rPr/>
              <w:t> </w:t>
            </w:r>
          </w:p>
        </w:tc>
        <w:tc>
          <w:tcPr>
            <w:tcW w:w="8798" w:type="dxa"/>
            <w:tcBorders/>
            <w:shd w:fill="auto" w:val="clear"/>
            <w:vAlign w:val="center"/>
          </w:tcPr>
          <w:p>
            <w:pPr>
              <w:pStyle w:val="TableContents"/>
              <w:spacing w:before="0" w:after="0"/>
              <w:ind w:left="0" w:right="0" w:hanging="0"/>
              <w:jc w:val="both"/>
              <w:rPr/>
            </w:pPr>
            <w:hyperlink r:id="rId49">
              <w:r>
                <w:rPr>
                  <w:rStyle w:val="InternetLink"/>
                  <w:rFonts w:ascii="Times New Roman;Times;serif" w:hAnsi="Times New Roman;Times;serif"/>
                  <w:b w:val="false"/>
                  <w:i w:val="false"/>
                  <w:caps w:val="false"/>
                  <w:smallCaps w:val="false"/>
                  <w:sz w:val="20"/>
                </w:rPr>
                <w:t>Security Agreement, dated December 7, 2021, entered into by Medicine Man Technologies, Inc. and the Subsidiary Guarantors party thereto, in favor of Chicago Atlantic Admin, LLC, in its capacity as the collateral agent (Incorporated by reference to Exhibit 10.2 to Medicine Man Technologies, Inc.’s Current Report on Form 8-K filed December 9, 2021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4.10 ++</w:t>
            </w:r>
          </w:p>
        </w:tc>
        <w:tc>
          <w:tcPr>
            <w:tcW w:w="326" w:type="dxa"/>
            <w:tcBorders/>
            <w:shd w:fill="auto" w:val="clear"/>
            <w:vAlign w:val="center"/>
          </w:tcPr>
          <w:p>
            <w:pPr>
              <w:pStyle w:val="TableContents"/>
              <w:spacing w:before="0" w:after="0"/>
              <w:ind w:left="0" w:right="0" w:hanging="0"/>
              <w:rPr/>
            </w:pPr>
            <w:r>
              <w:rPr/>
              <w:t> </w:t>
            </w:r>
          </w:p>
        </w:tc>
        <w:tc>
          <w:tcPr>
            <w:tcW w:w="8798" w:type="dxa"/>
            <w:tcBorders/>
            <w:shd w:fill="auto" w:val="clear"/>
            <w:vAlign w:val="center"/>
          </w:tcPr>
          <w:p>
            <w:pPr>
              <w:pStyle w:val="TableContents"/>
              <w:spacing w:before="0" w:after="0"/>
              <w:ind w:left="0" w:right="0" w:hanging="0"/>
              <w:jc w:val="both"/>
              <w:rPr/>
            </w:pPr>
            <w:hyperlink r:id="rId50">
              <w:r>
                <w:rPr>
                  <w:rStyle w:val="InternetLink"/>
                  <w:rFonts w:ascii="Times New Roman;Times;serif" w:hAnsi="Times New Roman;Times;serif"/>
                  <w:b w:val="false"/>
                  <w:i w:val="false"/>
                  <w:caps w:val="false"/>
                  <w:smallCaps w:val="false"/>
                  <w:sz w:val="20"/>
                </w:rPr>
                <w:t>Intercreditor Agreement, dated December 7, 2021, entered into among Medicine Man Technologies, Inc., the Subsidiary Guarantors, Chicago Atlantic Admin, LLC, as collateral agent for the Convertible Notes Secured Parties, GGG Partners LLC, as collateral agent for the Credit Agreement Secured Parties, Naser Joudeh, as collateral agent for the StarBuds Seller Secured Parties, Colorado Health Consultants LLC, StarBuds Aurora LLC, SB Arapahoe LLC, StarBuds Commerce City LLC, StarBuds Pueblo LLC, StarBuds Alameda LLC, Citi-Med LLC, StarBuds Louisville, LLC, Kew LLC, Lucky Ticket LLC, StarBuds Niwot LLC, LM MJC LLC, and Mountain View 44th LLC (Incorporated by reference to Exhibit 10.3 to Medicine Man Technologies, Inc.’s Current Report on Form 8-K filed December 9, 2021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4.11</w:t>
            </w:r>
          </w:p>
        </w:tc>
        <w:tc>
          <w:tcPr>
            <w:tcW w:w="326" w:type="dxa"/>
            <w:tcBorders/>
            <w:shd w:fill="auto" w:val="clear"/>
            <w:vAlign w:val="center"/>
          </w:tcPr>
          <w:p>
            <w:pPr>
              <w:pStyle w:val="TableContents"/>
              <w:spacing w:before="0" w:after="0"/>
              <w:ind w:left="0" w:right="0" w:hanging="0"/>
              <w:rPr/>
            </w:pPr>
            <w:r>
              <w:rPr/>
              <w:t> </w:t>
            </w:r>
          </w:p>
        </w:tc>
        <w:tc>
          <w:tcPr>
            <w:tcW w:w="8798" w:type="dxa"/>
            <w:tcBorders/>
            <w:shd w:fill="auto" w:val="clear"/>
            <w:vAlign w:val="center"/>
          </w:tcPr>
          <w:p>
            <w:pPr>
              <w:pStyle w:val="TableContents"/>
              <w:spacing w:before="0" w:after="0"/>
              <w:ind w:left="0" w:right="0" w:hanging="0"/>
              <w:jc w:val="both"/>
              <w:rPr/>
            </w:pPr>
            <w:hyperlink r:id="rId51">
              <w:r>
                <w:rPr>
                  <w:rStyle w:val="InternetLink"/>
                  <w:rFonts w:ascii="Times New Roman;Times;serif" w:hAnsi="Times New Roman;Times;serif"/>
                  <w:b w:val="false"/>
                  <w:i w:val="false"/>
                  <w:caps w:val="false"/>
                  <w:smallCaps w:val="false"/>
                  <w:sz w:val="20"/>
                </w:rPr>
                <w:t>Note Guarantee, dated December 7, 2021, entered into by each Subsidiary Guarantor (Incorporated by reference to Exhibit 10.4 to Medicine Man Technologies, Inc.’s Current Report on Form 8-K filed December 9, 2021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4.12</w:t>
            </w:r>
          </w:p>
        </w:tc>
        <w:tc>
          <w:tcPr>
            <w:tcW w:w="326" w:type="dxa"/>
            <w:tcBorders/>
            <w:shd w:fill="auto" w:val="clear"/>
            <w:vAlign w:val="center"/>
          </w:tcPr>
          <w:p>
            <w:pPr>
              <w:pStyle w:val="TableContents"/>
              <w:spacing w:before="0" w:after="0"/>
              <w:ind w:left="0" w:right="0" w:hanging="0"/>
              <w:rPr/>
            </w:pPr>
            <w:r>
              <w:rPr/>
              <w:t> </w:t>
            </w:r>
          </w:p>
        </w:tc>
        <w:tc>
          <w:tcPr>
            <w:tcW w:w="8798" w:type="dxa"/>
            <w:tcBorders/>
            <w:shd w:fill="auto" w:val="clear"/>
            <w:vAlign w:val="center"/>
          </w:tcPr>
          <w:p>
            <w:pPr>
              <w:pStyle w:val="TableContents"/>
              <w:spacing w:before="0" w:after="0"/>
              <w:ind w:left="0" w:right="0" w:hanging="0"/>
              <w:jc w:val="both"/>
              <w:rPr/>
            </w:pPr>
            <w:hyperlink r:id="rId52">
              <w:r>
                <w:rPr>
                  <w:rStyle w:val="InternetLink"/>
                  <w:rFonts w:ascii="Times New Roman;Times;serif" w:hAnsi="Times New Roman;Times;serif"/>
                  <w:b w:val="false"/>
                  <w:i w:val="false"/>
                  <w:caps w:val="false"/>
                  <w:smallCaps w:val="false"/>
                  <w:sz w:val="20"/>
                </w:rPr>
                <w:t>Security Agreement, dated December 17, 2020, among SBUD LLC and Medicine Man Technologies, Inc., as grantors, and Starbuds Alameda LLC, as secured party (Incorporated by reference to Exhibit 4.1 to Medicine Man Technologies, Inc.’s Current Report on Form 8-K filed December 29, 2021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4.13</w:t>
            </w:r>
          </w:p>
        </w:tc>
        <w:tc>
          <w:tcPr>
            <w:tcW w:w="326" w:type="dxa"/>
            <w:tcBorders/>
            <w:shd w:fill="auto" w:val="clear"/>
            <w:vAlign w:val="center"/>
          </w:tcPr>
          <w:p>
            <w:pPr>
              <w:pStyle w:val="TableContents"/>
              <w:spacing w:before="0" w:after="0"/>
              <w:ind w:left="0" w:right="0" w:hanging="0"/>
              <w:rPr/>
            </w:pPr>
            <w:r>
              <w:rPr/>
              <w:t> </w:t>
            </w:r>
          </w:p>
        </w:tc>
        <w:tc>
          <w:tcPr>
            <w:tcW w:w="8798" w:type="dxa"/>
            <w:tcBorders/>
            <w:shd w:fill="auto" w:val="clear"/>
            <w:vAlign w:val="center"/>
          </w:tcPr>
          <w:p>
            <w:pPr>
              <w:pStyle w:val="TableContents"/>
              <w:spacing w:before="0" w:after="0"/>
              <w:ind w:left="0" w:right="0" w:hanging="0"/>
              <w:jc w:val="both"/>
              <w:rPr/>
            </w:pPr>
            <w:hyperlink r:id="rId53">
              <w:r>
                <w:rPr>
                  <w:rStyle w:val="InternetLink"/>
                  <w:rFonts w:ascii="Times New Roman;Times;serif" w:hAnsi="Times New Roman;Times;serif"/>
                  <w:b w:val="false"/>
                  <w:i w:val="false"/>
                  <w:caps w:val="false"/>
                  <w:smallCaps w:val="false"/>
                  <w:sz w:val="20"/>
                </w:rPr>
                <w:t>Security Agreement, dated December 17, 2020, among SBUD LLC and Medicine Man Technologies, Inc., as grantors, and Starbuds Pueblo LLC, as secured party (Incorporated by reference to Exhibit 4.2 to Medicine Man Technologies, Inc.’s Current Report on Form 8-K filed December 29, 2021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4.14</w:t>
            </w:r>
          </w:p>
        </w:tc>
        <w:tc>
          <w:tcPr>
            <w:tcW w:w="326" w:type="dxa"/>
            <w:tcBorders/>
            <w:shd w:fill="auto" w:val="clear"/>
            <w:vAlign w:val="center"/>
          </w:tcPr>
          <w:p>
            <w:pPr>
              <w:pStyle w:val="TableContents"/>
              <w:spacing w:before="0" w:after="0"/>
              <w:ind w:left="0" w:right="0" w:hanging="0"/>
              <w:rPr/>
            </w:pPr>
            <w:r>
              <w:rPr/>
              <w:t> </w:t>
            </w:r>
          </w:p>
        </w:tc>
        <w:tc>
          <w:tcPr>
            <w:tcW w:w="8798" w:type="dxa"/>
            <w:tcBorders/>
            <w:shd w:fill="auto" w:val="clear"/>
            <w:vAlign w:val="center"/>
          </w:tcPr>
          <w:p>
            <w:pPr>
              <w:pStyle w:val="TableContents"/>
              <w:spacing w:before="0" w:after="0"/>
              <w:ind w:left="0" w:right="0" w:hanging="0"/>
              <w:jc w:val="both"/>
              <w:rPr/>
            </w:pPr>
            <w:hyperlink r:id="rId54">
              <w:r>
                <w:rPr>
                  <w:rStyle w:val="InternetLink"/>
                  <w:rFonts w:ascii="Times New Roman;Times;serif" w:hAnsi="Times New Roman;Times;serif"/>
                  <w:b w:val="false"/>
                  <w:i w:val="false"/>
                  <w:caps w:val="false"/>
                  <w:smallCaps w:val="false"/>
                  <w:sz w:val="20"/>
                </w:rPr>
                <w:t>Security Agreement, dated December 18, 2020, among SBUD LLC and Medicine Man Technologies, Inc., as grantors, and LM MJC LLC, as secured party (Incorporated by reference to Exhibit 4.3 to Medicine Man Technologies, Inc.’s Current Report on Form 8-K filed December 29, 2021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4.15</w:t>
            </w:r>
          </w:p>
        </w:tc>
        <w:tc>
          <w:tcPr>
            <w:tcW w:w="326" w:type="dxa"/>
            <w:tcBorders/>
            <w:shd w:fill="auto" w:val="clear"/>
            <w:vAlign w:val="center"/>
          </w:tcPr>
          <w:p>
            <w:pPr>
              <w:pStyle w:val="TableContents"/>
              <w:spacing w:before="0" w:after="0"/>
              <w:ind w:left="0" w:right="0" w:hanging="0"/>
              <w:rPr/>
            </w:pPr>
            <w:r>
              <w:rPr/>
              <w:t> </w:t>
            </w:r>
          </w:p>
        </w:tc>
        <w:tc>
          <w:tcPr>
            <w:tcW w:w="8798" w:type="dxa"/>
            <w:tcBorders/>
            <w:shd w:fill="auto" w:val="clear"/>
            <w:vAlign w:val="center"/>
          </w:tcPr>
          <w:p>
            <w:pPr>
              <w:pStyle w:val="TableContents"/>
              <w:spacing w:before="0" w:after="0"/>
              <w:ind w:left="0" w:right="0" w:hanging="0"/>
              <w:jc w:val="both"/>
              <w:rPr/>
            </w:pPr>
            <w:hyperlink r:id="rId55">
              <w:r>
                <w:rPr>
                  <w:rStyle w:val="InternetLink"/>
                  <w:rFonts w:ascii="Times New Roman;Times;serif" w:hAnsi="Times New Roman;Times;serif"/>
                  <w:b w:val="false"/>
                  <w:i w:val="false"/>
                  <w:caps w:val="false"/>
                  <w:smallCaps w:val="false"/>
                  <w:sz w:val="20"/>
                </w:rPr>
                <w:t>Security Agreement, dated December 18, 2020, among SBUD LLC and Medicine Man Technologies, Inc., as grantors, and Lucky Ticket LLC, as secured party (Incorporated by reference to Exhibit 4.4 to Medicine Man Technologies, Inc.’s Current Report on Form 8-K filed December 29, 2021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4.16</w:t>
            </w:r>
          </w:p>
        </w:tc>
        <w:tc>
          <w:tcPr>
            <w:tcW w:w="326" w:type="dxa"/>
            <w:tcBorders/>
            <w:shd w:fill="auto" w:val="clear"/>
            <w:vAlign w:val="center"/>
          </w:tcPr>
          <w:p>
            <w:pPr>
              <w:pStyle w:val="TableContents"/>
              <w:spacing w:before="0" w:after="0"/>
              <w:ind w:left="0" w:right="0" w:hanging="0"/>
              <w:rPr/>
            </w:pPr>
            <w:r>
              <w:rPr/>
              <w:t> </w:t>
            </w:r>
          </w:p>
        </w:tc>
        <w:tc>
          <w:tcPr>
            <w:tcW w:w="8798" w:type="dxa"/>
            <w:tcBorders/>
            <w:shd w:fill="auto" w:val="clear"/>
            <w:vAlign w:val="center"/>
          </w:tcPr>
          <w:p>
            <w:pPr>
              <w:pStyle w:val="TableContents"/>
              <w:spacing w:before="0" w:after="0"/>
              <w:ind w:left="0" w:right="0" w:hanging="0"/>
              <w:jc w:val="both"/>
              <w:rPr/>
            </w:pPr>
            <w:hyperlink r:id="rId56">
              <w:r>
                <w:rPr>
                  <w:rStyle w:val="InternetLink"/>
                  <w:rFonts w:ascii="Times New Roman;Times;serif" w:hAnsi="Times New Roman;Times;serif"/>
                  <w:b w:val="false"/>
                  <w:i w:val="false"/>
                  <w:caps w:val="false"/>
                  <w:smallCaps w:val="false"/>
                  <w:sz w:val="20"/>
                </w:rPr>
                <w:t>Security Agreement, dated December 18, 2020, among SBUD LLC and Medicine Man Technologies, Inc., as grantors, and Starbuds Commerce City, as secured party (Incorporated by reference to Exhibit 4.5 to Medicine Man Technologies, Inc.’s Current Report on Form 8-K filed December 29, 2021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4.17</w:t>
            </w:r>
          </w:p>
        </w:tc>
        <w:tc>
          <w:tcPr>
            <w:tcW w:w="326" w:type="dxa"/>
            <w:tcBorders/>
            <w:shd w:fill="auto" w:val="clear"/>
            <w:vAlign w:val="center"/>
          </w:tcPr>
          <w:p>
            <w:pPr>
              <w:pStyle w:val="TableContents"/>
              <w:spacing w:before="0" w:after="0"/>
              <w:ind w:left="0" w:right="0" w:hanging="0"/>
              <w:rPr/>
            </w:pPr>
            <w:r>
              <w:rPr/>
              <w:t> </w:t>
            </w:r>
          </w:p>
        </w:tc>
        <w:tc>
          <w:tcPr>
            <w:tcW w:w="8798" w:type="dxa"/>
            <w:tcBorders/>
            <w:shd w:fill="auto" w:val="clear"/>
            <w:vAlign w:val="center"/>
          </w:tcPr>
          <w:p>
            <w:pPr>
              <w:pStyle w:val="TableContents"/>
              <w:spacing w:before="0" w:after="0"/>
              <w:ind w:left="0" w:right="0" w:hanging="0"/>
              <w:jc w:val="both"/>
              <w:rPr/>
            </w:pPr>
            <w:hyperlink r:id="rId57">
              <w:r>
                <w:rPr>
                  <w:rStyle w:val="InternetLink"/>
                  <w:rFonts w:ascii="Times New Roman;Times;serif" w:hAnsi="Times New Roman;Times;serif"/>
                  <w:b w:val="false"/>
                  <w:i w:val="false"/>
                  <w:caps w:val="false"/>
                  <w:smallCaps w:val="false"/>
                  <w:sz w:val="20"/>
                </w:rPr>
                <w:t xml:space="preserve">Security Agreement, dated December 18, 2020, among SBUD LLC and Medicine Man Technologies, Inc., as grantors, and Starbuds Niwot LLC, as secured party (Incorporated by reference to </w:t>
              </w:r>
            </w:hyperlink>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1081"/>
        <w:gridCol w:w="161"/>
        <w:gridCol w:w="174"/>
        <w:gridCol w:w="8789"/>
      </w:tblGrid>
      <w:tr>
        <w:trPr/>
        <w:tc>
          <w:tcPr>
            <w:tcW w:w="1081" w:type="dxa"/>
            <w:tcBorders/>
            <w:shd w:fill="auto" w:val="clear"/>
            <w:vAlign w:val="center"/>
          </w:tcPr>
          <w:p>
            <w:pPr>
              <w:pStyle w:val="TableHeading"/>
              <w:spacing w:before="0" w:after="283"/>
              <w:ind w:left="0" w:right="0" w:hanging="0"/>
              <w:rPr>
                <w:sz w:val="4"/>
                <w:szCs w:val="4"/>
              </w:rPr>
            </w:pPr>
            <w:r>
              <w:rPr>
                <w:sz w:val="4"/>
                <w:szCs w:val="4"/>
              </w:rPr>
            </w:r>
          </w:p>
        </w:tc>
        <w:tc>
          <w:tcPr>
            <w:tcW w:w="335" w:type="dxa"/>
            <w:gridSpan w:val="2"/>
            <w:tcBorders/>
            <w:shd w:fill="auto" w:val="clear"/>
            <w:vAlign w:val="center"/>
          </w:tcPr>
          <w:p>
            <w:pPr>
              <w:pStyle w:val="TableHeading"/>
              <w:spacing w:before="0" w:after="283"/>
              <w:ind w:left="0" w:right="0" w:hanging="0"/>
              <w:rPr>
                <w:sz w:val="4"/>
                <w:szCs w:val="4"/>
              </w:rPr>
            </w:pPr>
            <w:r>
              <w:rPr>
                <w:sz w:val="4"/>
                <w:szCs w:val="4"/>
              </w:rPr>
            </w:r>
          </w:p>
        </w:tc>
        <w:tc>
          <w:tcPr>
            <w:tcW w:w="8789" w:type="dxa"/>
            <w:tcBorders/>
            <w:shd w:fill="auto" w:val="clear"/>
            <w:vAlign w:val="center"/>
          </w:tcPr>
          <w:p>
            <w:pPr>
              <w:pStyle w:val="TableHeading"/>
              <w:spacing w:before="0" w:after="283"/>
              <w:ind w:left="0" w:right="0" w:hanging="0"/>
              <w:rPr>
                <w:sz w:val="4"/>
                <w:szCs w:val="4"/>
              </w:rPr>
            </w:pPr>
            <w:r>
              <w:rPr>
                <w:sz w:val="4"/>
                <w:szCs w:val="4"/>
              </w:rPr>
            </w:r>
          </w:p>
        </w:tc>
      </w:tr>
      <w:tr>
        <w:trPr/>
        <w:tc>
          <w:tcPr>
            <w:tcW w:w="1081" w:type="dxa"/>
            <w:tcBorders>
              <w:bottom w:val="single" w:sz="2" w:space="0" w:color="000000"/>
            </w:tcBorders>
            <w:shd w:fill="auto" w:val="clear"/>
            <w:tcMar>
              <w:bottom w:w="28" w:type="dxa"/>
            </w:tcMar>
            <w:vAlign w:val="center"/>
          </w:tcPr>
          <w:p>
            <w:pPr>
              <w:pStyle w:val="TableHeading"/>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No.</w:t>
            </w:r>
          </w:p>
        </w:tc>
        <w:tc>
          <w:tcPr>
            <w:tcW w:w="335" w:type="dxa"/>
            <w:gridSpan w:val="2"/>
            <w:tcBorders/>
            <w:shd w:fill="auto" w:val="clear"/>
            <w:vAlign w:val="center"/>
          </w:tcPr>
          <w:p>
            <w:pPr>
              <w:pStyle w:val="TableHeading"/>
              <w:spacing w:before="0" w:after="0"/>
              <w:ind w:left="0" w:right="0" w:hanging="0"/>
              <w:jc w:val="left"/>
              <w:rPr/>
            </w:pPr>
            <w:r>
              <w:rPr/>
              <w:t>    </w:t>
            </w:r>
          </w:p>
        </w:tc>
        <w:tc>
          <w:tcPr>
            <w:tcW w:w="8789" w:type="dxa"/>
            <w:tcBorders>
              <w:bottom w:val="single" w:sz="2" w:space="0" w:color="000000"/>
            </w:tcBorders>
            <w:shd w:fill="auto" w:val="clear"/>
            <w:tcMar>
              <w:bottom w:w="28" w:type="dxa"/>
            </w:tcMar>
            <w:vAlign w:val="center"/>
          </w:tcPr>
          <w:p>
            <w:pPr>
              <w:pStyle w:val="TableHeading"/>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1081" w:type="dxa"/>
            <w:tcBorders/>
            <w:shd w:fill="auto" w:val="clear"/>
            <w:vAlign w:val="center"/>
          </w:tcPr>
          <w:p>
            <w:pPr>
              <w:pStyle w:val="TableContents"/>
              <w:spacing w:before="0" w:after="283"/>
              <w:ind w:left="0" w:right="0" w:hanging="0"/>
              <w:rPr>
                <w:sz w:val="4"/>
                <w:szCs w:val="4"/>
              </w:rPr>
            </w:pPr>
            <w:r>
              <w:rPr>
                <w:sz w:val="4"/>
                <w:szCs w:val="4"/>
              </w:rPr>
            </w:r>
          </w:p>
        </w:tc>
        <w:tc>
          <w:tcPr>
            <w:tcW w:w="335" w:type="dxa"/>
            <w:gridSpan w:val="2"/>
            <w:tcBorders/>
            <w:shd w:fill="auto" w:val="clear"/>
            <w:vAlign w:val="center"/>
          </w:tcPr>
          <w:p>
            <w:pPr>
              <w:pStyle w:val="TableContents"/>
              <w:spacing w:before="0" w:after="283"/>
              <w:ind w:left="0" w:right="0" w:hanging="0"/>
              <w:rPr>
                <w:sz w:val="4"/>
                <w:szCs w:val="4"/>
              </w:rPr>
            </w:pPr>
            <w:r>
              <w:rPr>
                <w:sz w:val="4"/>
                <w:szCs w:val="4"/>
              </w:rPr>
            </w:r>
          </w:p>
        </w:tc>
        <w:tc>
          <w:tcPr>
            <w:tcW w:w="8789" w:type="dxa"/>
            <w:tcBorders/>
            <w:shd w:fill="auto" w:val="clear"/>
            <w:vAlign w:val="center"/>
          </w:tcPr>
          <w:p>
            <w:pPr>
              <w:pStyle w:val="TableContents"/>
              <w:spacing w:before="0" w:after="0"/>
              <w:ind w:left="0" w:right="0" w:hanging="0"/>
              <w:jc w:val="both"/>
              <w:rPr/>
            </w:pPr>
            <w:hyperlink r:id="rId58">
              <w:r>
                <w:rPr>
                  <w:rStyle w:val="InternetLink"/>
                  <w:rFonts w:ascii="Times New Roman;Times;serif" w:hAnsi="Times New Roman;Times;serif"/>
                  <w:b w:val="false"/>
                  <w:i w:val="false"/>
                  <w:caps w:val="false"/>
                  <w:smallCaps w:val="false"/>
                  <w:sz w:val="20"/>
                </w:rPr>
                <w:t>Exhibit 4.6 to Medicine Man Technologies, Inc.’s Current Report on Form 8-K filed December 29, 2021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4.18</w:t>
            </w:r>
          </w:p>
        </w:tc>
        <w:tc>
          <w:tcPr>
            <w:tcW w:w="335" w:type="dxa"/>
            <w:gridSpan w:val="2"/>
            <w:tcBorders/>
            <w:shd w:fill="auto" w:val="clear"/>
            <w:vAlign w:val="center"/>
          </w:tcPr>
          <w:p>
            <w:pPr>
              <w:pStyle w:val="TableContents"/>
              <w:spacing w:before="0" w:after="0"/>
              <w:ind w:left="0" w:right="0" w:hanging="0"/>
              <w:rPr/>
            </w:pPr>
            <w:r>
              <w:rPr/>
              <w:t> </w:t>
            </w:r>
          </w:p>
        </w:tc>
        <w:tc>
          <w:tcPr>
            <w:tcW w:w="8789" w:type="dxa"/>
            <w:tcBorders/>
            <w:shd w:fill="auto" w:val="clear"/>
            <w:vAlign w:val="center"/>
          </w:tcPr>
          <w:p>
            <w:pPr>
              <w:pStyle w:val="TableContents"/>
              <w:spacing w:before="0" w:after="0"/>
              <w:ind w:left="0" w:right="0" w:hanging="0"/>
              <w:jc w:val="both"/>
              <w:rPr/>
            </w:pPr>
            <w:hyperlink r:id="rId59">
              <w:r>
                <w:rPr>
                  <w:rStyle w:val="InternetLink"/>
                  <w:rFonts w:ascii="Times New Roman;Times;serif" w:hAnsi="Times New Roman;Times;serif"/>
                  <w:b w:val="false"/>
                  <w:i w:val="false"/>
                  <w:caps w:val="false"/>
                  <w:smallCaps w:val="false"/>
                  <w:sz w:val="20"/>
                </w:rPr>
                <w:t>Security Agreement, dated February 4, 2021, among SBUD LLC and Medicine Man Technologies, Inc., as grantors, and Colorado Health Consultants, LLC, as secured party (Incorporated by reference to Exhibit 4.7 to Medicine Man Technologies, Inc.’s Current Report on Form 8-K filed December 29, 2021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4.19</w:t>
            </w:r>
          </w:p>
        </w:tc>
        <w:tc>
          <w:tcPr>
            <w:tcW w:w="335" w:type="dxa"/>
            <w:gridSpan w:val="2"/>
            <w:tcBorders/>
            <w:shd w:fill="auto" w:val="clear"/>
            <w:vAlign w:val="center"/>
          </w:tcPr>
          <w:p>
            <w:pPr>
              <w:pStyle w:val="TableContents"/>
              <w:spacing w:before="0" w:after="0"/>
              <w:ind w:left="0" w:right="0" w:hanging="0"/>
              <w:rPr/>
            </w:pPr>
            <w:r>
              <w:rPr/>
              <w:t> </w:t>
            </w:r>
          </w:p>
        </w:tc>
        <w:tc>
          <w:tcPr>
            <w:tcW w:w="8789" w:type="dxa"/>
            <w:tcBorders/>
            <w:shd w:fill="auto" w:val="clear"/>
            <w:vAlign w:val="center"/>
          </w:tcPr>
          <w:p>
            <w:pPr>
              <w:pStyle w:val="TableContents"/>
              <w:spacing w:before="0" w:after="0"/>
              <w:ind w:left="0" w:right="0" w:hanging="0"/>
              <w:jc w:val="both"/>
              <w:rPr/>
            </w:pPr>
            <w:hyperlink r:id="rId60">
              <w:r>
                <w:rPr>
                  <w:rStyle w:val="InternetLink"/>
                  <w:rFonts w:ascii="Times New Roman;Times;serif" w:hAnsi="Times New Roman;Times;serif"/>
                  <w:b w:val="false"/>
                  <w:i w:val="false"/>
                  <w:caps w:val="false"/>
                  <w:smallCaps w:val="false"/>
                  <w:sz w:val="20"/>
                </w:rPr>
                <w:t>Security Agreement, dated February 4, 2021, among SBUD LLC and Medicine Man Technologies, Inc., as grantors, and Mountain View 44th LLC, as secured party (Incorporated by reference to Exhibit 4.8 to Medicine Man Technologies, Inc.’s Current Report on Form 8-K filed December 29, 2021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4.20</w:t>
            </w:r>
          </w:p>
        </w:tc>
        <w:tc>
          <w:tcPr>
            <w:tcW w:w="161" w:type="dxa"/>
            <w:tcBorders/>
            <w:shd w:fill="auto" w:val="clear"/>
            <w:vAlign w:val="center"/>
          </w:tcPr>
          <w:p>
            <w:pPr>
              <w:pStyle w:val="TableContents"/>
              <w:spacing w:before="0" w:after="0"/>
              <w:ind w:left="0" w:right="0" w:hanging="0"/>
              <w:rPr/>
            </w:pPr>
            <w:r>
              <w:rPr/>
              <w:t> </w:t>
            </w:r>
          </w:p>
        </w:tc>
        <w:tc>
          <w:tcPr>
            <w:tcW w:w="8963" w:type="dxa"/>
            <w:gridSpan w:val="2"/>
            <w:tcBorders/>
            <w:shd w:fill="auto" w:val="clear"/>
            <w:vAlign w:val="center"/>
          </w:tcPr>
          <w:p>
            <w:pPr>
              <w:pStyle w:val="TableContents"/>
              <w:spacing w:before="0" w:after="0"/>
              <w:ind w:left="0" w:right="0" w:hanging="0"/>
              <w:jc w:val="both"/>
              <w:rPr/>
            </w:pPr>
            <w:hyperlink r:id="rId61">
              <w:r>
                <w:rPr>
                  <w:rStyle w:val="InternetLink"/>
                  <w:rFonts w:ascii="Times New Roman;Times;serif" w:hAnsi="Times New Roman;Times;serif"/>
                  <w:b w:val="false"/>
                  <w:i w:val="false"/>
                  <w:caps w:val="false"/>
                  <w:smallCaps w:val="false"/>
                  <w:sz w:val="20"/>
                </w:rPr>
                <w:t>Security Agreement, dated March 2, 2021, among SBUD LLC and Medicine Man Technologies, Inc., as grantors, and Citi-Med LLC, as secured party (Incorporated by reference to Exhibit 4.9 to Medicine Man Technologies, Inc.’s Current Report on Form 8-K filed December 29, 2021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4.21</w:t>
            </w:r>
          </w:p>
        </w:tc>
        <w:tc>
          <w:tcPr>
            <w:tcW w:w="161" w:type="dxa"/>
            <w:tcBorders/>
            <w:shd w:fill="auto" w:val="clear"/>
            <w:vAlign w:val="center"/>
          </w:tcPr>
          <w:p>
            <w:pPr>
              <w:pStyle w:val="TableContents"/>
              <w:spacing w:before="0" w:after="0"/>
              <w:ind w:left="0" w:right="0" w:hanging="0"/>
              <w:rPr/>
            </w:pPr>
            <w:r>
              <w:rPr/>
              <w:t> </w:t>
            </w:r>
          </w:p>
        </w:tc>
        <w:tc>
          <w:tcPr>
            <w:tcW w:w="8963" w:type="dxa"/>
            <w:gridSpan w:val="2"/>
            <w:tcBorders/>
            <w:shd w:fill="auto" w:val="clear"/>
            <w:vAlign w:val="center"/>
          </w:tcPr>
          <w:p>
            <w:pPr>
              <w:pStyle w:val="TableContents"/>
              <w:spacing w:before="0" w:after="0"/>
              <w:ind w:left="0" w:right="0" w:hanging="0"/>
              <w:jc w:val="both"/>
              <w:rPr/>
            </w:pPr>
            <w:hyperlink r:id="rId62">
              <w:r>
                <w:rPr>
                  <w:rStyle w:val="InternetLink"/>
                  <w:rFonts w:ascii="Times New Roman;Times;serif" w:hAnsi="Times New Roman;Times;serif"/>
                  <w:b w:val="false"/>
                  <w:i w:val="false"/>
                  <w:caps w:val="false"/>
                  <w:smallCaps w:val="false"/>
                  <w:sz w:val="20"/>
                </w:rPr>
                <w:t>Security Agreement, dated March 2, 2021, among SBUD LLC and Medicine Man Technologies, Inc., as grantors, and KEW LLC, as secured party (Incorporated by reference to Exhibit 4.10 to Medicine Man Technologies, Inc.’s Current Report on Form 8-K filed December 29, 2021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4.22</w:t>
            </w:r>
          </w:p>
        </w:tc>
        <w:tc>
          <w:tcPr>
            <w:tcW w:w="161" w:type="dxa"/>
            <w:tcBorders/>
            <w:shd w:fill="auto" w:val="clear"/>
            <w:vAlign w:val="center"/>
          </w:tcPr>
          <w:p>
            <w:pPr>
              <w:pStyle w:val="TableContents"/>
              <w:spacing w:before="0" w:after="0"/>
              <w:ind w:left="0" w:right="0" w:hanging="0"/>
              <w:rPr/>
            </w:pPr>
            <w:r>
              <w:rPr/>
              <w:t> </w:t>
            </w:r>
          </w:p>
        </w:tc>
        <w:tc>
          <w:tcPr>
            <w:tcW w:w="8963" w:type="dxa"/>
            <w:gridSpan w:val="2"/>
            <w:tcBorders/>
            <w:shd w:fill="auto" w:val="clear"/>
            <w:vAlign w:val="center"/>
          </w:tcPr>
          <w:p>
            <w:pPr>
              <w:pStyle w:val="TableContents"/>
              <w:spacing w:before="0" w:after="0"/>
              <w:ind w:left="0" w:right="0" w:hanging="0"/>
              <w:jc w:val="both"/>
              <w:rPr/>
            </w:pPr>
            <w:hyperlink r:id="rId63">
              <w:r>
                <w:rPr>
                  <w:rStyle w:val="InternetLink"/>
                  <w:rFonts w:ascii="Times New Roman;Times;serif" w:hAnsi="Times New Roman;Times;serif"/>
                  <w:b w:val="false"/>
                  <w:i w:val="false"/>
                  <w:caps w:val="false"/>
                  <w:smallCaps w:val="false"/>
                  <w:sz w:val="20"/>
                </w:rPr>
                <w:t>Security Agreement, dated March 2, 2021, among SBUD LLC and Medicine Man Technologies, Inc., as grantors, and SB Arapahoe LLC, as secured party (Incorporated by reference to Exhibit 4.11 to Medicine Man Technologies, Inc.’s Current Report on Form 8-K filed December 29, 2021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4.23</w:t>
            </w:r>
          </w:p>
        </w:tc>
        <w:tc>
          <w:tcPr>
            <w:tcW w:w="161" w:type="dxa"/>
            <w:tcBorders/>
            <w:shd w:fill="auto" w:val="clear"/>
            <w:vAlign w:val="center"/>
          </w:tcPr>
          <w:p>
            <w:pPr>
              <w:pStyle w:val="TableContents"/>
              <w:spacing w:before="0" w:after="0"/>
              <w:ind w:left="0" w:right="0" w:hanging="0"/>
              <w:rPr/>
            </w:pPr>
            <w:r>
              <w:rPr/>
              <w:t> </w:t>
            </w:r>
          </w:p>
        </w:tc>
        <w:tc>
          <w:tcPr>
            <w:tcW w:w="8963" w:type="dxa"/>
            <w:gridSpan w:val="2"/>
            <w:tcBorders/>
            <w:shd w:fill="auto" w:val="clear"/>
            <w:vAlign w:val="center"/>
          </w:tcPr>
          <w:p>
            <w:pPr>
              <w:pStyle w:val="TableContents"/>
              <w:spacing w:before="0" w:after="0"/>
              <w:ind w:left="0" w:right="0" w:hanging="0"/>
              <w:jc w:val="both"/>
              <w:rPr/>
            </w:pPr>
            <w:hyperlink r:id="rId64">
              <w:r>
                <w:rPr>
                  <w:rStyle w:val="InternetLink"/>
                  <w:rFonts w:ascii="Times New Roman;Times;serif" w:hAnsi="Times New Roman;Times;serif"/>
                  <w:b w:val="false"/>
                  <w:i w:val="false"/>
                  <w:caps w:val="false"/>
                  <w:smallCaps w:val="false"/>
                  <w:sz w:val="20"/>
                </w:rPr>
                <w:t>Security Agreement, dated March 2, 2021, among SBUD LLC and Medicine Man Technologies, Inc., as grantors, and Starbuds Aurora LLC, as secured party (Incorporated by reference to Exhibit 4.12 to Medicine Man Technologies, Inc.’s Current Report on Form 8-K filed December 29, 2021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4.24</w:t>
            </w:r>
          </w:p>
        </w:tc>
        <w:tc>
          <w:tcPr>
            <w:tcW w:w="161" w:type="dxa"/>
            <w:tcBorders/>
            <w:shd w:fill="auto" w:val="clear"/>
            <w:vAlign w:val="center"/>
          </w:tcPr>
          <w:p>
            <w:pPr>
              <w:pStyle w:val="TableContents"/>
              <w:spacing w:before="0" w:after="0"/>
              <w:ind w:left="0" w:right="0" w:hanging="0"/>
              <w:rPr/>
            </w:pPr>
            <w:r>
              <w:rPr/>
              <w:t> </w:t>
            </w:r>
          </w:p>
        </w:tc>
        <w:tc>
          <w:tcPr>
            <w:tcW w:w="8963" w:type="dxa"/>
            <w:gridSpan w:val="2"/>
            <w:tcBorders/>
            <w:shd w:fill="auto" w:val="clear"/>
            <w:vAlign w:val="center"/>
          </w:tcPr>
          <w:p>
            <w:pPr>
              <w:pStyle w:val="TableContents"/>
              <w:spacing w:before="0" w:after="0"/>
              <w:ind w:left="0" w:right="0" w:hanging="0"/>
              <w:jc w:val="both"/>
              <w:rPr/>
            </w:pPr>
            <w:hyperlink r:id="rId65">
              <w:r>
                <w:rPr>
                  <w:rStyle w:val="InternetLink"/>
                  <w:rFonts w:ascii="Times New Roman;Times;serif" w:hAnsi="Times New Roman;Times;serif"/>
                  <w:b w:val="false"/>
                  <w:i w:val="false"/>
                  <w:caps w:val="false"/>
                  <w:smallCaps w:val="false"/>
                  <w:sz w:val="20"/>
                </w:rPr>
                <w:t>Security Agreement, dated March 2, 2021, among SBUD LLC and Medicine Man Technologies, Inc., as grantors, and Starbuds Louisville LLC, as secured party (Incorporated by reference to Exhibit 4.13 to Medicine Man Technologies, Inc.’s Current Report on Form 8-K filed December 29, 2021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4.25</w:t>
            </w:r>
          </w:p>
        </w:tc>
        <w:tc>
          <w:tcPr>
            <w:tcW w:w="161" w:type="dxa"/>
            <w:tcBorders/>
            <w:shd w:fill="auto" w:val="clear"/>
            <w:vAlign w:val="center"/>
          </w:tcPr>
          <w:p>
            <w:pPr>
              <w:pStyle w:val="TableContents"/>
              <w:spacing w:before="0" w:after="0"/>
              <w:ind w:left="0" w:right="0" w:hanging="0"/>
              <w:rPr/>
            </w:pPr>
            <w:r>
              <w:rPr/>
              <w:t> </w:t>
            </w:r>
          </w:p>
        </w:tc>
        <w:tc>
          <w:tcPr>
            <w:tcW w:w="8963" w:type="dxa"/>
            <w:gridSpan w:val="2"/>
            <w:tcBorders/>
            <w:shd w:fill="auto" w:val="clear"/>
            <w:vAlign w:val="center"/>
          </w:tcPr>
          <w:p>
            <w:pPr>
              <w:pStyle w:val="TableContents"/>
              <w:spacing w:before="0" w:after="0"/>
              <w:ind w:left="0" w:right="0" w:hanging="0"/>
              <w:jc w:val="both"/>
              <w:rPr/>
            </w:pPr>
            <w:hyperlink r:id="rId66">
              <w:r>
                <w:rPr>
                  <w:rStyle w:val="InternetLink"/>
                  <w:rFonts w:ascii="Times New Roman;Times;serif" w:hAnsi="Times New Roman;Times;serif"/>
                  <w:b w:val="false"/>
                  <w:i w:val="false"/>
                  <w:caps w:val="false"/>
                  <w:smallCaps w:val="false"/>
                  <w:sz w:val="20"/>
                </w:rPr>
                <w:t>Loan Agreement, dated February 26, 2021, among Mesa Organics Ltd., Mesa Organics II Ltd., Mesa Organics III Ltd., Mesa Organics IV Ltd, SCG Holding, LLC and PBS Holdco LLC, as borrowers, SHWZ Altmore, LLC, as lender, and GGG Partners LLC, as collateral agent (Incorporated by reference to Exhibit 10.4 to Medicine Man Technologies, Inc.’s Current Report on Form 8-K filed March 4, 2021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4.26</w:t>
            </w:r>
          </w:p>
        </w:tc>
        <w:tc>
          <w:tcPr>
            <w:tcW w:w="161" w:type="dxa"/>
            <w:tcBorders/>
            <w:shd w:fill="auto" w:val="clear"/>
            <w:vAlign w:val="center"/>
          </w:tcPr>
          <w:p>
            <w:pPr>
              <w:pStyle w:val="TableContents"/>
              <w:spacing w:before="0" w:after="0"/>
              <w:ind w:left="0" w:right="0" w:hanging="0"/>
              <w:rPr/>
            </w:pPr>
            <w:r>
              <w:rPr/>
              <w:t> </w:t>
            </w:r>
          </w:p>
        </w:tc>
        <w:tc>
          <w:tcPr>
            <w:tcW w:w="8963" w:type="dxa"/>
            <w:gridSpan w:val="2"/>
            <w:tcBorders/>
            <w:shd w:fill="auto" w:val="clear"/>
            <w:vAlign w:val="center"/>
          </w:tcPr>
          <w:p>
            <w:pPr>
              <w:pStyle w:val="TableContents"/>
              <w:spacing w:before="0" w:after="0"/>
              <w:ind w:left="0" w:right="0" w:hanging="0"/>
              <w:jc w:val="both"/>
              <w:rPr/>
            </w:pPr>
            <w:hyperlink r:id="rId67">
              <w:r>
                <w:rPr>
                  <w:rStyle w:val="InternetLink"/>
                  <w:rFonts w:ascii="Times New Roman;Times;serif" w:hAnsi="Times New Roman;Times;serif"/>
                  <w:b w:val="false"/>
                  <w:i w:val="false"/>
                  <w:caps w:val="false"/>
                  <w:smallCaps w:val="false"/>
                  <w:sz w:val="20"/>
                </w:rPr>
                <w:t>Promissory Note, dated February 26, 2021, issued by Mesa Organics Ltd., Mesa Organics II Ltd., Mesa Organics III Ltd., Mesa Organics IV Ltd, SCG Holding, LLC and PBS Holdco LLC, as borrowers, to SHWZ Altmore, LLC, as lender (Incorporated by reference to Exhibit 10.5 to Medicine Man Technologies, Inc.’s Current Report on Form 8-K filed March 4, 2021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4.27</w:t>
            </w:r>
          </w:p>
        </w:tc>
        <w:tc>
          <w:tcPr>
            <w:tcW w:w="161" w:type="dxa"/>
            <w:tcBorders/>
            <w:shd w:fill="auto" w:val="clear"/>
            <w:vAlign w:val="center"/>
          </w:tcPr>
          <w:p>
            <w:pPr>
              <w:pStyle w:val="TableContents"/>
              <w:spacing w:before="0" w:after="0"/>
              <w:ind w:left="0" w:right="0" w:hanging="0"/>
              <w:rPr/>
            </w:pPr>
            <w:r>
              <w:rPr/>
              <w:t> </w:t>
            </w:r>
          </w:p>
        </w:tc>
        <w:tc>
          <w:tcPr>
            <w:tcW w:w="8963" w:type="dxa"/>
            <w:gridSpan w:val="2"/>
            <w:tcBorders/>
            <w:shd w:fill="auto" w:val="clear"/>
            <w:vAlign w:val="center"/>
          </w:tcPr>
          <w:p>
            <w:pPr>
              <w:pStyle w:val="TableContents"/>
              <w:spacing w:before="0" w:after="0"/>
              <w:ind w:left="0" w:right="0" w:hanging="0"/>
              <w:jc w:val="both"/>
              <w:rPr/>
            </w:pPr>
            <w:hyperlink r:id="rId68">
              <w:r>
                <w:rPr>
                  <w:rStyle w:val="InternetLink"/>
                  <w:rFonts w:ascii="Times New Roman;Times;serif" w:hAnsi="Times New Roman;Times;serif"/>
                  <w:b w:val="false"/>
                  <w:i w:val="false"/>
                  <w:caps w:val="false"/>
                  <w:smallCaps w:val="false"/>
                  <w:sz w:val="20"/>
                </w:rPr>
                <w:t>Security Agreement, dated February 26, 2021, between Mesa Organics Ltd., Mesa Organics II Ltd., Mesa Organics III Ltd., Mesa Organics IV Ltd, SCG Holding, LLC and PBS Holdco LLC, as grantors, and GGG Partners LLC, as collateral agent (Incorporated by reference to Exhibit 10.6 to Medicine Man Technologies, Inc.’s Current Report on Form 8-K filed March 4, 2021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4.28</w:t>
            </w:r>
          </w:p>
        </w:tc>
        <w:tc>
          <w:tcPr>
            <w:tcW w:w="161" w:type="dxa"/>
            <w:tcBorders/>
            <w:shd w:fill="auto" w:val="clear"/>
            <w:vAlign w:val="center"/>
          </w:tcPr>
          <w:p>
            <w:pPr>
              <w:pStyle w:val="TableContents"/>
              <w:spacing w:before="0" w:after="0"/>
              <w:ind w:left="0" w:right="0" w:hanging="0"/>
              <w:rPr/>
            </w:pPr>
            <w:r>
              <w:rPr/>
              <w:t> </w:t>
            </w:r>
          </w:p>
        </w:tc>
        <w:tc>
          <w:tcPr>
            <w:tcW w:w="8963" w:type="dxa"/>
            <w:gridSpan w:val="2"/>
            <w:tcBorders/>
            <w:shd w:fill="auto" w:val="clear"/>
            <w:vAlign w:val="center"/>
          </w:tcPr>
          <w:p>
            <w:pPr>
              <w:pStyle w:val="TableContents"/>
              <w:spacing w:before="0" w:after="0"/>
              <w:ind w:left="0" w:right="0" w:hanging="0"/>
              <w:jc w:val="both"/>
              <w:rPr/>
            </w:pPr>
            <w:hyperlink r:id="rId69">
              <w:r>
                <w:rPr>
                  <w:rStyle w:val="InternetLink"/>
                  <w:rFonts w:ascii="Times New Roman;Times;serif" w:hAnsi="Times New Roman;Times;serif"/>
                  <w:b w:val="false"/>
                  <w:i w:val="false"/>
                  <w:caps w:val="false"/>
                  <w:smallCaps w:val="false"/>
                  <w:sz w:val="20"/>
                </w:rPr>
                <w:t>Parent Guaranty, dated February 26, 2021, between Medicine Man Technologies, Inc, as guarantor, and GGG Partners LLC, as collateral agent (Incorporated by reference to Exhibit 10.7 to Medicine Man Technologies, Inc.’s Current Report on Form 8-K filed March 4, 2021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4.29</w:t>
            </w:r>
          </w:p>
        </w:tc>
        <w:tc>
          <w:tcPr>
            <w:tcW w:w="161" w:type="dxa"/>
            <w:tcBorders/>
            <w:shd w:fill="auto" w:val="clear"/>
            <w:vAlign w:val="center"/>
          </w:tcPr>
          <w:p>
            <w:pPr>
              <w:pStyle w:val="TableContents"/>
              <w:spacing w:before="0" w:after="0"/>
              <w:ind w:left="0" w:right="0" w:hanging="0"/>
              <w:rPr/>
            </w:pPr>
            <w:r>
              <w:rPr/>
              <w:t> </w:t>
            </w:r>
          </w:p>
        </w:tc>
        <w:tc>
          <w:tcPr>
            <w:tcW w:w="8963" w:type="dxa"/>
            <w:gridSpan w:val="2"/>
            <w:tcBorders/>
            <w:shd w:fill="auto" w:val="clear"/>
            <w:vAlign w:val="center"/>
          </w:tcPr>
          <w:p>
            <w:pPr>
              <w:pStyle w:val="TableContents"/>
              <w:spacing w:before="0" w:after="0"/>
              <w:ind w:left="0" w:right="0" w:hanging="0"/>
              <w:jc w:val="both"/>
              <w:rPr/>
            </w:pPr>
            <w:hyperlink r:id="rId70">
              <w:r>
                <w:rPr>
                  <w:rStyle w:val="InternetLink"/>
                  <w:rFonts w:ascii="Times New Roman;Times;serif" w:hAnsi="Times New Roman;Times;serif"/>
                  <w:b w:val="false"/>
                  <w:i w:val="false"/>
                  <w:caps w:val="false"/>
                  <w:smallCaps w:val="false"/>
                  <w:sz w:val="20"/>
                </w:rPr>
                <w:t>First Amendment to Loan Agreement, dated July 28 2021, by and among Mesa Organics Ltd., SHWZ Altmore, LLC and GGG Partners, LLC (Incorporated by reference to Exhibit 10.1 to Medicine Man Technologies, Inc.’s Current Report on Form 8-K filed August 3, 2021 (Commission File No. 000-55450))</w:t>
              </w:r>
            </w:hyperlink>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1081"/>
        <w:gridCol w:w="161"/>
        <w:gridCol w:w="1142"/>
        <w:gridCol w:w="7821"/>
      </w:tblGrid>
      <w:tr>
        <w:trPr/>
        <w:tc>
          <w:tcPr>
            <w:tcW w:w="1081" w:type="dxa"/>
            <w:tcBorders/>
            <w:shd w:fill="auto" w:val="clear"/>
            <w:vAlign w:val="center"/>
          </w:tcPr>
          <w:p>
            <w:pPr>
              <w:pStyle w:val="TableHeading"/>
              <w:spacing w:before="0" w:after="283"/>
              <w:ind w:left="0" w:right="0" w:hanging="0"/>
              <w:rPr>
                <w:sz w:val="4"/>
                <w:szCs w:val="4"/>
              </w:rPr>
            </w:pPr>
            <w:r>
              <w:rPr>
                <w:sz w:val="4"/>
                <w:szCs w:val="4"/>
              </w:rPr>
            </w:r>
          </w:p>
        </w:tc>
        <w:tc>
          <w:tcPr>
            <w:tcW w:w="1303" w:type="dxa"/>
            <w:gridSpan w:val="2"/>
            <w:tcBorders/>
            <w:shd w:fill="auto" w:val="clear"/>
            <w:vAlign w:val="center"/>
          </w:tcPr>
          <w:p>
            <w:pPr>
              <w:pStyle w:val="TableHeading"/>
              <w:spacing w:before="0" w:after="283"/>
              <w:ind w:left="0" w:right="0" w:hanging="0"/>
              <w:rPr>
                <w:sz w:val="4"/>
                <w:szCs w:val="4"/>
              </w:rPr>
            </w:pPr>
            <w:r>
              <w:rPr>
                <w:sz w:val="4"/>
                <w:szCs w:val="4"/>
              </w:rPr>
            </w:r>
          </w:p>
        </w:tc>
        <w:tc>
          <w:tcPr>
            <w:tcW w:w="7821" w:type="dxa"/>
            <w:tcBorders/>
            <w:shd w:fill="auto" w:val="clear"/>
            <w:vAlign w:val="center"/>
          </w:tcPr>
          <w:p>
            <w:pPr>
              <w:pStyle w:val="TableHeading"/>
              <w:spacing w:before="0" w:after="283"/>
              <w:ind w:left="0" w:right="0" w:hanging="0"/>
              <w:rPr>
                <w:sz w:val="4"/>
                <w:szCs w:val="4"/>
              </w:rPr>
            </w:pPr>
            <w:r>
              <w:rPr>
                <w:sz w:val="4"/>
                <w:szCs w:val="4"/>
              </w:rPr>
            </w:r>
          </w:p>
        </w:tc>
      </w:tr>
      <w:tr>
        <w:trPr/>
        <w:tc>
          <w:tcPr>
            <w:tcW w:w="1081" w:type="dxa"/>
            <w:tcBorders>
              <w:bottom w:val="single" w:sz="2" w:space="0" w:color="000000"/>
            </w:tcBorders>
            <w:shd w:fill="auto" w:val="clear"/>
            <w:tcMar>
              <w:bottom w:w="28" w:type="dxa"/>
            </w:tcMar>
            <w:vAlign w:val="center"/>
          </w:tcPr>
          <w:p>
            <w:pPr>
              <w:pStyle w:val="TableHeading"/>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No.</w:t>
            </w:r>
          </w:p>
        </w:tc>
        <w:tc>
          <w:tcPr>
            <w:tcW w:w="1303" w:type="dxa"/>
            <w:gridSpan w:val="2"/>
            <w:tcBorders/>
            <w:shd w:fill="auto" w:val="clear"/>
            <w:vAlign w:val="center"/>
          </w:tcPr>
          <w:p>
            <w:pPr>
              <w:pStyle w:val="TableHeading"/>
              <w:spacing w:before="0" w:after="0"/>
              <w:ind w:left="0" w:right="0" w:hanging="0"/>
              <w:jc w:val="left"/>
              <w:rPr/>
            </w:pPr>
            <w:r>
              <w:rPr/>
              <w:t>    </w:t>
            </w:r>
          </w:p>
        </w:tc>
        <w:tc>
          <w:tcPr>
            <w:tcW w:w="7821" w:type="dxa"/>
            <w:tcBorders>
              <w:bottom w:val="single" w:sz="2" w:space="0" w:color="000000"/>
            </w:tcBorders>
            <w:shd w:fill="auto" w:val="clear"/>
            <w:tcMar>
              <w:bottom w:w="28" w:type="dxa"/>
            </w:tcMar>
            <w:vAlign w:val="center"/>
          </w:tcPr>
          <w:p>
            <w:pPr>
              <w:pStyle w:val="TableHeading"/>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4.30 </w:t>
            </w:r>
          </w:p>
        </w:tc>
        <w:tc>
          <w:tcPr>
            <w:tcW w:w="161" w:type="dxa"/>
            <w:tcBorders/>
            <w:shd w:fill="auto" w:val="clear"/>
            <w:vAlign w:val="center"/>
          </w:tcPr>
          <w:p>
            <w:pPr>
              <w:pStyle w:val="TableContents"/>
              <w:spacing w:before="0" w:after="0"/>
              <w:ind w:left="0" w:right="0" w:hanging="0"/>
              <w:rPr/>
            </w:pPr>
            <w:r>
              <w:rPr/>
              <w:t> </w:t>
            </w:r>
          </w:p>
        </w:tc>
        <w:tc>
          <w:tcPr>
            <w:tcW w:w="8963" w:type="dxa"/>
            <w:gridSpan w:val="2"/>
            <w:tcBorders/>
            <w:shd w:fill="auto" w:val="clear"/>
            <w:vAlign w:val="center"/>
          </w:tcPr>
          <w:p>
            <w:pPr>
              <w:pStyle w:val="TableContents"/>
              <w:spacing w:before="0" w:after="0"/>
              <w:ind w:left="0" w:right="0" w:hanging="0"/>
              <w:jc w:val="both"/>
              <w:rPr/>
            </w:pPr>
            <w:hyperlink r:id="rId71">
              <w:r>
                <w:rPr>
                  <w:rStyle w:val="InternetLink"/>
                  <w:rFonts w:ascii="Times New Roman;Times;serif" w:hAnsi="Times New Roman;Times;serif"/>
                  <w:b w:val="false"/>
                  <w:i w:val="false"/>
                  <w:caps w:val="false"/>
                  <w:smallCaps w:val="false"/>
                  <w:sz w:val="20"/>
                </w:rPr>
                <w:t>Promissory Note, dated February 8, 2022, issued by Nuevo Holding, LLC to Reynold Greenleaf &amp; Associated, LLC (Incorporated by reference to Exhibit 4.33 of Medicine Man Technologies, Inc.’s Annual Report on Form 10-K filed March 31, 2022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w:t>
            </w:r>
          </w:p>
        </w:tc>
        <w:tc>
          <w:tcPr>
            <w:tcW w:w="161" w:type="dxa"/>
            <w:tcBorders/>
            <w:shd w:fill="auto" w:val="clear"/>
            <w:vAlign w:val="center"/>
          </w:tcPr>
          <w:p>
            <w:pPr>
              <w:pStyle w:val="TableContents"/>
              <w:spacing w:before="0" w:after="0"/>
              <w:ind w:left="0" w:right="0" w:hanging="0"/>
              <w:rPr/>
            </w:pPr>
            <w:r>
              <w:rPr/>
              <w:t> </w:t>
            </w:r>
          </w:p>
        </w:tc>
        <w:tc>
          <w:tcPr>
            <w:tcW w:w="8963" w:type="dxa"/>
            <w:gridSpan w:val="2"/>
            <w:tcBorders/>
            <w:shd w:fill="auto" w:val="clear"/>
            <w:vAlign w:val="center"/>
          </w:tcPr>
          <w:p>
            <w:pPr>
              <w:pStyle w:val="TableContents"/>
              <w:spacing w:before="0" w:after="0"/>
              <w:ind w:left="0" w:right="0" w:hanging="0"/>
              <w:jc w:val="both"/>
              <w:rPr/>
            </w:pPr>
            <w:hyperlink r:id="rId72">
              <w:r>
                <w:rPr>
                  <w:rStyle w:val="InternetLink"/>
                  <w:rFonts w:ascii="Times New Roman;Times;serif" w:hAnsi="Times New Roman;Times;serif"/>
                  <w:b w:val="false"/>
                  <w:i w:val="false"/>
                  <w:caps w:val="false"/>
                  <w:smallCaps w:val="false"/>
                  <w:sz w:val="20"/>
                </w:rPr>
                <w:t>Securities Purchase Agreement by and between Medicine Man Technologies, Inc. and Dye Capital Cann Holdings, LLC (Incorporated by reference to Exhibit 10.1 of Medicine Man Technologies, Inc.’s Current Report on Form 8-K filed June 6, 2019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10.2</w:t>
            </w:r>
          </w:p>
        </w:tc>
        <w:tc>
          <w:tcPr>
            <w:tcW w:w="161" w:type="dxa"/>
            <w:tcBorders/>
            <w:shd w:fill="auto" w:val="clear"/>
            <w:vAlign w:val="center"/>
          </w:tcPr>
          <w:p>
            <w:pPr>
              <w:pStyle w:val="TableContents"/>
              <w:spacing w:before="0" w:after="0"/>
              <w:ind w:left="0" w:right="0" w:hanging="0"/>
              <w:rPr/>
            </w:pPr>
            <w:r>
              <w:rPr/>
              <w:t> </w:t>
            </w:r>
          </w:p>
        </w:tc>
        <w:tc>
          <w:tcPr>
            <w:tcW w:w="8963" w:type="dxa"/>
            <w:gridSpan w:val="2"/>
            <w:tcBorders/>
            <w:shd w:fill="auto" w:val="clear"/>
            <w:vAlign w:val="center"/>
          </w:tcPr>
          <w:p>
            <w:pPr>
              <w:pStyle w:val="TableContents"/>
              <w:spacing w:before="0" w:after="0"/>
              <w:ind w:left="0" w:right="0" w:hanging="0"/>
              <w:jc w:val="both"/>
              <w:rPr/>
            </w:pPr>
            <w:hyperlink r:id="rId73">
              <w:r>
                <w:rPr>
                  <w:rStyle w:val="InternetLink"/>
                  <w:rFonts w:ascii="Times New Roman;Times;serif" w:hAnsi="Times New Roman;Times;serif"/>
                  <w:b w:val="false"/>
                  <w:i w:val="false"/>
                  <w:caps w:val="false"/>
                  <w:smallCaps w:val="false"/>
                  <w:sz w:val="20"/>
                </w:rPr>
                <w:t>Amendment to Securities Purchase Agreement by and between Medicine Man Technologies, Inc. and Dye Capital Cann Holdings, LLC (Incorporated by reference to Exhibit 10.1 of Medicine Man Technologies, Inc.’ s Current Report on Form 8-K filed July 17, 2019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10.3</w:t>
            </w:r>
          </w:p>
        </w:tc>
        <w:tc>
          <w:tcPr>
            <w:tcW w:w="161" w:type="dxa"/>
            <w:tcBorders/>
            <w:shd w:fill="auto" w:val="clear"/>
            <w:vAlign w:val="center"/>
          </w:tcPr>
          <w:p>
            <w:pPr>
              <w:pStyle w:val="TableContents"/>
              <w:spacing w:before="0" w:after="0"/>
              <w:ind w:left="0" w:right="0" w:hanging="0"/>
              <w:rPr/>
            </w:pPr>
            <w:r>
              <w:rPr/>
              <w:t> </w:t>
            </w:r>
          </w:p>
        </w:tc>
        <w:tc>
          <w:tcPr>
            <w:tcW w:w="8963" w:type="dxa"/>
            <w:gridSpan w:val="2"/>
            <w:tcBorders/>
            <w:shd w:fill="auto" w:val="clear"/>
            <w:vAlign w:val="center"/>
          </w:tcPr>
          <w:p>
            <w:pPr>
              <w:pStyle w:val="TableContents"/>
              <w:spacing w:before="0" w:after="0"/>
              <w:ind w:left="0" w:right="0" w:hanging="0"/>
              <w:jc w:val="both"/>
              <w:rPr/>
            </w:pPr>
            <w:hyperlink r:id="rId74">
              <w:r>
                <w:rPr>
                  <w:rStyle w:val="InternetLink"/>
                  <w:rFonts w:ascii="Times New Roman;Times;serif" w:hAnsi="Times New Roman;Times;serif"/>
                  <w:b w:val="false"/>
                  <w:i w:val="false"/>
                  <w:caps w:val="false"/>
                  <w:smallCaps w:val="false"/>
                  <w:sz w:val="20"/>
                </w:rPr>
                <w:t>Amendment to Securities Purchase Agreement by and between Medicine Man Technologies, Inc. and Dye Capital Cann Holdings, LLC (Incorporated by reference to Exhibit 10.1 of Medicine Man Technologies, Inc.’s Current Report on Form 8-K filed May 22, 2020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10.4*</w:t>
            </w:r>
          </w:p>
        </w:tc>
        <w:tc>
          <w:tcPr>
            <w:tcW w:w="161" w:type="dxa"/>
            <w:tcBorders/>
            <w:shd w:fill="auto" w:val="clear"/>
            <w:vAlign w:val="center"/>
          </w:tcPr>
          <w:p>
            <w:pPr>
              <w:pStyle w:val="TableContents"/>
              <w:spacing w:before="0" w:after="0"/>
              <w:ind w:left="0" w:right="0" w:hanging="0"/>
              <w:rPr/>
            </w:pPr>
            <w:r>
              <w:rPr/>
              <w:t> </w:t>
            </w:r>
          </w:p>
        </w:tc>
        <w:tc>
          <w:tcPr>
            <w:tcW w:w="8963" w:type="dxa"/>
            <w:gridSpan w:val="2"/>
            <w:tcBorders/>
            <w:shd w:fill="auto" w:val="clear"/>
            <w:vAlign w:val="center"/>
          </w:tcPr>
          <w:p>
            <w:pPr>
              <w:pStyle w:val="TableContents"/>
              <w:spacing w:before="0" w:after="0"/>
              <w:ind w:left="0" w:right="0" w:hanging="0"/>
              <w:jc w:val="both"/>
              <w:rPr/>
            </w:pPr>
            <w:hyperlink r:id="rId75">
              <w:r>
                <w:rPr>
                  <w:rStyle w:val="InternetLink"/>
                  <w:rFonts w:ascii="Times New Roman;Times;serif" w:hAnsi="Times New Roman;Times;serif"/>
                  <w:b w:val="false"/>
                  <w:i w:val="false"/>
                  <w:caps w:val="false"/>
                  <w:smallCaps w:val="false"/>
                  <w:sz w:val="20"/>
                </w:rPr>
                <w:t>Employment Agreement dated December 5, 2019 by and between Justin Dye and Medicine Man Technologies, Inc. (Incorporated by reference to Exhibit 10.10 of Medicine Man Technologies, Inc.’s Annual Report on Form 10-K filed March 30, 2020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10.5*</w:t>
            </w:r>
          </w:p>
        </w:tc>
        <w:tc>
          <w:tcPr>
            <w:tcW w:w="161" w:type="dxa"/>
            <w:tcBorders/>
            <w:shd w:fill="auto" w:val="clear"/>
            <w:vAlign w:val="center"/>
          </w:tcPr>
          <w:p>
            <w:pPr>
              <w:pStyle w:val="TableContents"/>
              <w:spacing w:before="0" w:after="0"/>
              <w:ind w:left="0" w:right="0" w:hanging="0"/>
              <w:rPr/>
            </w:pPr>
            <w:r>
              <w:rPr/>
              <w:t> </w:t>
            </w:r>
          </w:p>
        </w:tc>
        <w:tc>
          <w:tcPr>
            <w:tcW w:w="8963" w:type="dxa"/>
            <w:gridSpan w:val="2"/>
            <w:tcBorders/>
            <w:shd w:fill="auto" w:val="clear"/>
            <w:vAlign w:val="center"/>
          </w:tcPr>
          <w:p>
            <w:pPr>
              <w:pStyle w:val="TableContents"/>
              <w:spacing w:before="0" w:after="0"/>
              <w:ind w:left="0" w:right="0" w:hanging="0"/>
              <w:jc w:val="both"/>
              <w:rPr/>
            </w:pPr>
            <w:hyperlink r:id="rId76">
              <w:r>
                <w:rPr>
                  <w:rStyle w:val="InternetLink"/>
                  <w:rFonts w:ascii="Times New Roman;Times;serif" w:hAnsi="Times New Roman;Times;serif"/>
                  <w:b w:val="false"/>
                  <w:i w:val="false"/>
                  <w:caps w:val="false"/>
                  <w:smallCaps w:val="false"/>
                  <w:sz w:val="20"/>
                </w:rPr>
                <w:t>Employment Agreement dated December 5, 2019 by and between Nancy Huber and Medicine Man Technologies, Inc. (Incorporated by reference to Exhibit 10.11 of Medicine Man Technologies, Inc.’s Annual Report on Form 10-K filed March 30, 2020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10.6*</w:t>
            </w:r>
          </w:p>
        </w:tc>
        <w:tc>
          <w:tcPr>
            <w:tcW w:w="161" w:type="dxa"/>
            <w:tcBorders/>
            <w:shd w:fill="auto" w:val="clear"/>
            <w:vAlign w:val="center"/>
          </w:tcPr>
          <w:p>
            <w:pPr>
              <w:pStyle w:val="TableContents"/>
              <w:spacing w:before="0" w:after="0"/>
              <w:ind w:left="0" w:right="0" w:hanging="0"/>
              <w:rPr/>
            </w:pPr>
            <w:r>
              <w:rPr/>
              <w:t> </w:t>
            </w:r>
          </w:p>
        </w:tc>
        <w:tc>
          <w:tcPr>
            <w:tcW w:w="8963" w:type="dxa"/>
            <w:gridSpan w:val="2"/>
            <w:tcBorders/>
            <w:shd w:fill="auto" w:val="clear"/>
            <w:vAlign w:val="center"/>
          </w:tcPr>
          <w:p>
            <w:pPr>
              <w:pStyle w:val="TableContents"/>
              <w:spacing w:before="0" w:after="0"/>
              <w:ind w:left="0" w:right="0" w:hanging="0"/>
              <w:jc w:val="both"/>
              <w:rPr/>
            </w:pPr>
            <w:hyperlink r:id="rId77">
              <w:r>
                <w:rPr>
                  <w:rStyle w:val="InternetLink"/>
                  <w:rFonts w:ascii="Times New Roman;Times;serif" w:hAnsi="Times New Roman;Times;serif"/>
                  <w:b w:val="false"/>
                  <w:i w:val="false"/>
                  <w:caps w:val="false"/>
                  <w:smallCaps w:val="false"/>
                  <w:sz w:val="20"/>
                </w:rPr>
                <w:t>Amendment to Employment Agreement dated February 6, 2020 by and between Nancy Huber and Medicine Man Technologies, Inc. (Incorporated by reference to Exhibit 10.12 of Medicine Man Technologies, Inc.’s Annual Report on Form 10-K filed March 30, 2020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10.7*</w:t>
            </w:r>
          </w:p>
        </w:tc>
        <w:tc>
          <w:tcPr>
            <w:tcW w:w="161" w:type="dxa"/>
            <w:tcBorders/>
            <w:shd w:fill="auto" w:val="clear"/>
            <w:vAlign w:val="center"/>
          </w:tcPr>
          <w:p>
            <w:pPr>
              <w:pStyle w:val="TableContents"/>
              <w:spacing w:before="0" w:after="0"/>
              <w:ind w:left="0" w:right="0" w:hanging="0"/>
              <w:rPr/>
            </w:pPr>
            <w:r>
              <w:rPr/>
              <w:t> </w:t>
            </w:r>
          </w:p>
        </w:tc>
        <w:tc>
          <w:tcPr>
            <w:tcW w:w="8963" w:type="dxa"/>
            <w:gridSpan w:val="2"/>
            <w:tcBorders/>
            <w:shd w:fill="auto" w:val="clear"/>
            <w:vAlign w:val="center"/>
          </w:tcPr>
          <w:p>
            <w:pPr>
              <w:pStyle w:val="TableContents"/>
              <w:spacing w:before="0" w:after="0"/>
              <w:ind w:left="0" w:right="0" w:hanging="0"/>
              <w:jc w:val="both"/>
              <w:rPr/>
            </w:pPr>
            <w:hyperlink r:id="rId78">
              <w:r>
                <w:rPr>
                  <w:rStyle w:val="InternetLink"/>
                  <w:rFonts w:ascii="Times New Roman;Times;serif" w:hAnsi="Times New Roman;Times;serif"/>
                  <w:b w:val="false"/>
                  <w:i w:val="false"/>
                  <w:caps w:val="false"/>
                  <w:smallCaps w:val="false"/>
                  <w:sz w:val="20"/>
                </w:rPr>
                <w:t>Employment Agreement dated August 12, 2019 by and between Daniel R. Pabon and Medicine Man Technologies, Inc. (Incorporated by reference to Exhibit 10.14 of Medicine Man Technologies, Inc.’s Annual Report on Form 10-K filed March 30, 2020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10.8*</w:t>
            </w:r>
          </w:p>
        </w:tc>
        <w:tc>
          <w:tcPr>
            <w:tcW w:w="161" w:type="dxa"/>
            <w:tcBorders/>
            <w:shd w:fill="auto" w:val="clear"/>
            <w:vAlign w:val="center"/>
          </w:tcPr>
          <w:p>
            <w:pPr>
              <w:pStyle w:val="TableContents"/>
              <w:spacing w:before="0" w:after="0"/>
              <w:ind w:left="0" w:right="0" w:hanging="0"/>
              <w:rPr/>
            </w:pPr>
            <w:r>
              <w:rPr/>
              <w:t> </w:t>
            </w:r>
          </w:p>
        </w:tc>
        <w:tc>
          <w:tcPr>
            <w:tcW w:w="8963" w:type="dxa"/>
            <w:gridSpan w:val="2"/>
            <w:tcBorders/>
            <w:shd w:fill="auto" w:val="clear"/>
            <w:vAlign w:val="center"/>
          </w:tcPr>
          <w:p>
            <w:pPr>
              <w:pStyle w:val="TableContents"/>
              <w:spacing w:before="0" w:after="0"/>
              <w:ind w:left="0" w:right="0" w:hanging="0"/>
              <w:jc w:val="both"/>
              <w:rPr/>
            </w:pPr>
            <w:hyperlink r:id="rId79">
              <w:r>
                <w:rPr>
                  <w:rStyle w:val="InternetLink"/>
                  <w:rFonts w:ascii="Times New Roman;Times;serif" w:hAnsi="Times New Roman;Times;serif"/>
                  <w:b w:val="false"/>
                  <w:i w:val="false"/>
                  <w:caps w:val="false"/>
                  <w:smallCaps w:val="false"/>
                  <w:sz w:val="20"/>
                </w:rPr>
                <w:t>Employment Agreement dated March 1, 2020 by and between Nirup Krishnamurthy and Medicine Man Technologies, Inc. (Incorporated by reference to Exhibit 10.1 of Medicine Man Technologies, Inc.’s Current Report on Form 8-K filed September 15, 2020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10.9</w:t>
            </w:r>
          </w:p>
        </w:tc>
        <w:tc>
          <w:tcPr>
            <w:tcW w:w="161" w:type="dxa"/>
            <w:tcBorders/>
            <w:shd w:fill="auto" w:val="clear"/>
            <w:vAlign w:val="center"/>
          </w:tcPr>
          <w:p>
            <w:pPr>
              <w:pStyle w:val="TableContents"/>
              <w:spacing w:before="0" w:after="0"/>
              <w:ind w:left="0" w:right="0" w:hanging="0"/>
              <w:rPr/>
            </w:pPr>
            <w:r>
              <w:rPr/>
              <w:t> </w:t>
            </w:r>
          </w:p>
        </w:tc>
        <w:tc>
          <w:tcPr>
            <w:tcW w:w="8963" w:type="dxa"/>
            <w:gridSpan w:val="2"/>
            <w:tcBorders/>
            <w:shd w:fill="auto" w:val="clear"/>
            <w:vAlign w:val="center"/>
          </w:tcPr>
          <w:p>
            <w:pPr>
              <w:pStyle w:val="TableContents"/>
              <w:spacing w:before="0" w:after="0"/>
              <w:ind w:left="0" w:right="0" w:hanging="0"/>
              <w:jc w:val="both"/>
              <w:rPr/>
            </w:pPr>
            <w:hyperlink r:id="rId80">
              <w:r>
                <w:rPr>
                  <w:rStyle w:val="InternetLink"/>
                  <w:rFonts w:ascii="Times New Roman;Times;serif" w:hAnsi="Times New Roman;Times;serif"/>
                  <w:b w:val="false"/>
                  <w:i w:val="false"/>
                  <w:caps w:val="false"/>
                  <w:smallCaps w:val="false"/>
                  <w:sz w:val="20"/>
                </w:rPr>
                <w:t>Securities Purchase Agreement, dated November 16, 2020, by and between Medicine Man Technologies, Inc. and Dye Capital Cann Holdings II, LLC (Incorporated by reference to Exhibit 10.1 to Medicine Man Technologies, Inc.’s Quarterly Report on Form 10-Q filed November 16, 2020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10.10</w:t>
            </w:r>
          </w:p>
        </w:tc>
        <w:tc>
          <w:tcPr>
            <w:tcW w:w="161" w:type="dxa"/>
            <w:tcBorders/>
            <w:shd w:fill="auto" w:val="clear"/>
            <w:vAlign w:val="center"/>
          </w:tcPr>
          <w:p>
            <w:pPr>
              <w:pStyle w:val="TableContents"/>
              <w:spacing w:before="0" w:after="0"/>
              <w:ind w:left="0" w:right="0" w:hanging="0"/>
              <w:rPr/>
            </w:pPr>
            <w:r>
              <w:rPr/>
              <w:t> </w:t>
            </w:r>
          </w:p>
        </w:tc>
        <w:tc>
          <w:tcPr>
            <w:tcW w:w="8963" w:type="dxa"/>
            <w:gridSpan w:val="2"/>
            <w:tcBorders/>
            <w:shd w:fill="auto" w:val="clear"/>
            <w:vAlign w:val="center"/>
          </w:tcPr>
          <w:p>
            <w:pPr>
              <w:pStyle w:val="TableContents"/>
              <w:spacing w:before="0" w:after="0"/>
              <w:ind w:left="0" w:right="0" w:hanging="0"/>
              <w:jc w:val="both"/>
              <w:rPr/>
            </w:pPr>
            <w:hyperlink r:id="rId81">
              <w:r>
                <w:rPr>
                  <w:rStyle w:val="InternetLink"/>
                  <w:rFonts w:ascii="Times New Roman;Times;serif" w:hAnsi="Times New Roman;Times;serif"/>
                  <w:b w:val="false"/>
                  <w:i w:val="false"/>
                  <w:caps w:val="false"/>
                  <w:smallCaps w:val="false"/>
                  <w:sz w:val="20"/>
                </w:rPr>
                <w:t>Amendment to Securities Purchase Agreement, dated December 16, 2020, by and between Medicine Man Technologies, Inc. and Dye Capital Cann Holdings II, LLC (Incorporated by reference to Exhibit 10.2 to Medicine Man Technologies, Inc.’s Current Report on Form 8-K filed December 23, 2020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10.11</w:t>
            </w:r>
          </w:p>
        </w:tc>
        <w:tc>
          <w:tcPr>
            <w:tcW w:w="161" w:type="dxa"/>
            <w:tcBorders/>
            <w:shd w:fill="auto" w:val="clear"/>
            <w:vAlign w:val="center"/>
          </w:tcPr>
          <w:p>
            <w:pPr>
              <w:pStyle w:val="TableContents"/>
              <w:spacing w:before="0" w:after="0"/>
              <w:ind w:left="0" w:right="0" w:hanging="0"/>
              <w:rPr/>
            </w:pPr>
            <w:r>
              <w:rPr/>
              <w:t> </w:t>
            </w:r>
          </w:p>
        </w:tc>
        <w:tc>
          <w:tcPr>
            <w:tcW w:w="8963" w:type="dxa"/>
            <w:gridSpan w:val="2"/>
            <w:tcBorders/>
            <w:shd w:fill="auto" w:val="clear"/>
            <w:vAlign w:val="center"/>
          </w:tcPr>
          <w:p>
            <w:pPr>
              <w:pStyle w:val="TableContents"/>
              <w:spacing w:before="0" w:after="0"/>
              <w:ind w:left="0" w:right="0" w:hanging="0"/>
              <w:jc w:val="both"/>
              <w:rPr/>
            </w:pPr>
            <w:hyperlink r:id="rId82">
              <w:r>
                <w:rPr>
                  <w:rStyle w:val="InternetLink"/>
                  <w:rFonts w:ascii="Times New Roman;Times;serif" w:hAnsi="Times New Roman;Times;serif"/>
                  <w:b w:val="false"/>
                  <w:i w:val="false"/>
                  <w:caps w:val="false"/>
                  <w:smallCaps w:val="false"/>
                  <w:sz w:val="20"/>
                </w:rPr>
                <w:t>Second Amendment to Securities Purchase Agreement, dated February 3, 2021, between Medicine Man Technologies, Inc. and Dye Capital Cann Holdings II, LLC (Incorporated by reference to Exhibit 10.1 to Medicine Man Technologies, Inc.’s Current Report on Form 8-K filed February 9, 2021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10.12</w:t>
            </w:r>
          </w:p>
        </w:tc>
        <w:tc>
          <w:tcPr>
            <w:tcW w:w="161" w:type="dxa"/>
            <w:tcBorders/>
            <w:shd w:fill="auto" w:val="clear"/>
            <w:vAlign w:val="center"/>
          </w:tcPr>
          <w:p>
            <w:pPr>
              <w:pStyle w:val="TableContents"/>
              <w:spacing w:before="0" w:after="0"/>
              <w:ind w:left="0" w:right="0" w:hanging="0"/>
              <w:rPr/>
            </w:pPr>
            <w:r>
              <w:rPr/>
              <w:t> </w:t>
            </w:r>
          </w:p>
        </w:tc>
        <w:tc>
          <w:tcPr>
            <w:tcW w:w="8963" w:type="dxa"/>
            <w:gridSpan w:val="2"/>
            <w:tcBorders/>
            <w:shd w:fill="auto" w:val="clear"/>
            <w:vAlign w:val="center"/>
          </w:tcPr>
          <w:p>
            <w:pPr>
              <w:pStyle w:val="TableContents"/>
              <w:spacing w:before="0" w:after="0"/>
              <w:ind w:left="0" w:right="0" w:hanging="0"/>
              <w:jc w:val="both"/>
              <w:rPr/>
            </w:pPr>
            <w:hyperlink r:id="rId83">
              <w:r>
                <w:rPr>
                  <w:rStyle w:val="InternetLink"/>
                  <w:rFonts w:ascii="Times New Roman;Times;serif" w:hAnsi="Times New Roman;Times;serif"/>
                  <w:b w:val="false"/>
                  <w:i w:val="false"/>
                  <w:caps w:val="false"/>
                  <w:smallCaps w:val="false"/>
                  <w:sz w:val="20"/>
                </w:rPr>
                <w:t>Third Amendment to Securities Purchase Agreement, dated March 30, 2021, between Medicine Man Technologies, Inc. and Dye Capital Cann Holdings II, LLC (Incorporated by reference to Exhibit 10.25 to Medicine Man Technologies, Inc.’s Annual Report on Form 10-K filed March 31, 2021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10.13</w:t>
            </w:r>
          </w:p>
        </w:tc>
        <w:tc>
          <w:tcPr>
            <w:tcW w:w="161" w:type="dxa"/>
            <w:tcBorders/>
            <w:shd w:fill="auto" w:val="clear"/>
            <w:vAlign w:val="center"/>
          </w:tcPr>
          <w:p>
            <w:pPr>
              <w:pStyle w:val="TableContents"/>
              <w:spacing w:before="0" w:after="0"/>
              <w:ind w:left="0" w:right="0" w:hanging="0"/>
              <w:rPr/>
            </w:pPr>
            <w:r>
              <w:rPr/>
              <w:t> </w:t>
            </w:r>
          </w:p>
        </w:tc>
        <w:tc>
          <w:tcPr>
            <w:tcW w:w="8963" w:type="dxa"/>
            <w:gridSpan w:val="2"/>
            <w:tcBorders/>
            <w:shd w:fill="auto" w:val="clear"/>
            <w:vAlign w:val="center"/>
          </w:tcPr>
          <w:p>
            <w:pPr>
              <w:pStyle w:val="TableContents"/>
              <w:spacing w:before="0" w:after="0"/>
              <w:ind w:left="0" w:right="0" w:hanging="0"/>
              <w:jc w:val="both"/>
              <w:rPr/>
            </w:pPr>
            <w:hyperlink r:id="rId84">
              <w:r>
                <w:rPr>
                  <w:rStyle w:val="InternetLink"/>
                  <w:rFonts w:ascii="Times New Roman;Times;serif" w:hAnsi="Times New Roman;Times;serif"/>
                  <w:b w:val="false"/>
                  <w:i w:val="false"/>
                  <w:caps w:val="false"/>
                  <w:smallCaps w:val="false"/>
                  <w:sz w:val="20"/>
                </w:rPr>
                <w:t>Letter Agreement, dated December 16, 2020, by and between Medicine Man Technologies, Inc. and Dye Capital Cann Holdings II, LLC(Incorporated by reference to Exhibit 10.21 to Medicine Man Technologies, Inc.’s Annual Report on Form 10-K filed March 31, 2021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10.14</w:t>
            </w:r>
          </w:p>
        </w:tc>
        <w:tc>
          <w:tcPr>
            <w:tcW w:w="161" w:type="dxa"/>
            <w:tcBorders/>
            <w:shd w:fill="auto" w:val="clear"/>
            <w:vAlign w:val="center"/>
          </w:tcPr>
          <w:p>
            <w:pPr>
              <w:pStyle w:val="TableContents"/>
              <w:spacing w:before="0" w:after="0"/>
              <w:ind w:left="0" w:right="0" w:hanging="0"/>
              <w:rPr/>
            </w:pPr>
            <w:r>
              <w:rPr/>
              <w:t> </w:t>
            </w:r>
          </w:p>
        </w:tc>
        <w:tc>
          <w:tcPr>
            <w:tcW w:w="8963" w:type="dxa"/>
            <w:gridSpan w:val="2"/>
            <w:tcBorders/>
            <w:shd w:fill="auto" w:val="clear"/>
            <w:vAlign w:val="center"/>
          </w:tcPr>
          <w:p>
            <w:pPr>
              <w:pStyle w:val="TableContents"/>
              <w:spacing w:before="0" w:after="0"/>
              <w:ind w:left="0" w:right="0" w:hanging="0"/>
              <w:jc w:val="both"/>
              <w:rPr/>
            </w:pPr>
            <w:hyperlink r:id="rId85">
              <w:r>
                <w:rPr>
                  <w:rStyle w:val="InternetLink"/>
                  <w:rFonts w:ascii="Times New Roman;Times;serif" w:hAnsi="Times New Roman;Times;serif"/>
                  <w:b w:val="false"/>
                  <w:i w:val="false"/>
                  <w:caps w:val="false"/>
                  <w:smallCaps w:val="false"/>
                  <w:sz w:val="20"/>
                </w:rPr>
                <w:t>Note Purchase Agreement, dated December 16, 2020, by and between Medicine Man Technologies, Inc. and Dye Capital &amp; Company, LLC (Incorporated by reference to Exhibit 10.4 to Medicine Man Technologies, Inc.’s Current Report on Form 8-K filed December 23, 2020 (Commission File No. 000-55450))</w:t>
              </w:r>
            </w:hyperlink>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1081"/>
        <w:gridCol w:w="161"/>
        <w:gridCol w:w="1141"/>
        <w:gridCol w:w="7822"/>
      </w:tblGrid>
      <w:tr>
        <w:trPr/>
        <w:tc>
          <w:tcPr>
            <w:tcW w:w="1081" w:type="dxa"/>
            <w:tcBorders/>
            <w:shd w:fill="auto" w:val="clear"/>
            <w:vAlign w:val="center"/>
          </w:tcPr>
          <w:p>
            <w:pPr>
              <w:pStyle w:val="TableHeading"/>
              <w:spacing w:before="0" w:after="283"/>
              <w:ind w:left="0" w:right="0" w:hanging="0"/>
              <w:rPr>
                <w:sz w:val="4"/>
                <w:szCs w:val="4"/>
              </w:rPr>
            </w:pPr>
            <w:r>
              <w:rPr>
                <w:sz w:val="4"/>
                <w:szCs w:val="4"/>
              </w:rPr>
            </w:r>
          </w:p>
        </w:tc>
        <w:tc>
          <w:tcPr>
            <w:tcW w:w="1302" w:type="dxa"/>
            <w:gridSpan w:val="2"/>
            <w:tcBorders/>
            <w:shd w:fill="auto" w:val="clear"/>
            <w:vAlign w:val="center"/>
          </w:tcPr>
          <w:p>
            <w:pPr>
              <w:pStyle w:val="TableHeading"/>
              <w:spacing w:before="0" w:after="283"/>
              <w:ind w:left="0" w:right="0" w:hanging="0"/>
              <w:rPr>
                <w:sz w:val="4"/>
                <w:szCs w:val="4"/>
              </w:rPr>
            </w:pPr>
            <w:r>
              <w:rPr>
                <w:sz w:val="4"/>
                <w:szCs w:val="4"/>
              </w:rPr>
            </w:r>
          </w:p>
        </w:tc>
        <w:tc>
          <w:tcPr>
            <w:tcW w:w="7822" w:type="dxa"/>
            <w:tcBorders/>
            <w:shd w:fill="auto" w:val="clear"/>
            <w:vAlign w:val="center"/>
          </w:tcPr>
          <w:p>
            <w:pPr>
              <w:pStyle w:val="TableHeading"/>
              <w:spacing w:before="0" w:after="283"/>
              <w:ind w:left="0" w:right="0" w:hanging="0"/>
              <w:rPr>
                <w:sz w:val="4"/>
                <w:szCs w:val="4"/>
              </w:rPr>
            </w:pPr>
            <w:r>
              <w:rPr>
                <w:sz w:val="4"/>
                <w:szCs w:val="4"/>
              </w:rPr>
            </w:r>
          </w:p>
        </w:tc>
      </w:tr>
      <w:tr>
        <w:trPr/>
        <w:tc>
          <w:tcPr>
            <w:tcW w:w="1081" w:type="dxa"/>
            <w:tcBorders>
              <w:bottom w:val="single" w:sz="2" w:space="0" w:color="000000"/>
            </w:tcBorders>
            <w:shd w:fill="auto" w:val="clear"/>
            <w:tcMar>
              <w:bottom w:w="28" w:type="dxa"/>
            </w:tcMar>
            <w:vAlign w:val="center"/>
          </w:tcPr>
          <w:p>
            <w:pPr>
              <w:pStyle w:val="TableHeading"/>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No.</w:t>
            </w:r>
          </w:p>
        </w:tc>
        <w:tc>
          <w:tcPr>
            <w:tcW w:w="1302" w:type="dxa"/>
            <w:gridSpan w:val="2"/>
            <w:tcBorders/>
            <w:shd w:fill="auto" w:val="clear"/>
            <w:vAlign w:val="center"/>
          </w:tcPr>
          <w:p>
            <w:pPr>
              <w:pStyle w:val="TableHeading"/>
              <w:spacing w:before="0" w:after="0"/>
              <w:ind w:left="0" w:right="0" w:hanging="0"/>
              <w:jc w:val="left"/>
              <w:rPr/>
            </w:pPr>
            <w:r>
              <w:rPr/>
              <w:t>    </w:t>
            </w:r>
          </w:p>
        </w:tc>
        <w:tc>
          <w:tcPr>
            <w:tcW w:w="7822" w:type="dxa"/>
            <w:tcBorders>
              <w:bottom w:val="single" w:sz="2" w:space="0" w:color="000000"/>
            </w:tcBorders>
            <w:shd w:fill="auto" w:val="clear"/>
            <w:tcMar>
              <w:bottom w:w="28" w:type="dxa"/>
            </w:tcMar>
            <w:vAlign w:val="center"/>
          </w:tcPr>
          <w:p>
            <w:pPr>
              <w:pStyle w:val="TableHeading"/>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10.15</w:t>
            </w:r>
          </w:p>
        </w:tc>
        <w:tc>
          <w:tcPr>
            <w:tcW w:w="161" w:type="dxa"/>
            <w:tcBorders/>
            <w:shd w:fill="auto" w:val="clear"/>
            <w:vAlign w:val="center"/>
          </w:tcPr>
          <w:p>
            <w:pPr>
              <w:pStyle w:val="TableContents"/>
              <w:spacing w:before="0" w:after="0"/>
              <w:ind w:left="0" w:right="0" w:hanging="0"/>
              <w:rPr/>
            </w:pPr>
            <w:r>
              <w:rPr/>
              <w:t> </w:t>
            </w:r>
          </w:p>
        </w:tc>
        <w:tc>
          <w:tcPr>
            <w:tcW w:w="8963" w:type="dxa"/>
            <w:gridSpan w:val="2"/>
            <w:tcBorders/>
            <w:shd w:fill="auto" w:val="clear"/>
            <w:vAlign w:val="center"/>
          </w:tcPr>
          <w:p>
            <w:pPr>
              <w:pStyle w:val="TableContents"/>
              <w:spacing w:before="0" w:after="0"/>
              <w:ind w:left="0" w:right="0" w:hanging="0"/>
              <w:jc w:val="both"/>
              <w:rPr/>
            </w:pPr>
            <w:hyperlink r:id="rId86">
              <w:r>
                <w:rPr>
                  <w:rStyle w:val="InternetLink"/>
                  <w:rFonts w:ascii="Times New Roman;Times;serif" w:hAnsi="Times New Roman;Times;serif"/>
                  <w:b w:val="false"/>
                  <w:i w:val="false"/>
                  <w:caps w:val="false"/>
                  <w:smallCaps w:val="false"/>
                  <w:sz w:val="20"/>
                </w:rPr>
                <w:t>Consent, Waiver and Amendment, dated December 16, 2020, by and between Medicine Man Technologies, Inc. and Dye Capital Cann Holdings, LLC (Incorporated by reference to Exhibit 10.5 to Medicine Man Technologies, Inc.’s Current Report on Form 8-K filed December 23, 2020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10.16</w:t>
            </w:r>
          </w:p>
        </w:tc>
        <w:tc>
          <w:tcPr>
            <w:tcW w:w="161" w:type="dxa"/>
            <w:tcBorders/>
            <w:shd w:fill="auto" w:val="clear"/>
            <w:vAlign w:val="center"/>
          </w:tcPr>
          <w:p>
            <w:pPr>
              <w:pStyle w:val="TableContents"/>
              <w:spacing w:before="0" w:after="0"/>
              <w:ind w:left="0" w:right="0" w:hanging="0"/>
              <w:rPr/>
            </w:pPr>
            <w:r>
              <w:rPr/>
              <w:t> </w:t>
            </w:r>
          </w:p>
        </w:tc>
        <w:tc>
          <w:tcPr>
            <w:tcW w:w="8963" w:type="dxa"/>
            <w:gridSpan w:val="2"/>
            <w:tcBorders/>
            <w:shd w:fill="auto" w:val="clear"/>
            <w:vAlign w:val="center"/>
          </w:tcPr>
          <w:p>
            <w:pPr>
              <w:pStyle w:val="TableContents"/>
              <w:spacing w:before="0" w:after="0"/>
              <w:ind w:left="0" w:right="0" w:hanging="0"/>
              <w:jc w:val="both"/>
              <w:rPr/>
            </w:pPr>
            <w:hyperlink r:id="rId87">
              <w:r>
                <w:rPr>
                  <w:rStyle w:val="InternetLink"/>
                  <w:rFonts w:ascii="Times New Roman;Times;serif" w:hAnsi="Times New Roman;Times;serif"/>
                  <w:b w:val="false"/>
                  <w:i w:val="false"/>
                  <w:caps w:val="false"/>
                  <w:smallCaps w:val="false"/>
                  <w:sz w:val="20"/>
                </w:rPr>
                <w:t>Securities Purchase Agreement, dated February 26, 2021, between Medicine Man Technologies, Inc. and CRW Capital Cann Holdings, LLC (Incorporated by reference to Exhibit 10.1 to Medicine Man Technologies, Inc.’s Current Report on Form 8-K filed March 4, 2021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10.17</w:t>
            </w:r>
          </w:p>
        </w:tc>
        <w:tc>
          <w:tcPr>
            <w:tcW w:w="161" w:type="dxa"/>
            <w:tcBorders/>
            <w:shd w:fill="auto" w:val="clear"/>
            <w:vAlign w:val="center"/>
          </w:tcPr>
          <w:p>
            <w:pPr>
              <w:pStyle w:val="TableContents"/>
              <w:spacing w:before="0" w:after="0"/>
              <w:ind w:left="0" w:right="0" w:hanging="0"/>
              <w:rPr/>
            </w:pPr>
            <w:r>
              <w:rPr/>
              <w:t> </w:t>
            </w:r>
          </w:p>
        </w:tc>
        <w:tc>
          <w:tcPr>
            <w:tcW w:w="8963" w:type="dxa"/>
            <w:gridSpan w:val="2"/>
            <w:tcBorders/>
            <w:shd w:fill="auto" w:val="clear"/>
            <w:vAlign w:val="center"/>
          </w:tcPr>
          <w:p>
            <w:pPr>
              <w:pStyle w:val="TableContents"/>
              <w:spacing w:before="0" w:after="0"/>
              <w:ind w:left="0" w:right="0" w:hanging="0"/>
              <w:jc w:val="both"/>
              <w:rPr/>
            </w:pPr>
            <w:hyperlink r:id="rId88">
              <w:r>
                <w:rPr>
                  <w:rStyle w:val="InternetLink"/>
                  <w:rFonts w:ascii="Times New Roman;Times;serif" w:hAnsi="Times New Roman;Times;serif"/>
                  <w:b w:val="false"/>
                  <w:i w:val="false"/>
                  <w:caps w:val="false"/>
                  <w:smallCaps w:val="false"/>
                  <w:sz w:val="20"/>
                </w:rPr>
                <w:t>Letter Agreement, dated February 26, 2021, between Medicine Man Technologies, Inc. and CRW Capital Cann Holdings, LLC (Incorporated by reference to Exhibit 10.3 to Medicine Man Technologies, Inc.’ Quarterly Report on Form 10-Q filed May 13, 2021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10.18 *</w:t>
            </w:r>
          </w:p>
        </w:tc>
        <w:tc>
          <w:tcPr>
            <w:tcW w:w="161" w:type="dxa"/>
            <w:tcBorders/>
            <w:shd w:fill="auto" w:val="clear"/>
            <w:vAlign w:val="center"/>
          </w:tcPr>
          <w:p>
            <w:pPr>
              <w:pStyle w:val="TableContents"/>
              <w:spacing w:before="0" w:after="0"/>
              <w:ind w:left="0" w:right="0" w:hanging="0"/>
              <w:rPr/>
            </w:pPr>
            <w:r>
              <w:rPr/>
              <w:t> </w:t>
            </w:r>
          </w:p>
        </w:tc>
        <w:tc>
          <w:tcPr>
            <w:tcW w:w="8963" w:type="dxa"/>
            <w:gridSpan w:val="2"/>
            <w:tcBorders/>
            <w:shd w:fill="auto" w:val="clear"/>
            <w:vAlign w:val="center"/>
          </w:tcPr>
          <w:p>
            <w:pPr>
              <w:pStyle w:val="TableContents"/>
              <w:spacing w:before="0" w:after="0"/>
              <w:ind w:left="0" w:right="0" w:hanging="0"/>
              <w:jc w:val="both"/>
              <w:rPr/>
            </w:pPr>
            <w:hyperlink r:id="rId89">
              <w:r>
                <w:rPr>
                  <w:rStyle w:val="InternetLink"/>
                  <w:rFonts w:ascii="Times New Roman;Times;serif" w:hAnsi="Times New Roman;Times;serif"/>
                  <w:b w:val="false"/>
                  <w:i w:val="false"/>
                  <w:caps w:val="false"/>
                  <w:smallCaps w:val="false"/>
                  <w:sz w:val="20"/>
                </w:rPr>
                <w:t>First Amendment to Justin Dye Employment Agreement, dated June 14, 2021 (Incorporated by reference to Exhibit 10.30 to Medicine Man Technologies, Inc.’s Annual Report on Form 10-K filed March 31, 2022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10.19 *</w:t>
            </w:r>
          </w:p>
        </w:tc>
        <w:tc>
          <w:tcPr>
            <w:tcW w:w="161" w:type="dxa"/>
            <w:tcBorders/>
            <w:shd w:fill="auto" w:val="clear"/>
            <w:vAlign w:val="center"/>
          </w:tcPr>
          <w:p>
            <w:pPr>
              <w:pStyle w:val="TableContents"/>
              <w:spacing w:before="0" w:after="0"/>
              <w:ind w:left="0" w:right="0" w:hanging="0"/>
              <w:rPr/>
            </w:pPr>
            <w:r>
              <w:rPr/>
              <w:t> </w:t>
            </w:r>
          </w:p>
        </w:tc>
        <w:tc>
          <w:tcPr>
            <w:tcW w:w="8963" w:type="dxa"/>
            <w:gridSpan w:val="2"/>
            <w:tcBorders/>
            <w:shd w:fill="auto" w:val="clear"/>
            <w:vAlign w:val="center"/>
          </w:tcPr>
          <w:p>
            <w:pPr>
              <w:pStyle w:val="TableContents"/>
              <w:spacing w:before="0" w:after="0"/>
              <w:ind w:left="0" w:right="0" w:hanging="0"/>
              <w:jc w:val="both"/>
              <w:rPr/>
            </w:pPr>
            <w:hyperlink r:id="rId90">
              <w:r>
                <w:rPr>
                  <w:rStyle w:val="InternetLink"/>
                  <w:rFonts w:ascii="Times New Roman;Times;serif" w:hAnsi="Times New Roman;Times;serif"/>
                  <w:b w:val="false"/>
                  <w:i w:val="false"/>
                  <w:caps w:val="false"/>
                  <w:smallCaps w:val="false"/>
                  <w:sz w:val="20"/>
                </w:rPr>
                <w:t>Second Amendment to Nancy Huber Employment Agreement, dated June 14, 2021 (Incorporated by reference to Exhibit 10.2 to Medicine Man Technologies, Inc.’s Current Report on Form 8-K filed June 21, 2021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10.20 *</w:t>
            </w:r>
          </w:p>
        </w:tc>
        <w:tc>
          <w:tcPr>
            <w:tcW w:w="161" w:type="dxa"/>
            <w:tcBorders/>
            <w:shd w:fill="auto" w:val="clear"/>
            <w:vAlign w:val="center"/>
          </w:tcPr>
          <w:p>
            <w:pPr>
              <w:pStyle w:val="TableContents"/>
              <w:spacing w:before="0" w:after="0"/>
              <w:ind w:left="0" w:right="0" w:hanging="0"/>
              <w:rPr/>
            </w:pPr>
            <w:r>
              <w:rPr/>
              <w:t> </w:t>
            </w:r>
          </w:p>
        </w:tc>
        <w:tc>
          <w:tcPr>
            <w:tcW w:w="8963" w:type="dxa"/>
            <w:gridSpan w:val="2"/>
            <w:tcBorders/>
            <w:shd w:fill="auto" w:val="clear"/>
            <w:vAlign w:val="center"/>
          </w:tcPr>
          <w:p>
            <w:pPr>
              <w:pStyle w:val="TableContents"/>
              <w:spacing w:before="0" w:after="0"/>
              <w:ind w:left="0" w:right="0" w:hanging="0"/>
              <w:jc w:val="both"/>
              <w:rPr/>
            </w:pPr>
            <w:hyperlink r:id="rId91">
              <w:r>
                <w:rPr>
                  <w:rStyle w:val="InternetLink"/>
                  <w:rFonts w:ascii="Times New Roman;Times;serif" w:hAnsi="Times New Roman;Times;serif"/>
                  <w:b w:val="false"/>
                  <w:i w:val="false"/>
                  <w:caps w:val="false"/>
                  <w:smallCaps w:val="false"/>
                  <w:sz w:val="20"/>
                </w:rPr>
                <w:t>First Amendment to Nirup Krishnamurthy Employment Agreement, dated June 14, 2021 (Incorporated by reference to Exhibit 10.3 to Medicine Man Technologies, Inc.’s Current Report on Form 8-K filed June 21, 2021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10.21 *</w:t>
            </w:r>
          </w:p>
        </w:tc>
        <w:tc>
          <w:tcPr>
            <w:tcW w:w="161" w:type="dxa"/>
            <w:tcBorders/>
            <w:shd w:fill="auto" w:val="clear"/>
            <w:vAlign w:val="center"/>
          </w:tcPr>
          <w:p>
            <w:pPr>
              <w:pStyle w:val="TableContents"/>
              <w:spacing w:before="0" w:after="0"/>
              <w:ind w:left="0" w:right="0" w:hanging="0"/>
              <w:rPr/>
            </w:pPr>
            <w:r>
              <w:rPr/>
              <w:t>​</w:t>
            </w:r>
          </w:p>
        </w:tc>
        <w:tc>
          <w:tcPr>
            <w:tcW w:w="8963" w:type="dxa"/>
            <w:gridSpan w:val="2"/>
            <w:tcBorders/>
            <w:shd w:fill="auto" w:val="clear"/>
            <w:vAlign w:val="center"/>
          </w:tcPr>
          <w:p>
            <w:pPr>
              <w:pStyle w:val="TableContents"/>
              <w:spacing w:before="0" w:after="0"/>
              <w:ind w:left="0" w:right="0" w:hanging="0"/>
              <w:jc w:val="both"/>
              <w:rPr/>
            </w:pPr>
            <w:hyperlink r:id="rId92">
              <w:r>
                <w:rPr>
                  <w:rStyle w:val="InternetLink"/>
                  <w:rFonts w:ascii="Times New Roman;Times;serif" w:hAnsi="Times New Roman;Times;serif"/>
                  <w:b w:val="false"/>
                  <w:i w:val="false"/>
                  <w:caps w:val="false"/>
                  <w:smallCaps w:val="false"/>
                  <w:sz w:val="20"/>
                </w:rPr>
                <w:t>Second Amendment to Nirup Krishnamurthy Employment Agreement, dated October 12, 2022 (Incorporated by reference to Exhibit 10.1 to Medicine Man Technologies, Inc.’s Current Report on Form 8-K filed October 14, 2022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10.22 *</w:t>
            </w:r>
          </w:p>
        </w:tc>
        <w:tc>
          <w:tcPr>
            <w:tcW w:w="161" w:type="dxa"/>
            <w:tcBorders/>
            <w:shd w:fill="auto" w:val="clear"/>
            <w:vAlign w:val="center"/>
          </w:tcPr>
          <w:p>
            <w:pPr>
              <w:pStyle w:val="TableContents"/>
              <w:spacing w:before="0" w:after="0"/>
              <w:ind w:left="0" w:right="0" w:hanging="0"/>
              <w:rPr/>
            </w:pPr>
            <w:r>
              <w:rPr/>
              <w:t> </w:t>
            </w:r>
          </w:p>
        </w:tc>
        <w:tc>
          <w:tcPr>
            <w:tcW w:w="8963" w:type="dxa"/>
            <w:gridSpan w:val="2"/>
            <w:tcBorders/>
            <w:shd w:fill="auto" w:val="clear"/>
            <w:vAlign w:val="center"/>
          </w:tcPr>
          <w:p>
            <w:pPr>
              <w:pStyle w:val="TableContents"/>
              <w:spacing w:before="0" w:after="0"/>
              <w:ind w:left="0" w:right="0" w:hanging="0"/>
              <w:jc w:val="both"/>
              <w:rPr/>
            </w:pPr>
            <w:hyperlink r:id="rId93">
              <w:r>
                <w:rPr>
                  <w:rStyle w:val="InternetLink"/>
                  <w:rFonts w:ascii="Times New Roman;Times;serif" w:hAnsi="Times New Roman;Times;serif"/>
                  <w:b w:val="false"/>
                  <w:i w:val="false"/>
                  <w:caps w:val="false"/>
                  <w:smallCaps w:val="false"/>
                  <w:sz w:val="20"/>
                </w:rPr>
                <w:t>First Amendment to Dan Pabon Employment Agreement, dated June 14, 2021 (Incorporated by reference to Exhibit 10.4 to Medicine Man Technologies, Inc.’s Current Report on Form 8-K filed June 21, 2021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10.23++</w:t>
            </w:r>
          </w:p>
        </w:tc>
        <w:tc>
          <w:tcPr>
            <w:tcW w:w="161" w:type="dxa"/>
            <w:tcBorders/>
            <w:shd w:fill="auto" w:val="clear"/>
            <w:vAlign w:val="center"/>
          </w:tcPr>
          <w:p>
            <w:pPr>
              <w:pStyle w:val="TableContents"/>
              <w:spacing w:before="0" w:after="0"/>
              <w:ind w:left="0" w:right="0" w:hanging="0"/>
              <w:rPr/>
            </w:pPr>
            <w:r>
              <w:rPr/>
              <w:t> </w:t>
            </w:r>
          </w:p>
        </w:tc>
        <w:tc>
          <w:tcPr>
            <w:tcW w:w="8963" w:type="dxa"/>
            <w:gridSpan w:val="2"/>
            <w:tcBorders/>
            <w:shd w:fill="auto" w:val="clear"/>
            <w:vAlign w:val="center"/>
          </w:tcPr>
          <w:p>
            <w:pPr>
              <w:pStyle w:val="TableContents"/>
              <w:spacing w:before="0" w:after="0"/>
              <w:ind w:left="0" w:right="0" w:hanging="0"/>
              <w:jc w:val="both"/>
              <w:rPr/>
            </w:pPr>
            <w:hyperlink r:id="rId94">
              <w:r>
                <w:rPr>
                  <w:rStyle w:val="InternetLink"/>
                  <w:rFonts w:ascii="Times New Roman;Times;serif" w:hAnsi="Times New Roman;Times;serif"/>
                  <w:b w:val="false"/>
                  <w:i w:val="false"/>
                  <w:caps w:val="false"/>
                  <w:smallCaps w:val="false"/>
                  <w:sz w:val="20"/>
                </w:rPr>
                <w:t>Securities Purchase Agreement, dated December 3, 2021, among Medicine Man Technologies, Inc., the Subsidiary Guarantors and the Investors (Incorporated by reference to Exhibit 10.1 to Medicine Man Technologies, Inc.’s Current Report on Form 8-K filed December 9, 2021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10.24 *</w:t>
            </w:r>
          </w:p>
        </w:tc>
        <w:tc>
          <w:tcPr>
            <w:tcW w:w="161" w:type="dxa"/>
            <w:tcBorders/>
            <w:shd w:fill="auto" w:val="clear"/>
            <w:vAlign w:val="center"/>
          </w:tcPr>
          <w:p>
            <w:pPr>
              <w:pStyle w:val="TableContents"/>
              <w:spacing w:before="0" w:after="0"/>
              <w:ind w:left="0" w:right="0" w:hanging="0"/>
              <w:rPr/>
            </w:pPr>
            <w:r>
              <w:rPr/>
              <w:t> </w:t>
            </w:r>
          </w:p>
        </w:tc>
        <w:tc>
          <w:tcPr>
            <w:tcW w:w="8963" w:type="dxa"/>
            <w:gridSpan w:val="2"/>
            <w:tcBorders/>
            <w:shd w:fill="auto" w:val="clear"/>
            <w:vAlign w:val="center"/>
          </w:tcPr>
          <w:p>
            <w:pPr>
              <w:pStyle w:val="TableContents"/>
              <w:spacing w:before="0" w:after="0"/>
              <w:ind w:left="0" w:right="0" w:hanging="0"/>
              <w:jc w:val="both"/>
              <w:rPr/>
            </w:pPr>
            <w:hyperlink r:id="rId95">
              <w:r>
                <w:rPr>
                  <w:rStyle w:val="InternetLink"/>
                  <w:rFonts w:ascii="Times New Roman;Times;serif" w:hAnsi="Times New Roman;Times;serif"/>
                  <w:b w:val="false"/>
                  <w:i w:val="false"/>
                  <w:caps w:val="false"/>
                  <w:smallCaps w:val="false"/>
                  <w:sz w:val="20"/>
                </w:rPr>
                <w:t>Description of unwritten cash bonus plan adopted June 14, 2021 (Incorporated by reference to Exhibit 10.35 to Medicine Man Technologies, Inc.’s Annual Report on Form 10-K filed March 31, 2022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10.25 *</w:t>
            </w:r>
          </w:p>
        </w:tc>
        <w:tc>
          <w:tcPr>
            <w:tcW w:w="161" w:type="dxa"/>
            <w:tcBorders/>
            <w:shd w:fill="auto" w:val="clear"/>
            <w:vAlign w:val="center"/>
          </w:tcPr>
          <w:p>
            <w:pPr>
              <w:pStyle w:val="TableContents"/>
              <w:spacing w:before="0" w:after="0"/>
              <w:ind w:left="0" w:right="0" w:hanging="0"/>
              <w:rPr/>
            </w:pPr>
            <w:r>
              <w:rPr/>
              <w:t>​</w:t>
            </w:r>
          </w:p>
        </w:tc>
        <w:tc>
          <w:tcPr>
            <w:tcW w:w="8963" w:type="dxa"/>
            <w:gridSpan w:val="2"/>
            <w:tcBorders/>
            <w:shd w:fill="auto" w:val="clear"/>
            <w:vAlign w:val="center"/>
          </w:tcPr>
          <w:p>
            <w:pPr>
              <w:pStyle w:val="TableContents"/>
              <w:spacing w:before="0" w:after="0"/>
              <w:ind w:left="0" w:right="0" w:hanging="0"/>
              <w:jc w:val="both"/>
              <w:rPr/>
            </w:pPr>
            <w:hyperlink r:id="rId96">
              <w:r>
                <w:rPr>
                  <w:rStyle w:val="InternetLink"/>
                  <w:rFonts w:ascii="Times New Roman;Times;serif" w:hAnsi="Times New Roman;Times;serif"/>
                  <w:b w:val="false"/>
                  <w:i w:val="false"/>
                  <w:caps w:val="false"/>
                  <w:smallCaps w:val="false"/>
                  <w:sz w:val="20"/>
                </w:rPr>
                <w:t>Medicine Man Technologies, Inc. 2017 Equity Incentive Plan (incorporated by reference to Exhibit 4.1 to Medicine Man Technologies, Inc.’s Registration Statement on Form S-8 filed June 12, 2017 (Commission File No. 333-218662))</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10.26 *</w:t>
            </w:r>
          </w:p>
        </w:tc>
        <w:tc>
          <w:tcPr>
            <w:tcW w:w="161" w:type="dxa"/>
            <w:tcBorders/>
            <w:shd w:fill="auto" w:val="clear"/>
            <w:vAlign w:val="center"/>
          </w:tcPr>
          <w:p>
            <w:pPr>
              <w:pStyle w:val="TableContents"/>
              <w:spacing w:before="0" w:after="0"/>
              <w:ind w:left="0" w:right="0" w:hanging="0"/>
              <w:rPr/>
            </w:pPr>
            <w:r>
              <w:rPr/>
              <w:t>​</w:t>
            </w:r>
          </w:p>
        </w:tc>
        <w:tc>
          <w:tcPr>
            <w:tcW w:w="8963" w:type="dxa"/>
            <w:gridSpan w:val="2"/>
            <w:tcBorders/>
            <w:shd w:fill="auto" w:val="clear"/>
            <w:vAlign w:val="center"/>
          </w:tcPr>
          <w:p>
            <w:pPr>
              <w:pStyle w:val="TableContents"/>
              <w:spacing w:before="0" w:after="0"/>
              <w:ind w:left="0" w:right="0" w:hanging="0"/>
              <w:jc w:val="both"/>
              <w:rPr/>
            </w:pPr>
            <w:hyperlink r:id="rId97">
              <w:r>
                <w:rPr>
                  <w:rStyle w:val="InternetLink"/>
                  <w:rFonts w:ascii="Times New Roman;Times;serif" w:hAnsi="Times New Roman;Times;serif"/>
                  <w:b w:val="false"/>
                  <w:i w:val="false"/>
                  <w:caps w:val="false"/>
                  <w:smallCaps w:val="false"/>
                  <w:sz w:val="20"/>
                </w:rPr>
                <w:t>Amendment to Medicine Man Technologies, Inc. 2017 Equity Incentive Plan (Incorporated by reference to Exhibit 10.1 to Medicine Man Technologies, Inc.’s Current Report on Form 8-K filed December 16, 2019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10.27 *</w:t>
            </w:r>
          </w:p>
        </w:tc>
        <w:tc>
          <w:tcPr>
            <w:tcW w:w="161" w:type="dxa"/>
            <w:tcBorders/>
            <w:shd w:fill="auto" w:val="clear"/>
            <w:vAlign w:val="center"/>
          </w:tcPr>
          <w:p>
            <w:pPr>
              <w:pStyle w:val="TableContents"/>
              <w:spacing w:before="0" w:after="0"/>
              <w:ind w:left="0" w:right="0" w:hanging="0"/>
              <w:rPr/>
            </w:pPr>
            <w:r>
              <w:rPr/>
              <w:t>​</w:t>
            </w:r>
          </w:p>
        </w:tc>
        <w:tc>
          <w:tcPr>
            <w:tcW w:w="8963" w:type="dxa"/>
            <w:gridSpan w:val="2"/>
            <w:tcBorders/>
            <w:shd w:fill="auto" w:val="clear"/>
            <w:vAlign w:val="center"/>
          </w:tcPr>
          <w:p>
            <w:pPr>
              <w:pStyle w:val="TableContents"/>
              <w:spacing w:before="0" w:after="0"/>
              <w:ind w:left="0" w:right="0" w:hanging="0"/>
              <w:jc w:val="both"/>
              <w:rPr/>
            </w:pPr>
            <w:hyperlink r:id="rId98">
              <w:r>
                <w:rPr>
                  <w:rStyle w:val="InternetLink"/>
                  <w:rFonts w:ascii="Times New Roman;Times;serif" w:hAnsi="Times New Roman;Times;serif"/>
                  <w:b w:val="false"/>
                  <w:i w:val="false"/>
                  <w:caps w:val="false"/>
                  <w:smallCaps w:val="false"/>
                  <w:sz w:val="20"/>
                </w:rPr>
                <w:t>Amendment to Medicine Man Technologies, Inc. 2017 Equity Incentive Plan (Incorporated by reference to Exhibit 10.1 to Medicine Man Technologies, Inc.’s Current Report on Form 8-K filed December 16, 2020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10.28 **, +</w:t>
            </w:r>
          </w:p>
        </w:tc>
        <w:tc>
          <w:tcPr>
            <w:tcW w:w="161" w:type="dxa"/>
            <w:tcBorders/>
            <w:shd w:fill="auto" w:val="clear"/>
            <w:vAlign w:val="center"/>
          </w:tcPr>
          <w:p>
            <w:pPr>
              <w:pStyle w:val="TableContents"/>
              <w:spacing w:before="0" w:after="0"/>
              <w:ind w:left="0" w:right="0" w:hanging="0"/>
              <w:rPr/>
            </w:pPr>
            <w:r>
              <w:rPr/>
              <w:t>​</w:t>
            </w:r>
          </w:p>
        </w:tc>
        <w:tc>
          <w:tcPr>
            <w:tcW w:w="8963" w:type="dxa"/>
            <w:gridSpan w:val="2"/>
            <w:tcBorders/>
            <w:shd w:fill="auto" w:val="clear"/>
            <w:vAlign w:val="center"/>
          </w:tcPr>
          <w:p>
            <w:pPr>
              <w:pStyle w:val="TableContents"/>
              <w:spacing w:before="0" w:after="0"/>
              <w:ind w:left="0" w:right="0" w:hanging="0"/>
              <w:jc w:val="both"/>
              <w:rPr/>
            </w:pPr>
            <w:hyperlink w:anchor="shwz-20221231xex10d28.htm">
              <w:r>
                <w:rPr>
                  <w:rStyle w:val="InternetLink"/>
                  <w:rFonts w:ascii="Times New Roman;Times;serif" w:hAnsi="Times New Roman;Times;serif"/>
                  <w:b w:val="false"/>
                  <w:i w:val="false"/>
                  <w:caps w:val="false"/>
                  <w:smallCaps w:val="false"/>
                  <w:sz w:val="20"/>
                </w:rPr>
                <w:t>License Agreement, dated May 10, 2022, by and between Indus LF LLC and Medicine Man Technologies, Inc.</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10.29 *, **</w:t>
            </w:r>
          </w:p>
        </w:tc>
        <w:tc>
          <w:tcPr>
            <w:tcW w:w="161" w:type="dxa"/>
            <w:tcBorders/>
            <w:shd w:fill="auto" w:val="clear"/>
            <w:vAlign w:val="center"/>
          </w:tcPr>
          <w:p>
            <w:pPr>
              <w:pStyle w:val="TableContents"/>
              <w:spacing w:before="0" w:after="0"/>
              <w:ind w:left="0" w:right="0" w:hanging="0"/>
              <w:rPr/>
            </w:pPr>
            <w:r>
              <w:rPr/>
              <w:t>​</w:t>
            </w:r>
          </w:p>
        </w:tc>
        <w:tc>
          <w:tcPr>
            <w:tcW w:w="8963" w:type="dxa"/>
            <w:gridSpan w:val="2"/>
            <w:tcBorders/>
            <w:shd w:fill="auto" w:val="clear"/>
            <w:vAlign w:val="center"/>
          </w:tcPr>
          <w:p>
            <w:pPr>
              <w:pStyle w:val="TableContents"/>
              <w:spacing w:before="0" w:after="0"/>
              <w:ind w:left="0" w:right="0" w:hanging="0"/>
              <w:jc w:val="both"/>
              <w:rPr/>
            </w:pPr>
            <w:hyperlink w:anchor="shwz-20221231xex10d29.htm">
              <w:r>
                <w:rPr>
                  <w:rStyle w:val="InternetLink"/>
                  <w:rFonts w:ascii="Times New Roman;Times;serif" w:hAnsi="Times New Roman;Times;serif"/>
                  <w:b w:val="false"/>
                  <w:i w:val="false"/>
                  <w:caps w:val="false"/>
                  <w:smallCaps w:val="false"/>
                  <w:sz w:val="20"/>
                </w:rPr>
                <w:t>Employment Agreement dated February 15, 2023, by and between Medicine Man Technologies, Inc. and Christine Jones</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10.30 *</w:t>
            </w:r>
          </w:p>
        </w:tc>
        <w:tc>
          <w:tcPr>
            <w:tcW w:w="161" w:type="dxa"/>
            <w:tcBorders/>
            <w:shd w:fill="auto" w:val="clear"/>
            <w:vAlign w:val="center"/>
          </w:tcPr>
          <w:p>
            <w:pPr>
              <w:pStyle w:val="TableContents"/>
              <w:spacing w:before="0" w:after="0"/>
              <w:ind w:left="0" w:right="0" w:hanging="0"/>
              <w:rPr/>
            </w:pPr>
            <w:r>
              <w:rPr/>
              <w:t>​</w:t>
            </w:r>
          </w:p>
        </w:tc>
        <w:tc>
          <w:tcPr>
            <w:tcW w:w="8963" w:type="dxa"/>
            <w:gridSpan w:val="2"/>
            <w:tcBorders/>
            <w:shd w:fill="auto" w:val="clear"/>
            <w:vAlign w:val="center"/>
          </w:tcPr>
          <w:p>
            <w:pPr>
              <w:pStyle w:val="TableContents"/>
              <w:spacing w:before="0" w:after="0"/>
              <w:ind w:left="0" w:right="0" w:hanging="0"/>
              <w:jc w:val="both"/>
              <w:rPr/>
            </w:pPr>
            <w:hyperlink r:id="rId99">
              <w:r>
                <w:rPr>
                  <w:rStyle w:val="InternetLink"/>
                  <w:rFonts w:ascii="Times New Roman;Times;serif" w:hAnsi="Times New Roman;Times;serif"/>
                  <w:b w:val="false"/>
                  <w:i w:val="false"/>
                  <w:caps w:val="false"/>
                  <w:smallCaps w:val="false"/>
                  <w:sz w:val="20"/>
                </w:rPr>
                <w:t>Employment Agreement dated January 16, 2023, by and between Medicine Man Technologies, Inc. and Forrest Hoffmaster (Incorporated by reference to Exhibit 10.1 to Medicine Man Technologies, Inc.’s Current Report on Form 8-K filed January 19, 2023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10.31 *</w:t>
            </w:r>
          </w:p>
        </w:tc>
        <w:tc>
          <w:tcPr>
            <w:tcW w:w="161" w:type="dxa"/>
            <w:tcBorders/>
            <w:shd w:fill="auto" w:val="clear"/>
            <w:vAlign w:val="center"/>
          </w:tcPr>
          <w:p>
            <w:pPr>
              <w:pStyle w:val="TableContents"/>
              <w:spacing w:before="0" w:after="0"/>
              <w:ind w:left="0" w:right="0" w:hanging="0"/>
              <w:rPr/>
            </w:pPr>
            <w:r>
              <w:rPr/>
              <w:t>​</w:t>
            </w:r>
          </w:p>
        </w:tc>
        <w:tc>
          <w:tcPr>
            <w:tcW w:w="8963" w:type="dxa"/>
            <w:gridSpan w:val="2"/>
            <w:tcBorders/>
            <w:shd w:fill="auto" w:val="clear"/>
            <w:vAlign w:val="center"/>
          </w:tcPr>
          <w:p>
            <w:pPr>
              <w:pStyle w:val="TableContents"/>
              <w:spacing w:before="0" w:after="0"/>
              <w:ind w:left="0" w:right="0" w:hanging="0"/>
              <w:jc w:val="both"/>
              <w:rPr/>
            </w:pPr>
            <w:hyperlink r:id="rId100">
              <w:r>
                <w:rPr>
                  <w:rStyle w:val="InternetLink"/>
                  <w:rFonts w:ascii="Times New Roman;Times;serif" w:hAnsi="Times New Roman;Times;serif"/>
                  <w:b w:val="false"/>
                  <w:i w:val="false"/>
                  <w:caps w:val="false"/>
                  <w:smallCaps w:val="false"/>
                  <w:sz w:val="20"/>
                </w:rPr>
                <w:t>Stock Award Agreement, dated September 23, 2022, between Jonathan Berger and Medicine Man Technologies, Inc. (Incorporated by reference to Exhibit 10.2 to Medicine Man Technologies Inc.’s Quarterly Report on Form 10-Q filed November 9, 2022 (Commission File No. 000-55450))</w:t>
              </w:r>
            </w:hyperlink>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1081"/>
        <w:gridCol w:w="247"/>
        <w:gridCol w:w="39"/>
        <w:gridCol w:w="402"/>
        <w:gridCol w:w="8436"/>
      </w:tblGrid>
      <w:tr>
        <w:trPr/>
        <w:tc>
          <w:tcPr>
            <w:tcW w:w="1081" w:type="dxa"/>
            <w:tcBorders/>
            <w:shd w:fill="auto" w:val="clear"/>
            <w:vAlign w:val="center"/>
          </w:tcPr>
          <w:p>
            <w:pPr>
              <w:pStyle w:val="TableHeading"/>
              <w:spacing w:before="0" w:after="283"/>
              <w:ind w:left="0" w:right="0" w:hanging="0"/>
              <w:rPr>
                <w:sz w:val="4"/>
                <w:szCs w:val="4"/>
              </w:rPr>
            </w:pPr>
            <w:r>
              <w:rPr>
                <w:sz w:val="4"/>
                <w:szCs w:val="4"/>
              </w:rPr>
            </w:r>
          </w:p>
        </w:tc>
        <w:tc>
          <w:tcPr>
            <w:tcW w:w="688" w:type="dxa"/>
            <w:gridSpan w:val="3"/>
            <w:tcBorders/>
            <w:shd w:fill="auto" w:val="clear"/>
            <w:vAlign w:val="center"/>
          </w:tcPr>
          <w:p>
            <w:pPr>
              <w:pStyle w:val="TableHeading"/>
              <w:spacing w:before="0" w:after="283"/>
              <w:ind w:left="0" w:right="0" w:hanging="0"/>
              <w:rPr>
                <w:sz w:val="4"/>
                <w:szCs w:val="4"/>
              </w:rPr>
            </w:pPr>
            <w:r>
              <w:rPr>
                <w:sz w:val="4"/>
                <w:szCs w:val="4"/>
              </w:rPr>
            </w:r>
          </w:p>
        </w:tc>
        <w:tc>
          <w:tcPr>
            <w:tcW w:w="8436" w:type="dxa"/>
            <w:tcBorders/>
            <w:shd w:fill="auto" w:val="clear"/>
            <w:vAlign w:val="center"/>
          </w:tcPr>
          <w:p>
            <w:pPr>
              <w:pStyle w:val="TableHeading"/>
              <w:spacing w:before="0" w:after="283"/>
              <w:ind w:left="0" w:right="0" w:hanging="0"/>
              <w:rPr>
                <w:sz w:val="4"/>
                <w:szCs w:val="4"/>
              </w:rPr>
            </w:pPr>
            <w:r>
              <w:rPr>
                <w:sz w:val="4"/>
                <w:szCs w:val="4"/>
              </w:rPr>
            </w:r>
          </w:p>
        </w:tc>
      </w:tr>
      <w:tr>
        <w:trPr/>
        <w:tc>
          <w:tcPr>
            <w:tcW w:w="1081" w:type="dxa"/>
            <w:tcBorders>
              <w:bottom w:val="single" w:sz="2" w:space="0" w:color="000000"/>
            </w:tcBorders>
            <w:shd w:fill="auto" w:val="clear"/>
            <w:tcMar>
              <w:bottom w:w="28" w:type="dxa"/>
            </w:tcMar>
            <w:vAlign w:val="center"/>
          </w:tcPr>
          <w:p>
            <w:pPr>
              <w:pStyle w:val="TableHeading"/>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No.</w:t>
            </w:r>
          </w:p>
        </w:tc>
        <w:tc>
          <w:tcPr>
            <w:tcW w:w="688" w:type="dxa"/>
            <w:gridSpan w:val="3"/>
            <w:tcBorders/>
            <w:shd w:fill="auto" w:val="clear"/>
            <w:vAlign w:val="center"/>
          </w:tcPr>
          <w:p>
            <w:pPr>
              <w:pStyle w:val="TableHeading"/>
              <w:spacing w:before="0" w:after="0"/>
              <w:ind w:left="0" w:right="0" w:hanging="0"/>
              <w:jc w:val="left"/>
              <w:rPr/>
            </w:pPr>
            <w:r>
              <w:rPr/>
              <w:t>    </w:t>
            </w:r>
          </w:p>
        </w:tc>
        <w:tc>
          <w:tcPr>
            <w:tcW w:w="8436" w:type="dxa"/>
            <w:tcBorders>
              <w:bottom w:val="single" w:sz="2" w:space="0" w:color="000000"/>
            </w:tcBorders>
            <w:shd w:fill="auto" w:val="clear"/>
            <w:tcMar>
              <w:bottom w:w="28" w:type="dxa"/>
            </w:tcMar>
            <w:vAlign w:val="center"/>
          </w:tcPr>
          <w:p>
            <w:pPr>
              <w:pStyle w:val="TableHeading"/>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10.32 +</w:t>
            </w:r>
          </w:p>
        </w:tc>
        <w:tc>
          <w:tcPr>
            <w:tcW w:w="286" w:type="dxa"/>
            <w:gridSpan w:val="2"/>
            <w:tcBorders/>
            <w:shd w:fill="auto" w:val="clear"/>
            <w:vAlign w:val="center"/>
          </w:tcPr>
          <w:p>
            <w:pPr>
              <w:pStyle w:val="TableContents"/>
              <w:spacing w:before="0" w:after="0"/>
              <w:ind w:left="0" w:right="0" w:hanging="0"/>
              <w:rPr/>
            </w:pPr>
            <w:r>
              <w:rPr/>
              <w:t>​</w:t>
            </w:r>
          </w:p>
        </w:tc>
        <w:tc>
          <w:tcPr>
            <w:tcW w:w="8838" w:type="dxa"/>
            <w:gridSpan w:val="2"/>
            <w:tcBorders/>
            <w:shd w:fill="auto" w:val="clear"/>
            <w:vAlign w:val="center"/>
          </w:tcPr>
          <w:p>
            <w:pPr>
              <w:pStyle w:val="TableContents"/>
              <w:spacing w:before="0" w:after="0"/>
              <w:ind w:left="0" w:right="0" w:hanging="0"/>
              <w:jc w:val="both"/>
              <w:rPr/>
            </w:pPr>
            <w:hyperlink r:id="rId101">
              <w:r>
                <w:rPr>
                  <w:rStyle w:val="InternetLink"/>
                  <w:rFonts w:ascii="Times New Roman;Times;serif" w:hAnsi="Times New Roman;Times;serif"/>
                  <w:b w:val="false"/>
                  <w:i w:val="false"/>
                  <w:caps w:val="false"/>
                  <w:smallCaps w:val="false"/>
                  <w:sz w:val="20"/>
                </w:rPr>
                <w:t>Preferred Stock Purchase Agreement, dated May 20, 2022, by and among Mission Holdings US, Inc., Medicine Man Technologies, Inc., and the Purchasers party thereto (Incorporated by reference to Exhibit 10.3 to Medicine Man Technologies Inc.’s Quarterly Report on Form 10-Q filed November 9, 2022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10.33 +</w:t>
            </w:r>
          </w:p>
        </w:tc>
        <w:tc>
          <w:tcPr>
            <w:tcW w:w="286" w:type="dxa"/>
            <w:gridSpan w:val="2"/>
            <w:tcBorders/>
            <w:shd w:fill="auto" w:val="clear"/>
            <w:vAlign w:val="center"/>
          </w:tcPr>
          <w:p>
            <w:pPr>
              <w:pStyle w:val="TableContents"/>
              <w:spacing w:before="0" w:after="0"/>
              <w:ind w:left="0" w:right="0" w:hanging="0"/>
              <w:rPr/>
            </w:pPr>
            <w:r>
              <w:rPr/>
              <w:t>​</w:t>
            </w:r>
          </w:p>
        </w:tc>
        <w:tc>
          <w:tcPr>
            <w:tcW w:w="8838" w:type="dxa"/>
            <w:gridSpan w:val="2"/>
            <w:tcBorders/>
            <w:shd w:fill="auto" w:val="clear"/>
            <w:vAlign w:val="center"/>
          </w:tcPr>
          <w:p>
            <w:pPr>
              <w:pStyle w:val="TableContents"/>
              <w:spacing w:before="0" w:after="0"/>
              <w:ind w:left="0" w:right="0" w:hanging="0"/>
              <w:jc w:val="both"/>
              <w:rPr/>
            </w:pPr>
            <w:hyperlink r:id="rId102">
              <w:r>
                <w:rPr>
                  <w:rStyle w:val="InternetLink"/>
                  <w:rFonts w:ascii="Times New Roman;Times;serif" w:hAnsi="Times New Roman;Times;serif"/>
                  <w:b w:val="false"/>
                  <w:i w:val="false"/>
                  <w:caps w:val="false"/>
                  <w:smallCaps w:val="false"/>
                  <w:sz w:val="20"/>
                </w:rPr>
                <w:t>Omnibus Amendment, dated July 7, 2022, by and among Mission Holdings US, Inc., Medicine Man Technologies, Inc., and the Investors party thereto (Incorporated by reference to Exhibit 10.4 to Medicine Man Technologies Inc.’s Quarterly Report on Form 10-Q filed November 9, 2022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10.34 +</w:t>
            </w:r>
          </w:p>
        </w:tc>
        <w:tc>
          <w:tcPr>
            <w:tcW w:w="286" w:type="dxa"/>
            <w:gridSpan w:val="2"/>
            <w:tcBorders/>
            <w:shd w:fill="auto" w:val="clear"/>
            <w:vAlign w:val="center"/>
          </w:tcPr>
          <w:p>
            <w:pPr>
              <w:pStyle w:val="TableContents"/>
              <w:spacing w:before="0" w:after="0"/>
              <w:ind w:left="0" w:right="0" w:hanging="0"/>
              <w:rPr/>
            </w:pPr>
            <w:r>
              <w:rPr/>
              <w:t>​</w:t>
            </w:r>
          </w:p>
        </w:tc>
        <w:tc>
          <w:tcPr>
            <w:tcW w:w="8838" w:type="dxa"/>
            <w:gridSpan w:val="2"/>
            <w:tcBorders/>
            <w:shd w:fill="auto" w:val="clear"/>
            <w:vAlign w:val="center"/>
          </w:tcPr>
          <w:p>
            <w:pPr>
              <w:pStyle w:val="TableContents"/>
              <w:spacing w:before="0" w:after="0"/>
              <w:ind w:left="0" w:right="0" w:hanging="0"/>
              <w:jc w:val="both"/>
              <w:rPr/>
            </w:pPr>
            <w:hyperlink r:id="rId103">
              <w:r>
                <w:rPr>
                  <w:rStyle w:val="InternetLink"/>
                  <w:rFonts w:ascii="Times New Roman;Times;serif" w:hAnsi="Times New Roman;Times;serif"/>
                  <w:b w:val="false"/>
                  <w:i w:val="false"/>
                  <w:caps w:val="false"/>
                  <w:smallCaps w:val="false"/>
                  <w:sz w:val="20"/>
                </w:rPr>
                <w:t>Brand Partnership Agreement, dated August 23, 2022, by and between Mission Holdings US, Inc. and Medicine Man Technologies, Inc. (Incorporated by reference to Exhibit 10.5 to Medicine Man Technologies Inc.’s Quarterly Report on Form 10-Q filed November 9, 2022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10.35</w:t>
            </w:r>
          </w:p>
        </w:tc>
        <w:tc>
          <w:tcPr>
            <w:tcW w:w="286" w:type="dxa"/>
            <w:gridSpan w:val="2"/>
            <w:tcBorders/>
            <w:shd w:fill="auto" w:val="clear"/>
            <w:vAlign w:val="center"/>
          </w:tcPr>
          <w:p>
            <w:pPr>
              <w:pStyle w:val="TableContents"/>
              <w:spacing w:before="0" w:after="0"/>
              <w:ind w:left="0" w:right="0" w:hanging="0"/>
              <w:rPr/>
            </w:pPr>
            <w:r>
              <w:rPr/>
              <w:t>​</w:t>
            </w:r>
          </w:p>
        </w:tc>
        <w:tc>
          <w:tcPr>
            <w:tcW w:w="8838" w:type="dxa"/>
            <w:gridSpan w:val="2"/>
            <w:tcBorders/>
            <w:shd w:fill="auto" w:val="clear"/>
            <w:vAlign w:val="center"/>
          </w:tcPr>
          <w:p>
            <w:pPr>
              <w:pStyle w:val="TableContents"/>
              <w:spacing w:before="0" w:after="0"/>
              <w:ind w:left="0" w:right="0" w:hanging="0"/>
              <w:jc w:val="both"/>
              <w:rPr/>
            </w:pPr>
            <w:hyperlink r:id="rId104">
              <w:r>
                <w:rPr>
                  <w:rStyle w:val="InternetLink"/>
                  <w:rFonts w:ascii="Times New Roman;Times;serif" w:hAnsi="Times New Roman;Times;serif"/>
                  <w:b w:val="false"/>
                  <w:i w:val="false"/>
                  <w:caps w:val="false"/>
                  <w:smallCaps w:val="false"/>
                  <w:sz w:val="20"/>
                </w:rPr>
                <w:t>Option Agreement, dated August 23, 2022, by and between Mission Holdings US, Inc. and Medicine Man Technologies, Inc. (Incorporated by reference to Exhibit 10.6 to Medicine Man Technologies Inc.’s Quarterly Report on Form 10-Q filed November 9, 2022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10.36 +</w:t>
            </w:r>
          </w:p>
        </w:tc>
        <w:tc>
          <w:tcPr>
            <w:tcW w:w="286" w:type="dxa"/>
            <w:gridSpan w:val="2"/>
            <w:tcBorders/>
            <w:shd w:fill="auto" w:val="clear"/>
            <w:vAlign w:val="center"/>
          </w:tcPr>
          <w:p>
            <w:pPr>
              <w:pStyle w:val="TableContents"/>
              <w:spacing w:before="0" w:after="0"/>
              <w:ind w:left="0" w:right="0" w:hanging="0"/>
              <w:rPr/>
            </w:pPr>
            <w:r>
              <w:rPr/>
              <w:t>​</w:t>
            </w:r>
          </w:p>
        </w:tc>
        <w:tc>
          <w:tcPr>
            <w:tcW w:w="8838" w:type="dxa"/>
            <w:gridSpan w:val="2"/>
            <w:tcBorders/>
            <w:shd w:fill="auto" w:val="clear"/>
            <w:vAlign w:val="center"/>
          </w:tcPr>
          <w:p>
            <w:pPr>
              <w:pStyle w:val="TableContents"/>
              <w:spacing w:before="0" w:after="0"/>
              <w:ind w:left="0" w:right="0" w:hanging="0"/>
              <w:jc w:val="both"/>
              <w:rPr/>
            </w:pPr>
            <w:hyperlink r:id="rId105">
              <w:r>
                <w:rPr>
                  <w:rStyle w:val="InternetLink"/>
                  <w:rFonts w:ascii="Times New Roman;Times;serif" w:hAnsi="Times New Roman;Times;serif"/>
                  <w:b w:val="false"/>
                  <w:i w:val="false"/>
                  <w:caps w:val="false"/>
                  <w:smallCaps w:val="false"/>
                  <w:sz w:val="20"/>
                </w:rPr>
                <w:t>Voting Agreement, dated May 20, 2022, by and among Mission Holdings US, Inc., Medicine Man Technologies, Inc., and the Investors party thereto (Incorporated by reference to Exhibit 10.7 to Medicine Man Technologies Inc.’s Quarterly Report on Form 10-Q filed November 9, 2022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10.37 +</w:t>
            </w:r>
          </w:p>
        </w:tc>
        <w:tc>
          <w:tcPr>
            <w:tcW w:w="286" w:type="dxa"/>
            <w:gridSpan w:val="2"/>
            <w:tcBorders/>
            <w:shd w:fill="auto" w:val="clear"/>
            <w:vAlign w:val="center"/>
          </w:tcPr>
          <w:p>
            <w:pPr>
              <w:pStyle w:val="TableContents"/>
              <w:spacing w:before="0" w:after="0"/>
              <w:ind w:left="0" w:right="0" w:hanging="0"/>
              <w:rPr/>
            </w:pPr>
            <w:r>
              <w:rPr/>
              <w:t>​</w:t>
            </w:r>
          </w:p>
        </w:tc>
        <w:tc>
          <w:tcPr>
            <w:tcW w:w="8838" w:type="dxa"/>
            <w:gridSpan w:val="2"/>
            <w:tcBorders/>
            <w:shd w:fill="auto" w:val="clear"/>
            <w:vAlign w:val="center"/>
          </w:tcPr>
          <w:p>
            <w:pPr>
              <w:pStyle w:val="TableContents"/>
              <w:spacing w:before="0" w:after="0"/>
              <w:ind w:left="0" w:right="0" w:hanging="0"/>
              <w:jc w:val="both"/>
              <w:rPr/>
            </w:pPr>
            <w:hyperlink r:id="rId106">
              <w:r>
                <w:rPr>
                  <w:rStyle w:val="InternetLink"/>
                  <w:rFonts w:ascii="Times New Roman;Times;serif" w:hAnsi="Times New Roman;Times;serif"/>
                  <w:b w:val="false"/>
                  <w:i w:val="false"/>
                  <w:caps w:val="false"/>
                  <w:smallCaps w:val="false"/>
                  <w:sz w:val="20"/>
                </w:rPr>
                <w:t>Investors’ Rights Agreement, dated May 20, 2022, by and among Mission Holdings US, Inc., Medicine Man Technologies, Inc., and the Investors party thereto (Incorporated by reference to Exhibit 10.8 to Medicine Man Technologies Inc.’s Quarterly Report on Form 10-Q filed November 9, 2022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10.38 +</w:t>
            </w:r>
          </w:p>
        </w:tc>
        <w:tc>
          <w:tcPr>
            <w:tcW w:w="286" w:type="dxa"/>
            <w:gridSpan w:val="2"/>
            <w:tcBorders/>
            <w:shd w:fill="auto" w:val="clear"/>
            <w:vAlign w:val="center"/>
          </w:tcPr>
          <w:p>
            <w:pPr>
              <w:pStyle w:val="TableContents"/>
              <w:spacing w:before="0" w:after="0"/>
              <w:ind w:left="0" w:right="0" w:hanging="0"/>
              <w:rPr/>
            </w:pPr>
            <w:r>
              <w:rPr/>
              <w:t>​</w:t>
            </w:r>
          </w:p>
        </w:tc>
        <w:tc>
          <w:tcPr>
            <w:tcW w:w="8838" w:type="dxa"/>
            <w:gridSpan w:val="2"/>
            <w:tcBorders/>
            <w:shd w:fill="auto" w:val="clear"/>
            <w:vAlign w:val="center"/>
          </w:tcPr>
          <w:p>
            <w:pPr>
              <w:pStyle w:val="TableContents"/>
              <w:spacing w:before="0" w:after="0"/>
              <w:ind w:left="0" w:right="0" w:hanging="0"/>
              <w:jc w:val="both"/>
              <w:rPr/>
            </w:pPr>
            <w:hyperlink r:id="rId107">
              <w:r>
                <w:rPr>
                  <w:rStyle w:val="InternetLink"/>
                  <w:rFonts w:ascii="Times New Roman;Times;serif" w:hAnsi="Times New Roman;Times;serif"/>
                  <w:b w:val="false"/>
                  <w:i w:val="false"/>
                  <w:caps w:val="false"/>
                  <w:smallCaps w:val="false"/>
                  <w:sz w:val="20"/>
                </w:rPr>
                <w:t>Right of First Refusal and Co-Sale Agreement, dated May 20, 2022, by and among Mission Holdings US, Inc., Medicine Man Technologies, Inc., and the Investors party thereto (Incorporated by reference to Exhibit 10.9 to Medicine Man Technologies Inc.’s Quarterly Report on Form 10-Q filed November 9, 2022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10.39 +</w:t>
            </w:r>
          </w:p>
        </w:tc>
        <w:tc>
          <w:tcPr>
            <w:tcW w:w="286" w:type="dxa"/>
            <w:gridSpan w:val="2"/>
            <w:tcBorders/>
            <w:shd w:fill="auto" w:val="clear"/>
            <w:vAlign w:val="center"/>
          </w:tcPr>
          <w:p>
            <w:pPr>
              <w:pStyle w:val="TableContents"/>
              <w:spacing w:before="0" w:after="0"/>
              <w:ind w:left="0" w:right="0" w:hanging="0"/>
              <w:rPr/>
            </w:pPr>
            <w:r>
              <w:rPr/>
              <w:t>​</w:t>
            </w:r>
          </w:p>
        </w:tc>
        <w:tc>
          <w:tcPr>
            <w:tcW w:w="8838" w:type="dxa"/>
            <w:gridSpan w:val="2"/>
            <w:tcBorders/>
            <w:shd w:fill="auto" w:val="clear"/>
            <w:vAlign w:val="center"/>
          </w:tcPr>
          <w:p>
            <w:pPr>
              <w:pStyle w:val="TableContents"/>
              <w:spacing w:before="0" w:after="0"/>
              <w:ind w:left="0" w:right="0" w:hanging="0"/>
              <w:jc w:val="both"/>
              <w:rPr/>
            </w:pPr>
            <w:hyperlink r:id="rId108">
              <w:r>
                <w:rPr>
                  <w:rStyle w:val="InternetLink"/>
                  <w:rFonts w:ascii="Times New Roman;Times;serif" w:hAnsi="Times New Roman;Times;serif"/>
                  <w:b w:val="false"/>
                  <w:i w:val="false"/>
                  <w:caps w:val="false"/>
                  <w:smallCaps w:val="false"/>
                  <w:sz w:val="20"/>
                </w:rPr>
                <w:t>Stockholders Agreement, dated May 20, 2022, by and among Mission Holdings US, Inc., Medicine Man Technologies, Inc., and the Stockholders party thereto (Incorporated by reference to Exhibit 10.10 to Medicine Man Technologies Inc.’s Quarterly Report on Form 10-Q filed November 9, 2022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10.40 *</w:t>
            </w:r>
          </w:p>
        </w:tc>
        <w:tc>
          <w:tcPr>
            <w:tcW w:w="286" w:type="dxa"/>
            <w:gridSpan w:val="2"/>
            <w:tcBorders/>
            <w:shd w:fill="auto" w:val="clear"/>
            <w:vAlign w:val="center"/>
          </w:tcPr>
          <w:p>
            <w:pPr>
              <w:pStyle w:val="TableContents"/>
              <w:spacing w:before="0" w:after="0"/>
              <w:ind w:left="0" w:right="0" w:hanging="0"/>
              <w:rPr/>
            </w:pPr>
            <w:r>
              <w:rPr/>
              <w:t>​</w:t>
            </w:r>
          </w:p>
        </w:tc>
        <w:tc>
          <w:tcPr>
            <w:tcW w:w="8838" w:type="dxa"/>
            <w:gridSpan w:val="2"/>
            <w:tcBorders/>
            <w:shd w:fill="auto" w:val="clear"/>
            <w:vAlign w:val="center"/>
          </w:tcPr>
          <w:p>
            <w:pPr>
              <w:pStyle w:val="TableContents"/>
              <w:spacing w:before="0" w:after="0"/>
              <w:ind w:left="0" w:right="0" w:hanging="0"/>
              <w:jc w:val="both"/>
              <w:rPr/>
            </w:pPr>
            <w:hyperlink r:id="rId109">
              <w:r>
                <w:rPr>
                  <w:rStyle w:val="InternetLink"/>
                  <w:rFonts w:ascii="Times New Roman;Times;serif" w:hAnsi="Times New Roman;Times;serif"/>
                  <w:b w:val="false"/>
                  <w:i w:val="false"/>
                  <w:caps w:val="false"/>
                  <w:smallCaps w:val="false"/>
                  <w:sz w:val="20"/>
                </w:rPr>
                <w:t>Form of Indemnification Agreement, dated May 20, 2022, by and between Mission Holdings US, Inc. and Director (Incorporated by reference to Exhibit 10.11 to Medicine Man Technologies Inc.’s Quarterly Report on Form 10-Q filed November 9, 2022 (Commission File No. 000-55450))</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10.41 *, **</w:t>
            </w:r>
          </w:p>
        </w:tc>
        <w:tc>
          <w:tcPr>
            <w:tcW w:w="286" w:type="dxa"/>
            <w:gridSpan w:val="2"/>
            <w:tcBorders/>
            <w:shd w:fill="auto" w:val="clear"/>
            <w:vAlign w:val="center"/>
          </w:tcPr>
          <w:p>
            <w:pPr>
              <w:pStyle w:val="TableContents"/>
              <w:spacing w:before="0" w:after="0"/>
              <w:ind w:left="0" w:right="0" w:hanging="0"/>
              <w:rPr/>
            </w:pPr>
            <w:r>
              <w:rPr/>
              <w:t>​</w:t>
            </w:r>
          </w:p>
        </w:tc>
        <w:tc>
          <w:tcPr>
            <w:tcW w:w="8838" w:type="dxa"/>
            <w:gridSpan w:val="2"/>
            <w:tcBorders/>
            <w:shd w:fill="auto" w:val="clear"/>
            <w:vAlign w:val="center"/>
          </w:tcPr>
          <w:p>
            <w:pPr>
              <w:pStyle w:val="TableContents"/>
              <w:spacing w:before="0" w:after="0"/>
              <w:ind w:left="0" w:right="0" w:hanging="0"/>
              <w:jc w:val="both"/>
              <w:rPr/>
            </w:pPr>
            <w:hyperlink w:anchor="shwz-20221231xex10d41.htm">
              <w:r>
                <w:rPr>
                  <w:rStyle w:val="InternetLink"/>
                  <w:rFonts w:ascii="Times New Roman;Times;serif" w:hAnsi="Times New Roman;Times;serif"/>
                  <w:b w:val="false"/>
                  <w:i w:val="false"/>
                  <w:caps w:val="false"/>
                  <w:smallCaps w:val="false"/>
                  <w:sz w:val="20"/>
                </w:rPr>
                <w:t>Severance Agreement and Release, dated October 28, 2022, by and between Nancy Huber and Medicine Man Technologies, Inc.</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21.1**</w:t>
            </w:r>
          </w:p>
        </w:tc>
        <w:tc>
          <w:tcPr>
            <w:tcW w:w="247" w:type="dxa"/>
            <w:tcBorders/>
            <w:shd w:fill="auto" w:val="clear"/>
            <w:vAlign w:val="center"/>
          </w:tcPr>
          <w:p>
            <w:pPr>
              <w:pStyle w:val="TableContents"/>
              <w:spacing w:before="0" w:after="0"/>
              <w:ind w:left="0" w:right="0" w:hanging="0"/>
              <w:rPr/>
            </w:pPr>
            <w:r>
              <w:rPr/>
              <w:t> </w:t>
            </w:r>
          </w:p>
        </w:tc>
        <w:tc>
          <w:tcPr>
            <w:tcW w:w="8877" w:type="dxa"/>
            <w:gridSpan w:val="3"/>
            <w:tcBorders/>
            <w:shd w:fill="auto" w:val="clear"/>
            <w:vAlign w:val="center"/>
          </w:tcPr>
          <w:p>
            <w:pPr>
              <w:pStyle w:val="TableContents"/>
              <w:spacing w:before="0" w:after="0"/>
              <w:ind w:left="0" w:right="0" w:hanging="0"/>
              <w:jc w:val="both"/>
              <w:rPr/>
            </w:pPr>
            <w:hyperlink w:anchor="shwz-20221231xex21d1.htm">
              <w:r>
                <w:rPr>
                  <w:rStyle w:val="InternetLink"/>
                  <w:rFonts w:ascii="Times New Roman;Times;serif" w:hAnsi="Times New Roman;Times;serif"/>
                  <w:b w:val="false"/>
                  <w:i w:val="false"/>
                  <w:caps w:val="false"/>
                  <w:smallCaps w:val="false"/>
                  <w:sz w:val="20"/>
                </w:rPr>
                <w:t>List of Subsidiaries</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23.1**</w:t>
            </w:r>
          </w:p>
        </w:tc>
        <w:tc>
          <w:tcPr>
            <w:tcW w:w="247" w:type="dxa"/>
            <w:tcBorders/>
            <w:shd w:fill="auto" w:val="clear"/>
            <w:vAlign w:val="center"/>
          </w:tcPr>
          <w:p>
            <w:pPr>
              <w:pStyle w:val="TableContents"/>
              <w:spacing w:before="0" w:after="0"/>
              <w:ind w:left="0" w:right="0" w:hanging="0"/>
              <w:rPr/>
            </w:pPr>
            <w:r>
              <w:rPr/>
              <w:t> </w:t>
            </w:r>
          </w:p>
        </w:tc>
        <w:tc>
          <w:tcPr>
            <w:tcW w:w="8877" w:type="dxa"/>
            <w:gridSpan w:val="3"/>
            <w:tcBorders/>
            <w:shd w:fill="auto" w:val="clear"/>
            <w:vAlign w:val="center"/>
          </w:tcPr>
          <w:p>
            <w:pPr>
              <w:pStyle w:val="TableContents"/>
              <w:spacing w:before="0" w:after="0"/>
              <w:ind w:left="0" w:right="0" w:hanging="0"/>
              <w:jc w:val="both"/>
              <w:rPr/>
            </w:pPr>
            <w:hyperlink w:anchor="shwz-20221231xex23d1.htm">
              <w:r>
                <w:rPr>
                  <w:rStyle w:val="InternetLink"/>
                  <w:rFonts w:ascii="Times New Roman;Times;serif" w:hAnsi="Times New Roman;Times;serif"/>
                  <w:b w:val="false"/>
                  <w:i w:val="false"/>
                  <w:caps w:val="false"/>
                  <w:smallCaps w:val="false"/>
                  <w:sz w:val="20"/>
                </w:rPr>
                <w:t>Consent of BF Borgers CPA PC</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31.1**</w:t>
            </w:r>
          </w:p>
        </w:tc>
        <w:tc>
          <w:tcPr>
            <w:tcW w:w="247" w:type="dxa"/>
            <w:tcBorders/>
            <w:shd w:fill="auto" w:val="clear"/>
            <w:vAlign w:val="center"/>
          </w:tcPr>
          <w:p>
            <w:pPr>
              <w:pStyle w:val="TableContents"/>
              <w:spacing w:before="0" w:after="0"/>
              <w:ind w:left="0" w:right="0" w:hanging="0"/>
              <w:rPr/>
            </w:pPr>
            <w:r>
              <w:rPr/>
              <w:t> </w:t>
            </w:r>
          </w:p>
        </w:tc>
        <w:tc>
          <w:tcPr>
            <w:tcW w:w="8877" w:type="dxa"/>
            <w:gridSpan w:val="3"/>
            <w:tcBorders/>
            <w:shd w:fill="auto" w:val="clear"/>
            <w:vAlign w:val="center"/>
          </w:tcPr>
          <w:p>
            <w:pPr>
              <w:pStyle w:val="TableContents"/>
              <w:spacing w:before="0" w:after="0"/>
              <w:ind w:left="0" w:right="0" w:hanging="0"/>
              <w:jc w:val="both"/>
              <w:rPr/>
            </w:pPr>
            <w:hyperlink w:anchor="shwz-20221231xex31d1.htm">
              <w:r>
                <w:rPr>
                  <w:rStyle w:val="InternetLink"/>
                  <w:rFonts w:ascii="Times New Roman;Times;serif" w:hAnsi="Times New Roman;Times;serif"/>
                  <w:b w:val="false"/>
                  <w:i w:val="false"/>
                  <w:caps w:val="false"/>
                  <w:smallCaps w:val="false"/>
                  <w:sz w:val="20"/>
                </w:rPr>
                <w:t>Certification of Chief Executive Officer Pursuant to Section 302 of the Sarbanes-Oxley Act of 2002</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31.2**</w:t>
            </w:r>
          </w:p>
        </w:tc>
        <w:tc>
          <w:tcPr>
            <w:tcW w:w="247" w:type="dxa"/>
            <w:tcBorders/>
            <w:shd w:fill="auto" w:val="clear"/>
            <w:vAlign w:val="center"/>
          </w:tcPr>
          <w:p>
            <w:pPr>
              <w:pStyle w:val="TableContents"/>
              <w:spacing w:before="0" w:after="0"/>
              <w:ind w:left="0" w:right="0" w:hanging="0"/>
              <w:rPr/>
            </w:pPr>
            <w:r>
              <w:rPr/>
              <w:t> </w:t>
            </w:r>
          </w:p>
        </w:tc>
        <w:tc>
          <w:tcPr>
            <w:tcW w:w="8877" w:type="dxa"/>
            <w:gridSpan w:val="3"/>
            <w:tcBorders/>
            <w:shd w:fill="auto" w:val="clear"/>
            <w:vAlign w:val="center"/>
          </w:tcPr>
          <w:p>
            <w:pPr>
              <w:pStyle w:val="TableContents"/>
              <w:spacing w:before="0" w:after="0"/>
              <w:ind w:left="0" w:right="0" w:hanging="0"/>
              <w:jc w:val="both"/>
              <w:rPr/>
            </w:pPr>
            <w:hyperlink w:anchor="shwz-20221231xex31d2.htm">
              <w:r>
                <w:rPr>
                  <w:rStyle w:val="InternetLink"/>
                  <w:rFonts w:ascii="Times New Roman;Times;serif" w:hAnsi="Times New Roman;Times;serif"/>
                  <w:b w:val="false"/>
                  <w:i w:val="false"/>
                  <w:caps w:val="false"/>
                  <w:smallCaps w:val="false"/>
                  <w:sz w:val="20"/>
                </w:rPr>
                <w:t>Certification of Chief Financial Officer Pursuant to Section 302 of the Sarbanes-Oxley Act of 2002</w:t>
              </w:r>
            </w:hyperlink>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32.1#</w:t>
            </w:r>
          </w:p>
        </w:tc>
        <w:tc>
          <w:tcPr>
            <w:tcW w:w="247" w:type="dxa"/>
            <w:tcBorders/>
            <w:shd w:fill="auto" w:val="clear"/>
            <w:vAlign w:val="center"/>
          </w:tcPr>
          <w:p>
            <w:pPr>
              <w:pStyle w:val="TableContents"/>
              <w:spacing w:before="0" w:after="0"/>
              <w:ind w:left="0" w:right="0" w:hanging="0"/>
              <w:rPr/>
            </w:pPr>
            <w:r>
              <w:rPr/>
              <w:t> </w:t>
            </w:r>
          </w:p>
        </w:tc>
        <w:tc>
          <w:tcPr>
            <w:tcW w:w="8877" w:type="dxa"/>
            <w:gridSpan w:val="3"/>
            <w:tcBorders/>
            <w:shd w:fill="auto" w:val="clear"/>
            <w:vAlign w:val="center"/>
          </w:tcPr>
          <w:p>
            <w:pPr>
              <w:pStyle w:val="TableContents"/>
              <w:spacing w:before="0" w:after="0"/>
              <w:ind w:left="0" w:right="0" w:hanging="0"/>
              <w:jc w:val="both"/>
              <w:rPr/>
            </w:pPr>
            <w:hyperlink w:anchor="shwz-20221231xex32d1.htm">
              <w:r>
                <w:rPr>
                  <w:rStyle w:val="InternetLink"/>
                  <w:rFonts w:ascii="Times New Roman;Times;serif" w:hAnsi="Times New Roman;Times;serif"/>
                  <w:b w:val="false"/>
                  <w:i w:val="false"/>
                  <w:caps w:val="false"/>
                  <w:smallCaps w:val="false"/>
                  <w:sz w:val="20"/>
                </w:rPr>
                <w:t>Certification of Chief Executive Officer and Chief Financial Officer Pursuant to 18 U.S.C. Section 1350</w:t>
              </w:r>
            </w:hyperlink>
          </w:p>
        </w:tc>
      </w:tr>
      <w:tr>
        <w:trPr/>
        <w:tc>
          <w:tcPr>
            <w:tcW w:w="10205" w:type="dxa"/>
            <w:gridSpan w:val="5"/>
            <w:tcBorders/>
            <w:shd w:fill="auto" w:val="clear"/>
            <w:vAlign w:val="center"/>
          </w:tcPr>
          <w:p>
            <w:pPr>
              <w:pStyle w:val="TableContents"/>
              <w:spacing w:before="0" w:after="0"/>
              <w:ind w:left="0" w:right="0" w:hanging="0"/>
              <w:rPr/>
            </w:pPr>
            <w:r>
              <w:rPr/>
              <w:t> </w:t>
            </w:r>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101.INS</w:t>
            </w:r>
          </w:p>
        </w:tc>
        <w:tc>
          <w:tcPr>
            <w:tcW w:w="247" w:type="dxa"/>
            <w:tcBorders/>
            <w:shd w:fill="auto" w:val="clear"/>
            <w:vAlign w:val="center"/>
          </w:tcPr>
          <w:p>
            <w:pPr>
              <w:pStyle w:val="TableContents"/>
              <w:spacing w:before="0" w:after="0"/>
              <w:ind w:left="0" w:right="0" w:hanging="0"/>
              <w:rPr/>
            </w:pPr>
            <w:r>
              <w:rPr/>
              <w:t> </w:t>
            </w:r>
          </w:p>
        </w:tc>
        <w:tc>
          <w:tcPr>
            <w:tcW w:w="8877" w:type="dxa"/>
            <w:gridSpan w:val="3"/>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Inline XBRL Instance Document.</w:t>
            </w:r>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101.SCH</w:t>
            </w:r>
          </w:p>
        </w:tc>
        <w:tc>
          <w:tcPr>
            <w:tcW w:w="247" w:type="dxa"/>
            <w:tcBorders/>
            <w:shd w:fill="auto" w:val="clear"/>
            <w:vAlign w:val="center"/>
          </w:tcPr>
          <w:p>
            <w:pPr>
              <w:pStyle w:val="TableContents"/>
              <w:spacing w:before="0" w:after="0"/>
              <w:ind w:left="0" w:right="0" w:hanging="0"/>
              <w:rPr/>
            </w:pPr>
            <w:r>
              <w:rPr/>
              <w:t> </w:t>
            </w:r>
          </w:p>
        </w:tc>
        <w:tc>
          <w:tcPr>
            <w:tcW w:w="8877" w:type="dxa"/>
            <w:gridSpan w:val="3"/>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Schema.</w:t>
            </w:r>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101.CAL</w:t>
            </w:r>
          </w:p>
        </w:tc>
        <w:tc>
          <w:tcPr>
            <w:tcW w:w="247" w:type="dxa"/>
            <w:tcBorders/>
            <w:shd w:fill="auto" w:val="clear"/>
            <w:vAlign w:val="center"/>
          </w:tcPr>
          <w:p>
            <w:pPr>
              <w:pStyle w:val="TableContents"/>
              <w:spacing w:before="0" w:after="0"/>
              <w:ind w:left="0" w:right="0" w:hanging="0"/>
              <w:rPr/>
            </w:pPr>
            <w:r>
              <w:rPr/>
              <w:t> </w:t>
            </w:r>
          </w:p>
        </w:tc>
        <w:tc>
          <w:tcPr>
            <w:tcW w:w="8877" w:type="dxa"/>
            <w:gridSpan w:val="3"/>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Calculation Linkbase.</w:t>
            </w:r>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101.DEF</w:t>
            </w:r>
          </w:p>
        </w:tc>
        <w:tc>
          <w:tcPr>
            <w:tcW w:w="247" w:type="dxa"/>
            <w:tcBorders/>
            <w:shd w:fill="auto" w:val="clear"/>
            <w:vAlign w:val="center"/>
          </w:tcPr>
          <w:p>
            <w:pPr>
              <w:pStyle w:val="TableContents"/>
              <w:spacing w:before="0" w:after="0"/>
              <w:ind w:left="0" w:right="0" w:hanging="0"/>
              <w:rPr/>
            </w:pPr>
            <w:r>
              <w:rPr/>
              <w:t> </w:t>
            </w:r>
          </w:p>
        </w:tc>
        <w:tc>
          <w:tcPr>
            <w:tcW w:w="8877" w:type="dxa"/>
            <w:gridSpan w:val="3"/>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Definition Linkbase.</w:t>
            </w:r>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101.LAB</w:t>
            </w:r>
          </w:p>
        </w:tc>
        <w:tc>
          <w:tcPr>
            <w:tcW w:w="247" w:type="dxa"/>
            <w:tcBorders/>
            <w:shd w:fill="auto" w:val="clear"/>
            <w:vAlign w:val="center"/>
          </w:tcPr>
          <w:p>
            <w:pPr>
              <w:pStyle w:val="TableContents"/>
              <w:spacing w:before="0" w:after="0"/>
              <w:ind w:left="0" w:right="0" w:hanging="0"/>
              <w:rPr/>
            </w:pPr>
            <w:r>
              <w:rPr/>
              <w:t> </w:t>
            </w:r>
          </w:p>
        </w:tc>
        <w:tc>
          <w:tcPr>
            <w:tcW w:w="8877" w:type="dxa"/>
            <w:gridSpan w:val="3"/>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Label Linkbase.</w:t>
            </w:r>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101.PRE</w:t>
            </w:r>
          </w:p>
        </w:tc>
        <w:tc>
          <w:tcPr>
            <w:tcW w:w="247" w:type="dxa"/>
            <w:tcBorders/>
            <w:shd w:fill="auto" w:val="clear"/>
            <w:vAlign w:val="center"/>
          </w:tcPr>
          <w:p>
            <w:pPr>
              <w:pStyle w:val="TableContents"/>
              <w:spacing w:before="0" w:after="0"/>
              <w:ind w:left="0" w:right="0" w:hanging="0"/>
              <w:rPr/>
            </w:pPr>
            <w:r>
              <w:rPr/>
              <w:t> </w:t>
            </w:r>
          </w:p>
        </w:tc>
        <w:tc>
          <w:tcPr>
            <w:tcW w:w="8877" w:type="dxa"/>
            <w:gridSpan w:val="3"/>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Presentation Linkbase.</w:t>
            </w:r>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104</w:t>
            </w:r>
          </w:p>
        </w:tc>
        <w:tc>
          <w:tcPr>
            <w:tcW w:w="247" w:type="dxa"/>
            <w:tcBorders/>
            <w:shd w:fill="auto" w:val="clear"/>
            <w:vAlign w:val="center"/>
          </w:tcPr>
          <w:p>
            <w:pPr>
              <w:pStyle w:val="TableContents"/>
              <w:spacing w:before="0" w:after="0"/>
              <w:ind w:left="0" w:right="0" w:hanging="0"/>
              <w:rPr/>
            </w:pPr>
            <w:r>
              <w:rPr/>
              <w:t> </w:t>
            </w:r>
          </w:p>
        </w:tc>
        <w:tc>
          <w:tcPr>
            <w:tcW w:w="8877" w:type="dxa"/>
            <w:gridSpan w:val="3"/>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Date File (formatted in iXBRL in Exhibit 101)</w:t>
            </w:r>
          </w:p>
        </w:tc>
      </w:tr>
    </w:tbl>
    <w:tbl>
      <w:tblPr>
        <w:tblW w:w="6002" w:type="dxa"/>
        <w:jc w:val="left"/>
        <w:tblInd w:w="0" w:type="dxa"/>
        <w:tblCellMar>
          <w:top w:w="0" w:type="dxa"/>
          <w:left w:w="0" w:type="dxa"/>
          <w:bottom w:w="0" w:type="dxa"/>
          <w:right w:w="0" w:type="dxa"/>
        </w:tblCellMar>
      </w:tblPr>
      <w:tblGrid>
        <w:gridCol w:w="226"/>
        <w:gridCol w:w="5776"/>
      </w:tblGrid>
      <w:tr>
        <w:trPr/>
        <w:tc>
          <w:tcPr>
            <w:tcW w:w="22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w:t>
            </w:r>
          </w:p>
        </w:tc>
        <w:tc>
          <w:tcPr>
            <w:tcW w:w="577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Indicates management contract or compensatory plan or arrangement.</w:t>
            </w:r>
          </w:p>
        </w:tc>
      </w:tr>
    </w:tbl>
    <w:tbl>
      <w:tblPr>
        <w:tblW w:w="1697" w:type="dxa"/>
        <w:jc w:val="left"/>
        <w:tblInd w:w="0" w:type="dxa"/>
        <w:tblCellMar>
          <w:top w:w="0" w:type="dxa"/>
          <w:left w:w="0" w:type="dxa"/>
          <w:bottom w:w="0" w:type="dxa"/>
          <w:right w:w="0" w:type="dxa"/>
        </w:tblCellMar>
      </w:tblPr>
      <w:tblGrid>
        <w:gridCol w:w="331"/>
        <w:gridCol w:w="1366"/>
      </w:tblGrid>
      <w:tr>
        <w:trPr/>
        <w:tc>
          <w:tcPr>
            <w:tcW w:w="33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w:t>
            </w:r>
          </w:p>
        </w:tc>
        <w:tc>
          <w:tcPr>
            <w:tcW w:w="136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Filed herewith.</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982" w:type="dxa"/>
        <w:jc w:val="left"/>
        <w:tblInd w:w="0" w:type="dxa"/>
        <w:tblCellMar>
          <w:top w:w="0" w:type="dxa"/>
          <w:left w:w="0" w:type="dxa"/>
          <w:bottom w:w="0" w:type="dxa"/>
          <w:right w:w="0" w:type="dxa"/>
        </w:tblCellMar>
      </w:tblPr>
      <w:tblGrid>
        <w:gridCol w:w="226"/>
        <w:gridCol w:w="1756"/>
      </w:tblGrid>
      <w:tr>
        <w:trPr/>
        <w:tc>
          <w:tcPr>
            <w:tcW w:w="22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w:t>
            </w:r>
          </w:p>
        </w:tc>
        <w:tc>
          <w:tcPr>
            <w:tcW w:w="175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Furnished herewith.</w:t>
            </w:r>
          </w:p>
        </w:tc>
      </w:tr>
    </w:tbl>
    <w:tbl>
      <w:tblPr>
        <w:tblW w:w="10205" w:type="dxa"/>
        <w:jc w:val="left"/>
        <w:tblInd w:w="0" w:type="dxa"/>
        <w:tblCellMar>
          <w:top w:w="0" w:type="dxa"/>
          <w:left w:w="0" w:type="dxa"/>
          <w:bottom w:w="0" w:type="dxa"/>
          <w:right w:w="0" w:type="dxa"/>
        </w:tblCellMar>
      </w:tblPr>
      <w:tblGrid>
        <w:gridCol w:w="226"/>
        <w:gridCol w:w="9979"/>
      </w:tblGrid>
      <w:tr>
        <w:trPr/>
        <w:tc>
          <w:tcPr>
            <w:tcW w:w="226"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w:t>
            </w:r>
          </w:p>
        </w:tc>
        <w:tc>
          <w:tcPr>
            <w:tcW w:w="9979"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Certain exhibits and schedules to the agreement have been omitted pursuant to Item 601(a)(5) of Regulation S-K. The Company hereby undertakes to supplementally furnish copies of any omitted schedules to the SEC upon request.</w:t>
            </w:r>
          </w:p>
        </w:tc>
      </w:tr>
    </w:tbl>
    <w:tbl>
      <w:tblPr>
        <w:tblW w:w="10205" w:type="dxa"/>
        <w:jc w:val="left"/>
        <w:tblInd w:w="0" w:type="dxa"/>
        <w:tblCellMar>
          <w:top w:w="0" w:type="dxa"/>
          <w:left w:w="0" w:type="dxa"/>
          <w:bottom w:w="0" w:type="dxa"/>
          <w:right w:w="0" w:type="dxa"/>
        </w:tblCellMar>
      </w:tblPr>
      <w:tblGrid>
        <w:gridCol w:w="275"/>
        <w:gridCol w:w="9930"/>
      </w:tblGrid>
      <w:tr>
        <w:trPr/>
        <w:tc>
          <w:tcPr>
            <w:tcW w:w="27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w:t>
            </w:r>
          </w:p>
        </w:tc>
        <w:tc>
          <w:tcPr>
            <w:tcW w:w="993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Certain information has been redacted pursuant to Instruction 5 to Item 1.01 of Form 8-K and Item 601(a)(6) of Regulation S-K. The Company hereby undertakes to supplementally furnish any redacted information to the SEC upon request.</w:t>
            </w:r>
          </w:p>
        </w:tc>
      </w:tr>
    </w:tbl>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agreements and other documents filed or furnished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pStyle w:val="TextBody"/>
        <w:spacing w:before="0" w:after="240"/>
        <w:ind w:left="0" w:right="0" w:hanging="0"/>
        <w:jc w:val="both"/>
        <w:rPr/>
      </w:pPr>
      <w:r>
        <w:rPr/>
        <w:t>​</w:t>
      </w:r>
    </w:p>
    <w:p>
      <w:pPr>
        <w:pStyle w:val="TextBody"/>
        <w:spacing w:before="0" w:after="240"/>
        <w:ind w:left="0" w:right="0" w:hanging="0"/>
        <w:rPr>
          <w:rFonts w:ascii="Times New Roman;Times;serif" w:hAnsi="Times New Roman;Times;serif"/>
          <w:b/>
          <w:sz w:val="20"/>
        </w:rPr>
      </w:pPr>
      <w:bookmarkStart w:id="1242" w:name="ITEM16FORM10KSUMMARY_700786"/>
      <w:bookmarkStart w:id="1243" w:name="_bef67512_e4e4_4947_847c_ace84ad5b030"/>
      <w:bookmarkEnd w:id="1242"/>
      <w:bookmarkEnd w:id="1243"/>
      <w:r>
        <w:rPr>
          <w:rFonts w:ascii="Times New Roman;Times;serif" w:hAnsi="Times New Roman;Times;serif"/>
          <w:b/>
          <w:i w:val="false"/>
          <w:caps w:val="false"/>
          <w:smallCaps w:val="false"/>
          <w:sz w:val="20"/>
        </w:rPr>
        <w:t>ITEM 16.</w:t>
      </w:r>
      <w:r>
        <w:rPr>
          <w:rFonts w:ascii="Times New Roman;Times;serif" w:hAnsi="Times New Roman;Times;serif"/>
          <w:b/>
          <w:sz w:val="20"/>
        </w:rPr>
        <w:t>FORM 10-K SUMMARY.</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spacing w:before="0" w:after="12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18"/>
        </w:rPr>
      </w:pPr>
      <w:bookmarkStart w:id="1244" w:name="SIGNATURES_883660"/>
      <w:bookmarkStart w:id="1245" w:name="_633f776e_c6d4_43c9_8c2a_def2cbc76c40"/>
      <w:bookmarkEnd w:id="1244"/>
      <w:bookmarkEnd w:id="1245"/>
      <w:r>
        <w:rPr>
          <w:rFonts w:ascii="Times New Roman;Times;serif" w:hAnsi="Times New Roman;Times;serif"/>
          <w:b/>
          <w:sz w:val="18"/>
        </w:rPr>
        <w:t>SIGNATURES</w:t>
      </w:r>
    </w:p>
    <w:p>
      <w:pPr>
        <w:pStyle w:val="TextBody"/>
        <w:spacing w:before="0" w:after="240"/>
        <w:ind w:left="0" w:right="0" w:hanging="0"/>
        <w:jc w:val="both"/>
        <w:rPr>
          <w:rFonts w:ascii="Times New Roman;Times;serif" w:hAnsi="Times New Roman;Times;serif"/>
          <w:sz w:val="18"/>
        </w:rPr>
      </w:pPr>
      <w:r>
        <w:rPr>
          <w:rFonts w:ascii="Times New Roman;Times;serif" w:hAnsi="Times New Roman;Times;serif"/>
          <w:sz w:val="18"/>
        </w:rPr>
        <w:t>Pursuant to the requirements of Section 13 or 15(d) of the Securities Exchange Act of 1934, the Registrant has duly caused this Annual Report to be signed on its behalf by the undersigned thereunder duly authorized.</w:t>
      </w:r>
    </w:p>
    <w:tbl>
      <w:tblPr>
        <w:tblW w:w="5401" w:type="dxa"/>
        <w:jc w:val="left"/>
        <w:tblInd w:w="0" w:type="dxa"/>
        <w:tblCellMar>
          <w:top w:w="0" w:type="dxa"/>
          <w:left w:w="0" w:type="dxa"/>
          <w:bottom w:w="0" w:type="dxa"/>
          <w:right w:w="0" w:type="dxa"/>
        </w:tblCellMar>
      </w:tblPr>
      <w:tblGrid>
        <w:gridCol w:w="1816"/>
        <w:gridCol w:w="829"/>
        <w:gridCol w:w="2756"/>
      </w:tblGrid>
      <w:tr>
        <w:trPr/>
        <w:tc>
          <w:tcPr>
            <w:tcW w:w="1816" w:type="dxa"/>
            <w:tcBorders/>
            <w:shd w:fill="auto" w:val="clear"/>
            <w:vAlign w:val="center"/>
          </w:tcPr>
          <w:p>
            <w:pPr>
              <w:pStyle w:val="TableContents"/>
              <w:spacing w:before="0" w:after="283"/>
              <w:ind w:left="0" w:right="0" w:hanging="0"/>
              <w:rPr>
                <w:sz w:val="4"/>
                <w:szCs w:val="4"/>
              </w:rPr>
            </w:pPr>
            <w:r>
              <w:rPr>
                <w:sz w:val="4"/>
                <w:szCs w:val="4"/>
              </w:rPr>
            </w:r>
          </w:p>
        </w:tc>
        <w:tc>
          <w:tcPr>
            <w:tcW w:w="829" w:type="dxa"/>
            <w:tcBorders/>
            <w:shd w:fill="auto" w:val="clear"/>
            <w:vAlign w:val="center"/>
          </w:tcPr>
          <w:p>
            <w:pPr>
              <w:pStyle w:val="TableContents"/>
              <w:spacing w:before="0" w:after="283"/>
              <w:ind w:left="0" w:right="0" w:hanging="0"/>
              <w:rPr>
                <w:sz w:val="4"/>
                <w:szCs w:val="4"/>
              </w:rPr>
            </w:pPr>
            <w:r>
              <w:rPr>
                <w:sz w:val="4"/>
                <w:szCs w:val="4"/>
              </w:rPr>
            </w:r>
          </w:p>
        </w:tc>
        <w:tc>
          <w:tcPr>
            <w:tcW w:w="2756" w:type="dxa"/>
            <w:tcBorders/>
            <w:shd w:fill="auto" w:val="clear"/>
            <w:vAlign w:val="center"/>
          </w:tcPr>
          <w:p>
            <w:pPr>
              <w:pStyle w:val="TableContents"/>
              <w:spacing w:before="0" w:after="0"/>
              <w:ind w:left="0" w:right="0" w:hanging="0"/>
              <w:rPr/>
            </w:pPr>
            <w:r>
              <w:rPr/>
              <w:t>​</w:t>
            </w:r>
          </w:p>
        </w:tc>
      </w:tr>
      <w:tr>
        <w:trPr/>
        <w:tc>
          <w:tcPr>
            <w:tcW w:w="181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Dated:  March 29, 2023</w:t>
            </w:r>
          </w:p>
        </w:tc>
        <w:tc>
          <w:tcPr>
            <w:tcW w:w="3585" w:type="dxa"/>
            <w:gridSpan w:val="2"/>
            <w:tcBorders/>
            <w:shd w:fill="auto"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MEDICINE MAN TECHNOLOGIES, INC.</w:t>
            </w:r>
          </w:p>
        </w:tc>
      </w:tr>
      <w:tr>
        <w:trPr/>
        <w:tc>
          <w:tcPr>
            <w:tcW w:w="1816" w:type="dxa"/>
            <w:tcBorders/>
            <w:shd w:fill="auto" w:val="clear"/>
            <w:vAlign w:val="center"/>
          </w:tcPr>
          <w:p>
            <w:pPr>
              <w:pStyle w:val="TableContents"/>
              <w:spacing w:before="0" w:after="0"/>
              <w:ind w:left="0" w:right="0" w:hanging="0"/>
              <w:rPr/>
            </w:pPr>
            <w:r>
              <w:rPr/>
              <w:t>​</w:t>
            </w:r>
          </w:p>
        </w:tc>
        <w:tc>
          <w:tcPr>
            <w:tcW w:w="3585" w:type="dxa"/>
            <w:gridSpan w:val="2"/>
            <w:tcBorders/>
            <w:shd w:fill="auto" w:val="clear"/>
            <w:vAlign w:val="center"/>
          </w:tcPr>
          <w:p>
            <w:pPr>
              <w:pStyle w:val="TableContents"/>
              <w:spacing w:before="0" w:after="0"/>
              <w:ind w:left="0" w:right="0" w:hanging="0"/>
              <w:rPr/>
            </w:pPr>
            <w:r>
              <w:rPr/>
              <w:t>​</w:t>
            </w:r>
          </w:p>
        </w:tc>
      </w:tr>
      <w:tr>
        <w:trPr/>
        <w:tc>
          <w:tcPr>
            <w:tcW w:w="1816" w:type="dxa"/>
            <w:tcBorders/>
            <w:shd w:fill="auto" w:val="clear"/>
            <w:vAlign w:val="center"/>
          </w:tcPr>
          <w:p>
            <w:pPr>
              <w:pStyle w:val="TableContents"/>
              <w:spacing w:before="0" w:after="0"/>
              <w:ind w:left="0" w:right="0" w:hanging="0"/>
              <w:rPr/>
            </w:pPr>
            <w:r>
              <w:rPr/>
              <w:t>​</w:t>
            </w:r>
          </w:p>
        </w:tc>
        <w:tc>
          <w:tcPr>
            <w:tcW w:w="829"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By:</w:t>
            </w:r>
          </w:p>
        </w:tc>
        <w:tc>
          <w:tcPr>
            <w:tcW w:w="275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 Justin Dye</w:t>
            </w:r>
          </w:p>
        </w:tc>
      </w:tr>
      <w:tr>
        <w:trPr/>
        <w:tc>
          <w:tcPr>
            <w:tcW w:w="1816" w:type="dxa"/>
            <w:tcBorders/>
            <w:shd w:fill="auto" w:val="clear"/>
            <w:vAlign w:val="center"/>
          </w:tcPr>
          <w:p>
            <w:pPr>
              <w:pStyle w:val="TableContents"/>
              <w:spacing w:before="0" w:after="0"/>
              <w:ind w:left="0" w:right="0" w:hanging="0"/>
              <w:rPr/>
            </w:pPr>
            <w:r>
              <w:rPr/>
              <w:t>​</w:t>
            </w:r>
          </w:p>
        </w:tc>
        <w:tc>
          <w:tcPr>
            <w:tcW w:w="3585" w:type="dxa"/>
            <w:gridSpan w:val="2"/>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Justin Dye</w:t>
            </w:r>
          </w:p>
        </w:tc>
      </w:tr>
      <w:tr>
        <w:trPr/>
        <w:tc>
          <w:tcPr>
            <w:tcW w:w="1816" w:type="dxa"/>
            <w:tcBorders/>
            <w:shd w:fill="auto" w:val="clear"/>
            <w:vAlign w:val="center"/>
          </w:tcPr>
          <w:p>
            <w:pPr>
              <w:pStyle w:val="TableContents"/>
              <w:spacing w:before="0" w:after="0"/>
              <w:ind w:left="0" w:right="0" w:hanging="0"/>
              <w:rPr/>
            </w:pPr>
            <w:r>
              <w:rPr/>
              <w:t>​</w:t>
            </w:r>
          </w:p>
        </w:tc>
        <w:tc>
          <w:tcPr>
            <w:tcW w:w="3585" w:type="dxa"/>
            <w:gridSpan w:val="2"/>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Chief Executive Officer</w:t>
            </w:r>
          </w:p>
        </w:tc>
      </w:tr>
      <w:tr>
        <w:trPr/>
        <w:tc>
          <w:tcPr>
            <w:tcW w:w="1816" w:type="dxa"/>
            <w:tcBorders/>
            <w:shd w:fill="auto" w:val="clear"/>
            <w:vAlign w:val="center"/>
          </w:tcPr>
          <w:p>
            <w:pPr>
              <w:pStyle w:val="TableContents"/>
              <w:spacing w:before="0" w:after="0"/>
              <w:ind w:left="0" w:right="0" w:hanging="0"/>
              <w:rPr/>
            </w:pPr>
            <w:r>
              <w:rPr/>
              <w:t>​</w:t>
            </w:r>
          </w:p>
        </w:tc>
        <w:tc>
          <w:tcPr>
            <w:tcW w:w="3585" w:type="dxa"/>
            <w:gridSpan w:val="2"/>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(Principal Executive Officer)</w:t>
            </w:r>
          </w:p>
        </w:tc>
      </w:tr>
      <w:tr>
        <w:trPr/>
        <w:tc>
          <w:tcPr>
            <w:tcW w:w="1816" w:type="dxa"/>
            <w:tcBorders/>
            <w:shd w:fill="auto" w:val="clear"/>
            <w:vAlign w:val="center"/>
          </w:tcPr>
          <w:p>
            <w:pPr>
              <w:pStyle w:val="TableContents"/>
              <w:spacing w:before="0" w:after="0"/>
              <w:ind w:left="0" w:right="0" w:hanging="0"/>
              <w:rPr/>
            </w:pPr>
            <w:r>
              <w:rPr/>
              <w:t>​</w:t>
            </w:r>
          </w:p>
        </w:tc>
        <w:tc>
          <w:tcPr>
            <w:tcW w:w="3585" w:type="dxa"/>
            <w:gridSpan w:val="2"/>
            <w:tcBorders/>
            <w:shd w:fill="auto" w:val="clear"/>
            <w:vAlign w:val="center"/>
          </w:tcPr>
          <w:p>
            <w:pPr>
              <w:pStyle w:val="TableContents"/>
              <w:spacing w:before="0" w:after="0"/>
              <w:ind w:left="0" w:right="0" w:hanging="0"/>
              <w:rPr/>
            </w:pPr>
            <w:r>
              <w:rPr/>
              <w:t>​</w:t>
            </w:r>
          </w:p>
        </w:tc>
      </w:tr>
      <w:tr>
        <w:trPr/>
        <w:tc>
          <w:tcPr>
            <w:tcW w:w="1816" w:type="dxa"/>
            <w:tcBorders/>
            <w:shd w:fill="auto" w:val="clear"/>
            <w:vAlign w:val="center"/>
          </w:tcPr>
          <w:p>
            <w:pPr>
              <w:pStyle w:val="TableContents"/>
              <w:spacing w:before="0" w:after="0"/>
              <w:ind w:left="0" w:right="0" w:hanging="0"/>
              <w:rPr/>
            </w:pPr>
            <w:r>
              <w:rPr/>
              <w:t>​</w:t>
            </w:r>
          </w:p>
        </w:tc>
        <w:tc>
          <w:tcPr>
            <w:tcW w:w="829"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By:</w:t>
            </w:r>
          </w:p>
        </w:tc>
        <w:tc>
          <w:tcPr>
            <w:tcW w:w="275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 Forrest Hoffmaster</w:t>
            </w:r>
          </w:p>
        </w:tc>
      </w:tr>
      <w:tr>
        <w:trPr/>
        <w:tc>
          <w:tcPr>
            <w:tcW w:w="1816" w:type="dxa"/>
            <w:tcBorders/>
            <w:shd w:fill="auto" w:val="clear"/>
            <w:vAlign w:val="center"/>
          </w:tcPr>
          <w:p>
            <w:pPr>
              <w:pStyle w:val="TableContents"/>
              <w:spacing w:before="0" w:after="0"/>
              <w:ind w:left="0" w:right="0" w:hanging="0"/>
              <w:rPr/>
            </w:pPr>
            <w:r>
              <w:rPr/>
              <w:t>​</w:t>
            </w:r>
          </w:p>
        </w:tc>
        <w:tc>
          <w:tcPr>
            <w:tcW w:w="3585" w:type="dxa"/>
            <w:gridSpan w:val="2"/>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Forrest Hoffmaster</w:t>
            </w:r>
          </w:p>
        </w:tc>
      </w:tr>
      <w:tr>
        <w:trPr/>
        <w:tc>
          <w:tcPr>
            <w:tcW w:w="1816" w:type="dxa"/>
            <w:tcBorders/>
            <w:shd w:fill="auto" w:val="clear"/>
            <w:vAlign w:val="center"/>
          </w:tcPr>
          <w:p>
            <w:pPr>
              <w:pStyle w:val="TableContents"/>
              <w:spacing w:before="0" w:after="0"/>
              <w:ind w:left="0" w:right="0" w:hanging="0"/>
              <w:rPr/>
            </w:pPr>
            <w:r>
              <w:rPr/>
              <w:t>​</w:t>
            </w:r>
          </w:p>
        </w:tc>
        <w:tc>
          <w:tcPr>
            <w:tcW w:w="3585" w:type="dxa"/>
            <w:gridSpan w:val="2"/>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Chief Financial Officer</w:t>
            </w:r>
          </w:p>
        </w:tc>
      </w:tr>
      <w:tr>
        <w:trPr/>
        <w:tc>
          <w:tcPr>
            <w:tcW w:w="1816" w:type="dxa"/>
            <w:tcBorders/>
            <w:shd w:fill="auto" w:val="clear"/>
            <w:vAlign w:val="center"/>
          </w:tcPr>
          <w:p>
            <w:pPr>
              <w:pStyle w:val="TableContents"/>
              <w:spacing w:before="0" w:after="0"/>
              <w:ind w:left="0" w:right="0" w:hanging="0"/>
              <w:rPr/>
            </w:pPr>
            <w:r>
              <w:rPr/>
              <w:t>​</w:t>
            </w:r>
          </w:p>
        </w:tc>
        <w:tc>
          <w:tcPr>
            <w:tcW w:w="3585" w:type="dxa"/>
            <w:gridSpan w:val="2"/>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(Principal Financial and Accounting Officer)</w:t>
            </w:r>
          </w:p>
        </w:tc>
      </w:tr>
    </w:tbl>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18"/>
        </w:rPr>
      </w:pPr>
      <w:r>
        <w:rPr>
          <w:rFonts w:ascii="Times New Roman;Times;serif" w:hAnsi="Times New Roman;Times;serif"/>
          <w:sz w:val="18"/>
        </w:rPr>
        <w:t>Pursuant to the requirements of the Securities Exchange Act of 1934, this report has been signed below by the following persons on behalf of the registrant and in the capacities and on the dates indicated.</w:t>
      </w:r>
    </w:p>
    <w:tbl>
      <w:tblPr>
        <w:tblW w:w="7090" w:type="dxa"/>
        <w:jc w:val="left"/>
        <w:tblInd w:w="0" w:type="dxa"/>
        <w:tblCellMar>
          <w:top w:w="0" w:type="dxa"/>
          <w:left w:w="0" w:type="dxa"/>
          <w:bottom w:w="0" w:type="dxa"/>
          <w:right w:w="0" w:type="dxa"/>
        </w:tblCellMar>
      </w:tblPr>
      <w:tblGrid>
        <w:gridCol w:w="1876"/>
        <w:gridCol w:w="326"/>
        <w:gridCol w:w="3271"/>
        <w:gridCol w:w="326"/>
        <w:gridCol w:w="1291"/>
      </w:tblGrid>
      <w:tr>
        <w:trPr/>
        <w:tc>
          <w:tcPr>
            <w:tcW w:w="187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3271"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291" w:type="dxa"/>
            <w:tcBorders/>
            <w:shd w:fill="auto" w:val="clear"/>
            <w:vAlign w:val="center"/>
          </w:tcPr>
          <w:p>
            <w:pPr>
              <w:pStyle w:val="TableContents"/>
              <w:spacing w:before="0" w:after="283"/>
              <w:ind w:left="0" w:right="0" w:hanging="0"/>
              <w:rPr>
                <w:sz w:val="4"/>
                <w:szCs w:val="4"/>
              </w:rPr>
            </w:pPr>
            <w:r>
              <w:rPr>
                <w:sz w:val="4"/>
                <w:szCs w:val="4"/>
              </w:rPr>
            </w:r>
          </w:p>
        </w:tc>
      </w:tr>
      <w:tr>
        <w:trPr/>
        <w:tc>
          <w:tcPr>
            <w:tcW w:w="18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Signature</w:t>
            </w:r>
          </w:p>
        </w:tc>
        <w:tc>
          <w:tcPr>
            <w:tcW w:w="326" w:type="dxa"/>
            <w:tcBorders/>
            <w:shd w:fill="auto" w:val="clear"/>
            <w:vAlign w:val="center"/>
          </w:tcPr>
          <w:p>
            <w:pPr>
              <w:pStyle w:val="TableContents"/>
              <w:spacing w:before="0" w:after="0"/>
              <w:ind w:left="0" w:right="0" w:hanging="0"/>
              <w:jc w:val="center"/>
              <w:rPr/>
            </w:pPr>
            <w:r>
              <w:rPr/>
              <w:t>    </w:t>
            </w:r>
          </w:p>
        </w:tc>
        <w:tc>
          <w:tcPr>
            <w:tcW w:w="32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Title</w:t>
            </w:r>
          </w:p>
        </w:tc>
        <w:tc>
          <w:tcPr>
            <w:tcW w:w="326" w:type="dxa"/>
            <w:tcBorders/>
            <w:shd w:fill="auto" w:val="clear"/>
            <w:vAlign w:val="center"/>
          </w:tcPr>
          <w:p>
            <w:pPr>
              <w:pStyle w:val="TableContents"/>
              <w:spacing w:before="0" w:after="0"/>
              <w:ind w:left="0" w:right="0" w:hanging="0"/>
              <w:jc w:val="center"/>
              <w:rPr/>
            </w:pPr>
            <w:r>
              <w:rPr/>
              <w:t>    </w:t>
            </w:r>
          </w:p>
        </w:tc>
        <w:tc>
          <w:tcPr>
            <w:tcW w:w="12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Date</w:t>
            </w:r>
          </w:p>
        </w:tc>
      </w:tr>
      <w:tr>
        <w:trPr/>
        <w:tc>
          <w:tcPr>
            <w:tcW w:w="1876" w:type="dxa"/>
            <w:tcBorders>
              <w:top w:val="single" w:sz="2" w:space="0" w:color="000000"/>
            </w:tcBorders>
            <w:shd w:fill="auto" w:val="clear"/>
            <w:tcMar>
              <w:top w:w="28" w:type="dxa"/>
            </w:tcM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 </w:t>
            </w:r>
          </w:p>
        </w:tc>
        <w:tc>
          <w:tcPr>
            <w:tcW w:w="3271" w:type="dxa"/>
            <w:tcBorders>
              <w:top w:val="single" w:sz="2" w:space="0" w:color="000000"/>
            </w:tcBorders>
            <w:shd w:fill="auto" w:val="clear"/>
            <w:tcMar>
              <w:top w:w="28" w:type="dxa"/>
            </w:tcM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 </w:t>
            </w:r>
          </w:p>
        </w:tc>
        <w:tc>
          <w:tcPr>
            <w:tcW w:w="1291" w:type="dxa"/>
            <w:tcBorders>
              <w:top w:val="single" w:sz="2" w:space="0" w:color="000000"/>
            </w:tcBorders>
            <w:shd w:fill="auto" w:val="clear"/>
            <w:tcMar>
              <w:top w:w="28" w:type="dxa"/>
            </w:tcMar>
            <w:vAlign w:val="center"/>
          </w:tcPr>
          <w:p>
            <w:pPr>
              <w:pStyle w:val="TableContents"/>
              <w:spacing w:before="0" w:after="0"/>
              <w:ind w:left="0" w:right="0" w:hanging="0"/>
              <w:rPr/>
            </w:pPr>
            <w:r>
              <w:rPr/>
              <w:t> </w:t>
            </w:r>
          </w:p>
        </w:tc>
      </w:tr>
      <w:tr>
        <w:trPr/>
        <w:tc>
          <w:tcPr>
            <w:tcW w:w="187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 Justin Dye</w:t>
            </w:r>
          </w:p>
        </w:tc>
        <w:tc>
          <w:tcPr>
            <w:tcW w:w="326" w:type="dxa"/>
            <w:tcBorders/>
            <w:shd w:fill="auto" w:val="clear"/>
            <w:vAlign w:val="center"/>
          </w:tcPr>
          <w:p>
            <w:pPr>
              <w:pStyle w:val="TableContents"/>
              <w:spacing w:before="0" w:after="0"/>
              <w:ind w:left="0" w:right="0" w:hanging="0"/>
              <w:rPr/>
            </w:pPr>
            <w:r>
              <w:rPr/>
              <w:t> </w:t>
            </w:r>
          </w:p>
        </w:tc>
        <w:tc>
          <w:tcPr>
            <w:tcW w:w="327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Chief Executive Officer and Director</w:t>
            </w:r>
          </w:p>
        </w:tc>
        <w:tc>
          <w:tcPr>
            <w:tcW w:w="326" w:type="dxa"/>
            <w:tcBorders/>
            <w:shd w:fill="auto" w:val="clear"/>
            <w:vAlign w:val="center"/>
          </w:tcPr>
          <w:p>
            <w:pPr>
              <w:pStyle w:val="TableContents"/>
              <w:spacing w:before="0" w:after="0"/>
              <w:ind w:left="0" w:right="0" w:hanging="0"/>
              <w:rPr/>
            </w:pPr>
            <w:r>
              <w:rPr/>
              <w:t> </w:t>
            </w:r>
          </w:p>
        </w:tc>
        <w:tc>
          <w:tcPr>
            <w:tcW w:w="129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March 29, 2023</w:t>
            </w:r>
          </w:p>
        </w:tc>
      </w:tr>
      <w:tr>
        <w:trPr/>
        <w:tc>
          <w:tcPr>
            <w:tcW w:w="187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Justin Dye</w:t>
            </w:r>
          </w:p>
        </w:tc>
        <w:tc>
          <w:tcPr>
            <w:tcW w:w="326" w:type="dxa"/>
            <w:tcBorders/>
            <w:shd w:fill="auto" w:val="clear"/>
            <w:vAlign w:val="center"/>
          </w:tcPr>
          <w:p>
            <w:pPr>
              <w:pStyle w:val="TableContents"/>
              <w:spacing w:before="0" w:after="0"/>
              <w:ind w:left="0" w:right="0" w:hanging="0"/>
              <w:rPr/>
            </w:pPr>
            <w:r>
              <w:rPr/>
              <w:t> </w:t>
            </w:r>
          </w:p>
        </w:tc>
        <w:tc>
          <w:tcPr>
            <w:tcW w:w="327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(Principal Executive Officer and Director)</w:t>
            </w:r>
          </w:p>
        </w:tc>
        <w:tc>
          <w:tcPr>
            <w:tcW w:w="326" w:type="dxa"/>
            <w:tcBorders/>
            <w:shd w:fill="auto" w:val="clear"/>
            <w:vAlign w:val="center"/>
          </w:tcPr>
          <w:p>
            <w:pPr>
              <w:pStyle w:val="TableContents"/>
              <w:spacing w:before="0" w:after="0"/>
              <w:ind w:left="0" w:right="0" w:hanging="0"/>
              <w:rPr/>
            </w:pPr>
            <w:r>
              <w:rPr/>
              <w:t> </w:t>
            </w:r>
          </w:p>
        </w:tc>
        <w:tc>
          <w:tcPr>
            <w:tcW w:w="1291" w:type="dxa"/>
            <w:tcBorders/>
            <w:shd w:fill="auto" w:val="clear"/>
            <w:vAlign w:val="center"/>
          </w:tcPr>
          <w:p>
            <w:pPr>
              <w:pStyle w:val="TableContents"/>
              <w:spacing w:before="0" w:after="0"/>
              <w:ind w:left="0" w:right="0" w:hanging="0"/>
              <w:rPr/>
            </w:pPr>
            <w:r>
              <w:rPr/>
              <w:t> </w:t>
            </w:r>
          </w:p>
        </w:tc>
      </w:tr>
      <w:tr>
        <w:trPr/>
        <w:tc>
          <w:tcPr>
            <w:tcW w:w="1876"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 </w:t>
            </w:r>
          </w:p>
        </w:tc>
        <w:tc>
          <w:tcPr>
            <w:tcW w:w="3271"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 </w:t>
            </w:r>
          </w:p>
        </w:tc>
        <w:tc>
          <w:tcPr>
            <w:tcW w:w="1291" w:type="dxa"/>
            <w:tcBorders/>
            <w:shd w:fill="auto" w:val="clear"/>
            <w:vAlign w:val="center"/>
          </w:tcPr>
          <w:p>
            <w:pPr>
              <w:pStyle w:val="TableContents"/>
              <w:spacing w:before="0" w:after="0"/>
              <w:ind w:left="0" w:right="0" w:hanging="0"/>
              <w:rPr/>
            </w:pPr>
            <w:r>
              <w:rPr/>
              <w:t> </w:t>
            </w:r>
          </w:p>
        </w:tc>
      </w:tr>
      <w:tr>
        <w:trPr/>
        <w:tc>
          <w:tcPr>
            <w:tcW w:w="187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 Forrest Hoffmaster</w:t>
            </w:r>
          </w:p>
        </w:tc>
        <w:tc>
          <w:tcPr>
            <w:tcW w:w="326" w:type="dxa"/>
            <w:tcBorders/>
            <w:shd w:fill="auto" w:val="clear"/>
            <w:vAlign w:val="center"/>
          </w:tcPr>
          <w:p>
            <w:pPr>
              <w:pStyle w:val="TableContents"/>
              <w:spacing w:before="0" w:after="0"/>
              <w:ind w:left="0" w:right="0" w:hanging="0"/>
              <w:rPr/>
            </w:pPr>
            <w:r>
              <w:rPr/>
              <w:t> </w:t>
            </w:r>
          </w:p>
        </w:tc>
        <w:tc>
          <w:tcPr>
            <w:tcW w:w="327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Chief Financial Officer</w:t>
            </w:r>
          </w:p>
        </w:tc>
        <w:tc>
          <w:tcPr>
            <w:tcW w:w="326" w:type="dxa"/>
            <w:tcBorders/>
            <w:shd w:fill="auto" w:val="clear"/>
            <w:vAlign w:val="center"/>
          </w:tcPr>
          <w:p>
            <w:pPr>
              <w:pStyle w:val="TableContents"/>
              <w:spacing w:before="0" w:after="0"/>
              <w:ind w:left="0" w:right="0" w:hanging="0"/>
              <w:rPr/>
            </w:pPr>
            <w:r>
              <w:rPr/>
              <w:t> </w:t>
            </w:r>
          </w:p>
        </w:tc>
        <w:tc>
          <w:tcPr>
            <w:tcW w:w="129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March 29, 2023</w:t>
            </w:r>
          </w:p>
        </w:tc>
      </w:tr>
      <w:tr>
        <w:trPr/>
        <w:tc>
          <w:tcPr>
            <w:tcW w:w="187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Forrest Hoffmaster</w:t>
            </w:r>
          </w:p>
        </w:tc>
        <w:tc>
          <w:tcPr>
            <w:tcW w:w="326" w:type="dxa"/>
            <w:tcBorders/>
            <w:shd w:fill="auto" w:val="clear"/>
            <w:vAlign w:val="center"/>
          </w:tcPr>
          <w:p>
            <w:pPr>
              <w:pStyle w:val="TableContents"/>
              <w:spacing w:before="0" w:after="0"/>
              <w:ind w:left="0" w:right="0" w:hanging="0"/>
              <w:rPr/>
            </w:pPr>
            <w:r>
              <w:rPr/>
              <w:t> </w:t>
            </w:r>
          </w:p>
        </w:tc>
        <w:tc>
          <w:tcPr>
            <w:tcW w:w="327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(Principal Financial and Accounting Officer)</w:t>
            </w:r>
          </w:p>
        </w:tc>
        <w:tc>
          <w:tcPr>
            <w:tcW w:w="326" w:type="dxa"/>
            <w:tcBorders/>
            <w:shd w:fill="auto" w:val="clear"/>
            <w:vAlign w:val="center"/>
          </w:tcPr>
          <w:p>
            <w:pPr>
              <w:pStyle w:val="TableContents"/>
              <w:spacing w:before="0" w:after="0"/>
              <w:ind w:left="0" w:right="0" w:hanging="0"/>
              <w:rPr/>
            </w:pPr>
            <w:r>
              <w:rPr/>
              <w:t> </w:t>
            </w:r>
          </w:p>
        </w:tc>
        <w:tc>
          <w:tcPr>
            <w:tcW w:w="1291" w:type="dxa"/>
            <w:tcBorders/>
            <w:shd w:fill="auto" w:val="clear"/>
            <w:vAlign w:val="center"/>
          </w:tcPr>
          <w:p>
            <w:pPr>
              <w:pStyle w:val="TableContents"/>
              <w:spacing w:before="0" w:after="0"/>
              <w:ind w:left="0" w:right="0" w:hanging="0"/>
              <w:rPr/>
            </w:pPr>
            <w:r>
              <w:rPr/>
              <w:t> </w:t>
            </w:r>
          </w:p>
        </w:tc>
      </w:tr>
      <w:tr>
        <w:trPr/>
        <w:tc>
          <w:tcPr>
            <w:tcW w:w="1876"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 </w:t>
            </w:r>
          </w:p>
        </w:tc>
        <w:tc>
          <w:tcPr>
            <w:tcW w:w="3271"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 </w:t>
            </w:r>
          </w:p>
        </w:tc>
        <w:tc>
          <w:tcPr>
            <w:tcW w:w="1291" w:type="dxa"/>
            <w:tcBorders/>
            <w:shd w:fill="auto" w:val="clear"/>
            <w:vAlign w:val="center"/>
          </w:tcPr>
          <w:p>
            <w:pPr>
              <w:pStyle w:val="TableContents"/>
              <w:spacing w:before="0" w:after="0"/>
              <w:ind w:left="0" w:right="0" w:hanging="0"/>
              <w:rPr/>
            </w:pPr>
            <w:r>
              <w:rPr/>
              <w:t> </w:t>
            </w:r>
          </w:p>
        </w:tc>
      </w:tr>
      <w:tr>
        <w:trPr/>
        <w:tc>
          <w:tcPr>
            <w:tcW w:w="187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 Nirup Krishnamurthy</w:t>
            </w:r>
          </w:p>
        </w:tc>
        <w:tc>
          <w:tcPr>
            <w:tcW w:w="326" w:type="dxa"/>
            <w:tcBorders/>
            <w:shd w:fill="auto" w:val="clear"/>
            <w:vAlign w:val="center"/>
          </w:tcPr>
          <w:p>
            <w:pPr>
              <w:pStyle w:val="TableContents"/>
              <w:spacing w:before="0" w:after="0"/>
              <w:ind w:left="0" w:right="0" w:hanging="0"/>
              <w:rPr/>
            </w:pPr>
            <w:r>
              <w:rPr/>
              <w:t> </w:t>
            </w:r>
          </w:p>
        </w:tc>
        <w:tc>
          <w:tcPr>
            <w:tcW w:w="327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President and Director</w:t>
            </w:r>
          </w:p>
        </w:tc>
        <w:tc>
          <w:tcPr>
            <w:tcW w:w="326" w:type="dxa"/>
            <w:tcBorders/>
            <w:shd w:fill="auto" w:val="clear"/>
            <w:vAlign w:val="center"/>
          </w:tcPr>
          <w:p>
            <w:pPr>
              <w:pStyle w:val="TableContents"/>
              <w:spacing w:before="0" w:after="0"/>
              <w:ind w:left="0" w:right="0" w:hanging="0"/>
              <w:rPr/>
            </w:pPr>
            <w:r>
              <w:rPr/>
              <w:t> </w:t>
            </w:r>
          </w:p>
        </w:tc>
        <w:tc>
          <w:tcPr>
            <w:tcW w:w="129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March 29, 2023</w:t>
            </w:r>
          </w:p>
        </w:tc>
      </w:tr>
      <w:tr>
        <w:trPr/>
        <w:tc>
          <w:tcPr>
            <w:tcW w:w="187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Nirup Krishnamurthy</w:t>
            </w:r>
          </w:p>
        </w:tc>
        <w:tc>
          <w:tcPr>
            <w:tcW w:w="326" w:type="dxa"/>
            <w:tcBorders/>
            <w:shd w:fill="auto" w:val="clear"/>
            <w:vAlign w:val="center"/>
          </w:tcPr>
          <w:p>
            <w:pPr>
              <w:pStyle w:val="TableContents"/>
              <w:spacing w:before="0" w:after="0"/>
              <w:ind w:left="0" w:right="0" w:hanging="0"/>
              <w:rPr/>
            </w:pPr>
            <w:r>
              <w:rPr/>
              <w:t> </w:t>
            </w:r>
          </w:p>
        </w:tc>
        <w:tc>
          <w:tcPr>
            <w:tcW w:w="3271"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 </w:t>
            </w:r>
          </w:p>
        </w:tc>
        <w:tc>
          <w:tcPr>
            <w:tcW w:w="1291" w:type="dxa"/>
            <w:tcBorders/>
            <w:shd w:fill="auto" w:val="clear"/>
            <w:vAlign w:val="center"/>
          </w:tcPr>
          <w:p>
            <w:pPr>
              <w:pStyle w:val="TableContents"/>
              <w:spacing w:before="0" w:after="0"/>
              <w:ind w:left="0" w:right="0" w:hanging="0"/>
              <w:rPr/>
            </w:pPr>
            <w:r>
              <w:rPr/>
              <w:t> </w:t>
            </w:r>
          </w:p>
        </w:tc>
      </w:tr>
      <w:tr>
        <w:trPr/>
        <w:tc>
          <w:tcPr>
            <w:tcW w:w="18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2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tc>
      </w:tr>
      <w:tr>
        <w:trPr/>
        <w:tc>
          <w:tcPr>
            <w:tcW w:w="187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 Daniel R. Pabon</w:t>
            </w:r>
          </w:p>
        </w:tc>
        <w:tc>
          <w:tcPr>
            <w:tcW w:w="326" w:type="dxa"/>
            <w:tcBorders/>
            <w:shd w:fill="auto" w:val="clear"/>
            <w:vAlign w:val="center"/>
          </w:tcPr>
          <w:p>
            <w:pPr>
              <w:pStyle w:val="TableContents"/>
              <w:spacing w:before="0" w:after="0"/>
              <w:ind w:left="0" w:right="0" w:hanging="0"/>
              <w:rPr/>
            </w:pPr>
            <w:r>
              <w:rPr/>
              <w:t> </w:t>
            </w:r>
          </w:p>
        </w:tc>
        <w:tc>
          <w:tcPr>
            <w:tcW w:w="327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Chief Policy and Regulatory Affairs Officer</w:t>
            </w:r>
          </w:p>
        </w:tc>
        <w:tc>
          <w:tcPr>
            <w:tcW w:w="326" w:type="dxa"/>
            <w:tcBorders/>
            <w:shd w:fill="auto" w:val="clear"/>
            <w:vAlign w:val="center"/>
          </w:tcPr>
          <w:p>
            <w:pPr>
              <w:pStyle w:val="TableContents"/>
              <w:spacing w:before="0" w:after="0"/>
              <w:ind w:left="0" w:right="0" w:hanging="0"/>
              <w:rPr/>
            </w:pPr>
            <w:r>
              <w:rPr/>
              <w:t> </w:t>
            </w:r>
          </w:p>
        </w:tc>
        <w:tc>
          <w:tcPr>
            <w:tcW w:w="129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March 29, 2023</w:t>
            </w:r>
          </w:p>
        </w:tc>
      </w:tr>
      <w:tr>
        <w:trPr/>
        <w:tc>
          <w:tcPr>
            <w:tcW w:w="187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Daniel R. Pabon</w:t>
            </w:r>
          </w:p>
        </w:tc>
        <w:tc>
          <w:tcPr>
            <w:tcW w:w="326" w:type="dxa"/>
            <w:tcBorders/>
            <w:shd w:fill="auto" w:val="clear"/>
            <w:vAlign w:val="center"/>
          </w:tcPr>
          <w:p>
            <w:pPr>
              <w:pStyle w:val="TableContents"/>
              <w:spacing w:before="0" w:after="0"/>
              <w:ind w:left="0" w:right="0" w:hanging="0"/>
              <w:rPr/>
            </w:pPr>
            <w:r>
              <w:rPr/>
              <w:t> </w:t>
            </w:r>
          </w:p>
        </w:tc>
        <w:tc>
          <w:tcPr>
            <w:tcW w:w="3271"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 </w:t>
            </w:r>
          </w:p>
        </w:tc>
        <w:tc>
          <w:tcPr>
            <w:tcW w:w="1291" w:type="dxa"/>
            <w:tcBorders/>
            <w:shd w:fill="auto" w:val="clear"/>
            <w:vAlign w:val="center"/>
          </w:tcPr>
          <w:p>
            <w:pPr>
              <w:pStyle w:val="TableContents"/>
              <w:spacing w:before="0" w:after="0"/>
              <w:ind w:left="0" w:right="0" w:hanging="0"/>
              <w:rPr/>
            </w:pPr>
            <w:r>
              <w:rPr/>
              <w:t> </w:t>
            </w:r>
          </w:p>
        </w:tc>
      </w:tr>
      <w:tr>
        <w:trPr/>
        <w:tc>
          <w:tcPr>
            <w:tcW w:w="1876"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 </w:t>
            </w:r>
          </w:p>
        </w:tc>
        <w:tc>
          <w:tcPr>
            <w:tcW w:w="3271"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 </w:t>
            </w:r>
          </w:p>
        </w:tc>
        <w:tc>
          <w:tcPr>
            <w:tcW w:w="1291" w:type="dxa"/>
            <w:tcBorders/>
            <w:shd w:fill="auto" w:val="clear"/>
            <w:vAlign w:val="center"/>
          </w:tcPr>
          <w:p>
            <w:pPr>
              <w:pStyle w:val="TableContents"/>
              <w:spacing w:before="0" w:after="0"/>
              <w:ind w:left="0" w:right="0" w:hanging="0"/>
              <w:rPr/>
            </w:pPr>
            <w:r>
              <w:rPr/>
              <w:t> </w:t>
            </w:r>
          </w:p>
        </w:tc>
      </w:tr>
      <w:tr>
        <w:trPr/>
        <w:tc>
          <w:tcPr>
            <w:tcW w:w="187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 Christine Jones</w:t>
            </w:r>
          </w:p>
        </w:tc>
        <w:tc>
          <w:tcPr>
            <w:tcW w:w="326" w:type="dxa"/>
            <w:tcBorders/>
            <w:shd w:fill="auto" w:val="clear"/>
            <w:vAlign w:val="center"/>
          </w:tcPr>
          <w:p>
            <w:pPr>
              <w:pStyle w:val="TableContents"/>
              <w:spacing w:before="0" w:after="0"/>
              <w:ind w:left="0" w:right="0" w:hanging="0"/>
              <w:rPr/>
            </w:pPr>
            <w:r>
              <w:rPr/>
              <w:t> </w:t>
            </w:r>
          </w:p>
        </w:tc>
        <w:tc>
          <w:tcPr>
            <w:tcW w:w="327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xml:space="preserve">Chief Legal Officer </w:t>
            </w:r>
          </w:p>
        </w:tc>
        <w:tc>
          <w:tcPr>
            <w:tcW w:w="326" w:type="dxa"/>
            <w:tcBorders/>
            <w:shd w:fill="auto" w:val="clear"/>
            <w:vAlign w:val="center"/>
          </w:tcPr>
          <w:p>
            <w:pPr>
              <w:pStyle w:val="TableContents"/>
              <w:spacing w:before="0" w:after="0"/>
              <w:ind w:left="0" w:right="0" w:hanging="0"/>
              <w:rPr/>
            </w:pPr>
            <w:r>
              <w:rPr/>
              <w:t> </w:t>
            </w:r>
          </w:p>
        </w:tc>
        <w:tc>
          <w:tcPr>
            <w:tcW w:w="129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March 29, 2023</w:t>
            </w:r>
          </w:p>
        </w:tc>
      </w:tr>
      <w:tr>
        <w:trPr/>
        <w:tc>
          <w:tcPr>
            <w:tcW w:w="187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Christine Jones</w:t>
            </w:r>
          </w:p>
        </w:tc>
        <w:tc>
          <w:tcPr>
            <w:tcW w:w="326" w:type="dxa"/>
            <w:tcBorders/>
            <w:shd w:fill="auto" w:val="clear"/>
            <w:vAlign w:val="center"/>
          </w:tcPr>
          <w:p>
            <w:pPr>
              <w:pStyle w:val="TableContents"/>
              <w:spacing w:before="0" w:after="0"/>
              <w:ind w:left="0" w:right="0" w:hanging="0"/>
              <w:rPr/>
            </w:pPr>
            <w:r>
              <w:rPr/>
              <w:t> </w:t>
            </w:r>
          </w:p>
        </w:tc>
        <w:tc>
          <w:tcPr>
            <w:tcW w:w="3271"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 </w:t>
            </w:r>
          </w:p>
        </w:tc>
        <w:tc>
          <w:tcPr>
            <w:tcW w:w="1291" w:type="dxa"/>
            <w:tcBorders/>
            <w:shd w:fill="auto" w:val="clear"/>
            <w:vAlign w:val="center"/>
          </w:tcPr>
          <w:p>
            <w:pPr>
              <w:pStyle w:val="TableContents"/>
              <w:spacing w:before="0" w:after="0"/>
              <w:ind w:left="0" w:right="0" w:hanging="0"/>
              <w:rPr/>
            </w:pPr>
            <w:r>
              <w:rPr/>
              <w:t> </w:t>
            </w:r>
          </w:p>
        </w:tc>
      </w:tr>
      <w:tr>
        <w:trPr/>
        <w:tc>
          <w:tcPr>
            <w:tcW w:w="18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2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tc>
      </w:tr>
      <w:tr>
        <w:trPr/>
        <w:tc>
          <w:tcPr>
            <w:tcW w:w="187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r>
              <w:rPr>
                <w:rFonts w:ascii="Times New Roman;Times;serif" w:hAnsi="Times New Roman;Times;serif"/>
                <w:sz w:val="18"/>
              </w:rPr>
              <w:t>/s/ Jonathan Berger</w:t>
            </w:r>
          </w:p>
        </w:tc>
        <w:tc>
          <w:tcPr>
            <w:tcW w:w="326" w:type="dxa"/>
            <w:tcBorders/>
            <w:shd w:fill="auto" w:val="clear"/>
            <w:vAlign w:val="center"/>
          </w:tcPr>
          <w:p>
            <w:pPr>
              <w:pStyle w:val="TableContents"/>
              <w:spacing w:before="0" w:after="0"/>
              <w:ind w:left="0" w:right="0" w:hanging="0"/>
              <w:rPr/>
            </w:pPr>
            <w:r>
              <w:rPr/>
              <w:t> </w:t>
            </w:r>
          </w:p>
        </w:tc>
        <w:tc>
          <w:tcPr>
            <w:tcW w:w="327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Director</w:t>
            </w:r>
          </w:p>
        </w:tc>
        <w:tc>
          <w:tcPr>
            <w:tcW w:w="326" w:type="dxa"/>
            <w:tcBorders/>
            <w:shd w:fill="auto" w:val="clear"/>
            <w:vAlign w:val="center"/>
          </w:tcPr>
          <w:p>
            <w:pPr>
              <w:pStyle w:val="TableContents"/>
              <w:spacing w:before="0" w:after="0"/>
              <w:ind w:left="0" w:right="0" w:hanging="0"/>
              <w:rPr/>
            </w:pPr>
            <w:r>
              <w:rPr/>
              <w:t> </w:t>
            </w:r>
          </w:p>
        </w:tc>
        <w:tc>
          <w:tcPr>
            <w:tcW w:w="129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March 29, 2023</w:t>
            </w:r>
          </w:p>
        </w:tc>
      </w:tr>
      <w:tr>
        <w:trPr/>
        <w:tc>
          <w:tcPr>
            <w:tcW w:w="187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Jonathan Berger</w:t>
            </w:r>
          </w:p>
        </w:tc>
        <w:tc>
          <w:tcPr>
            <w:tcW w:w="326" w:type="dxa"/>
            <w:tcBorders/>
            <w:shd w:fill="auto" w:val="clear"/>
            <w:vAlign w:val="center"/>
          </w:tcPr>
          <w:p>
            <w:pPr>
              <w:pStyle w:val="TableContents"/>
              <w:spacing w:before="0" w:after="0"/>
              <w:ind w:left="0" w:right="0" w:hanging="0"/>
              <w:rPr/>
            </w:pPr>
            <w:r>
              <w:rPr/>
              <w:t> </w:t>
            </w:r>
          </w:p>
        </w:tc>
        <w:tc>
          <w:tcPr>
            <w:tcW w:w="3271"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 </w:t>
            </w:r>
          </w:p>
        </w:tc>
        <w:tc>
          <w:tcPr>
            <w:tcW w:w="1291" w:type="dxa"/>
            <w:tcBorders/>
            <w:shd w:fill="auto" w:val="clear"/>
            <w:vAlign w:val="center"/>
          </w:tcPr>
          <w:p>
            <w:pPr>
              <w:pStyle w:val="TableContents"/>
              <w:spacing w:before="0" w:after="0"/>
              <w:ind w:left="0" w:right="0" w:hanging="0"/>
              <w:rPr/>
            </w:pPr>
            <w:r>
              <w:rPr/>
              <w:t> </w:t>
            </w:r>
          </w:p>
        </w:tc>
      </w:tr>
      <w:tr>
        <w:trPr/>
        <w:tc>
          <w:tcPr>
            <w:tcW w:w="18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2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tc>
      </w:tr>
      <w:tr>
        <w:trPr/>
        <w:tc>
          <w:tcPr>
            <w:tcW w:w="187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 Jeffrey A. Cozad</w:t>
            </w:r>
          </w:p>
        </w:tc>
        <w:tc>
          <w:tcPr>
            <w:tcW w:w="326" w:type="dxa"/>
            <w:tcBorders/>
            <w:shd w:fill="auto" w:val="clear"/>
            <w:vAlign w:val="center"/>
          </w:tcPr>
          <w:p>
            <w:pPr>
              <w:pStyle w:val="TableContents"/>
              <w:spacing w:before="0" w:after="0"/>
              <w:ind w:left="0" w:right="0" w:hanging="0"/>
              <w:rPr/>
            </w:pPr>
            <w:r>
              <w:rPr/>
              <w:t> </w:t>
            </w:r>
          </w:p>
        </w:tc>
        <w:tc>
          <w:tcPr>
            <w:tcW w:w="327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Director</w:t>
            </w:r>
          </w:p>
        </w:tc>
        <w:tc>
          <w:tcPr>
            <w:tcW w:w="326" w:type="dxa"/>
            <w:tcBorders/>
            <w:shd w:fill="auto" w:val="clear"/>
            <w:vAlign w:val="center"/>
          </w:tcPr>
          <w:p>
            <w:pPr>
              <w:pStyle w:val="TableContents"/>
              <w:spacing w:before="0" w:after="0"/>
              <w:ind w:left="0" w:right="0" w:hanging="0"/>
              <w:rPr/>
            </w:pPr>
            <w:r>
              <w:rPr/>
              <w:t> </w:t>
            </w:r>
          </w:p>
        </w:tc>
        <w:tc>
          <w:tcPr>
            <w:tcW w:w="129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March 29, 2023</w:t>
            </w:r>
          </w:p>
        </w:tc>
      </w:tr>
      <w:tr>
        <w:trPr/>
        <w:tc>
          <w:tcPr>
            <w:tcW w:w="187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Jeffrey A. Cozad</w:t>
            </w:r>
          </w:p>
        </w:tc>
        <w:tc>
          <w:tcPr>
            <w:tcW w:w="326" w:type="dxa"/>
            <w:tcBorders/>
            <w:shd w:fill="auto" w:val="clear"/>
            <w:vAlign w:val="center"/>
          </w:tcPr>
          <w:p>
            <w:pPr>
              <w:pStyle w:val="TableContents"/>
              <w:spacing w:before="0" w:after="0"/>
              <w:ind w:left="0" w:right="0" w:hanging="0"/>
              <w:rPr/>
            </w:pPr>
            <w:r>
              <w:rPr/>
              <w:t> </w:t>
            </w:r>
          </w:p>
        </w:tc>
        <w:tc>
          <w:tcPr>
            <w:tcW w:w="3271"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 </w:t>
            </w:r>
          </w:p>
        </w:tc>
        <w:tc>
          <w:tcPr>
            <w:tcW w:w="1291" w:type="dxa"/>
            <w:tcBorders/>
            <w:shd w:fill="auto" w:val="clear"/>
            <w:vAlign w:val="center"/>
          </w:tcPr>
          <w:p>
            <w:pPr>
              <w:pStyle w:val="TableContents"/>
              <w:spacing w:before="0" w:after="0"/>
              <w:ind w:left="0" w:right="0" w:hanging="0"/>
              <w:rPr/>
            </w:pPr>
            <w:r>
              <w:rPr/>
              <w:t> </w:t>
            </w:r>
          </w:p>
        </w:tc>
      </w:tr>
      <w:tr>
        <w:trPr/>
        <w:tc>
          <w:tcPr>
            <w:tcW w:w="18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2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tc>
      </w:tr>
      <w:tr>
        <w:trPr/>
        <w:tc>
          <w:tcPr>
            <w:tcW w:w="187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 Jeffrey Garwood</w:t>
            </w:r>
          </w:p>
        </w:tc>
        <w:tc>
          <w:tcPr>
            <w:tcW w:w="326" w:type="dxa"/>
            <w:tcBorders/>
            <w:shd w:fill="auto" w:val="clear"/>
            <w:vAlign w:val="center"/>
          </w:tcPr>
          <w:p>
            <w:pPr>
              <w:pStyle w:val="TableContents"/>
              <w:spacing w:before="0" w:after="0"/>
              <w:ind w:left="0" w:right="0" w:hanging="0"/>
              <w:rPr/>
            </w:pPr>
            <w:r>
              <w:rPr/>
              <w:t> </w:t>
            </w:r>
          </w:p>
        </w:tc>
        <w:tc>
          <w:tcPr>
            <w:tcW w:w="327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Director</w:t>
            </w:r>
          </w:p>
        </w:tc>
        <w:tc>
          <w:tcPr>
            <w:tcW w:w="326" w:type="dxa"/>
            <w:tcBorders/>
            <w:shd w:fill="auto" w:val="clear"/>
            <w:vAlign w:val="center"/>
          </w:tcPr>
          <w:p>
            <w:pPr>
              <w:pStyle w:val="TableContents"/>
              <w:spacing w:before="0" w:after="0"/>
              <w:ind w:left="0" w:right="0" w:hanging="0"/>
              <w:rPr/>
            </w:pPr>
            <w:r>
              <w:rPr/>
              <w:t> </w:t>
            </w:r>
          </w:p>
        </w:tc>
        <w:tc>
          <w:tcPr>
            <w:tcW w:w="129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March 29, 2023</w:t>
            </w:r>
          </w:p>
        </w:tc>
      </w:tr>
      <w:tr>
        <w:trPr/>
        <w:tc>
          <w:tcPr>
            <w:tcW w:w="187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Jeffrey Garwood</w:t>
            </w:r>
          </w:p>
        </w:tc>
        <w:tc>
          <w:tcPr>
            <w:tcW w:w="326" w:type="dxa"/>
            <w:tcBorders/>
            <w:shd w:fill="auto" w:val="clear"/>
            <w:vAlign w:val="center"/>
          </w:tcPr>
          <w:p>
            <w:pPr>
              <w:pStyle w:val="TableContents"/>
              <w:spacing w:before="0" w:after="0"/>
              <w:ind w:left="0" w:right="0" w:hanging="0"/>
              <w:rPr/>
            </w:pPr>
            <w:r>
              <w:rPr/>
              <w:t> </w:t>
            </w:r>
          </w:p>
        </w:tc>
        <w:tc>
          <w:tcPr>
            <w:tcW w:w="3271"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 </w:t>
            </w:r>
          </w:p>
        </w:tc>
        <w:tc>
          <w:tcPr>
            <w:tcW w:w="1291" w:type="dxa"/>
            <w:tcBorders/>
            <w:shd w:fill="auto" w:val="clear"/>
            <w:vAlign w:val="center"/>
          </w:tcPr>
          <w:p>
            <w:pPr>
              <w:pStyle w:val="TableContents"/>
              <w:spacing w:before="0" w:after="0"/>
              <w:ind w:left="0" w:right="0" w:hanging="0"/>
              <w:rPr/>
            </w:pPr>
            <w:r>
              <w:rPr/>
              <w:t> </w:t>
            </w:r>
          </w:p>
        </w:tc>
      </w:tr>
      <w:tr>
        <w:trPr/>
        <w:tc>
          <w:tcPr>
            <w:tcW w:w="18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2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tc>
      </w:tr>
      <w:tr>
        <w:trPr/>
        <w:tc>
          <w:tcPr>
            <w:tcW w:w="187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 Paul Montalbano</w:t>
            </w:r>
          </w:p>
        </w:tc>
        <w:tc>
          <w:tcPr>
            <w:tcW w:w="326" w:type="dxa"/>
            <w:tcBorders/>
            <w:shd w:fill="auto" w:val="clear"/>
            <w:vAlign w:val="center"/>
          </w:tcPr>
          <w:p>
            <w:pPr>
              <w:pStyle w:val="TableContents"/>
              <w:spacing w:before="0" w:after="0"/>
              <w:ind w:left="0" w:right="0" w:hanging="0"/>
              <w:rPr/>
            </w:pPr>
            <w:r>
              <w:rPr/>
              <w:t> </w:t>
            </w:r>
          </w:p>
        </w:tc>
        <w:tc>
          <w:tcPr>
            <w:tcW w:w="327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Director</w:t>
            </w:r>
          </w:p>
        </w:tc>
        <w:tc>
          <w:tcPr>
            <w:tcW w:w="326" w:type="dxa"/>
            <w:tcBorders/>
            <w:shd w:fill="auto" w:val="clear"/>
            <w:vAlign w:val="center"/>
          </w:tcPr>
          <w:p>
            <w:pPr>
              <w:pStyle w:val="TableContents"/>
              <w:spacing w:before="0" w:after="0"/>
              <w:ind w:left="0" w:right="0" w:hanging="0"/>
              <w:rPr/>
            </w:pPr>
            <w:r>
              <w:rPr/>
              <w:t> </w:t>
            </w:r>
          </w:p>
        </w:tc>
        <w:tc>
          <w:tcPr>
            <w:tcW w:w="129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March 29, 2023</w:t>
            </w:r>
          </w:p>
        </w:tc>
      </w:tr>
      <w:tr>
        <w:trPr/>
        <w:tc>
          <w:tcPr>
            <w:tcW w:w="187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Paul Montalbano</w:t>
            </w:r>
          </w:p>
        </w:tc>
        <w:tc>
          <w:tcPr>
            <w:tcW w:w="326" w:type="dxa"/>
            <w:tcBorders/>
            <w:shd w:fill="auto" w:val="clear"/>
            <w:vAlign w:val="center"/>
          </w:tcPr>
          <w:p>
            <w:pPr>
              <w:pStyle w:val="TableContents"/>
              <w:spacing w:before="0" w:after="0"/>
              <w:ind w:left="0" w:right="0" w:hanging="0"/>
              <w:rPr/>
            </w:pPr>
            <w:r>
              <w:rPr/>
              <w:t> </w:t>
            </w:r>
          </w:p>
        </w:tc>
        <w:tc>
          <w:tcPr>
            <w:tcW w:w="3271"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 </w:t>
            </w:r>
          </w:p>
        </w:tc>
        <w:tc>
          <w:tcPr>
            <w:tcW w:w="1291" w:type="dxa"/>
            <w:tcBorders/>
            <w:shd w:fill="auto" w:val="clear"/>
            <w:vAlign w:val="center"/>
          </w:tcPr>
          <w:p>
            <w:pPr>
              <w:pStyle w:val="TableContents"/>
              <w:spacing w:before="0" w:after="0"/>
              <w:ind w:left="0" w:right="0" w:hanging="0"/>
              <w:rPr/>
            </w:pPr>
            <w:r>
              <w:rPr/>
              <w:t> </w:t>
            </w:r>
          </w:p>
        </w:tc>
      </w:tr>
      <w:tr>
        <w:trPr/>
        <w:tc>
          <w:tcPr>
            <w:tcW w:w="18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2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tc>
      </w:tr>
      <w:tr>
        <w:trPr/>
        <w:tc>
          <w:tcPr>
            <w:tcW w:w="187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 Pratap Mukharji</w:t>
            </w:r>
          </w:p>
        </w:tc>
        <w:tc>
          <w:tcPr>
            <w:tcW w:w="326" w:type="dxa"/>
            <w:tcBorders/>
            <w:shd w:fill="auto" w:val="clear"/>
            <w:vAlign w:val="center"/>
          </w:tcPr>
          <w:p>
            <w:pPr>
              <w:pStyle w:val="TableContents"/>
              <w:spacing w:before="0" w:after="0"/>
              <w:ind w:left="0" w:right="0" w:hanging="0"/>
              <w:rPr/>
            </w:pPr>
            <w:r>
              <w:rPr/>
              <w:t> </w:t>
            </w:r>
          </w:p>
        </w:tc>
        <w:tc>
          <w:tcPr>
            <w:tcW w:w="327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Director</w:t>
            </w:r>
          </w:p>
        </w:tc>
        <w:tc>
          <w:tcPr>
            <w:tcW w:w="326" w:type="dxa"/>
            <w:tcBorders/>
            <w:shd w:fill="auto" w:val="clear"/>
            <w:vAlign w:val="center"/>
          </w:tcPr>
          <w:p>
            <w:pPr>
              <w:pStyle w:val="TableContents"/>
              <w:spacing w:before="0" w:after="0"/>
              <w:ind w:left="0" w:right="0" w:hanging="0"/>
              <w:rPr/>
            </w:pPr>
            <w:r>
              <w:rPr/>
              <w:t> </w:t>
            </w:r>
          </w:p>
        </w:tc>
        <w:tc>
          <w:tcPr>
            <w:tcW w:w="129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March 29, 2023</w:t>
            </w:r>
          </w:p>
        </w:tc>
      </w:tr>
      <w:tr>
        <w:trPr/>
        <w:tc>
          <w:tcPr>
            <w:tcW w:w="187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Pratap Mukharji</w:t>
            </w:r>
          </w:p>
        </w:tc>
        <w:tc>
          <w:tcPr>
            <w:tcW w:w="326" w:type="dxa"/>
            <w:tcBorders/>
            <w:shd w:fill="auto" w:val="clear"/>
            <w:vAlign w:val="center"/>
          </w:tcPr>
          <w:p>
            <w:pPr>
              <w:pStyle w:val="TableContents"/>
              <w:spacing w:before="0" w:after="0"/>
              <w:ind w:left="0" w:right="0" w:hanging="0"/>
              <w:rPr/>
            </w:pPr>
            <w:r>
              <w:rPr/>
              <w:t> </w:t>
            </w:r>
          </w:p>
        </w:tc>
        <w:tc>
          <w:tcPr>
            <w:tcW w:w="3271"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 </w:t>
            </w:r>
          </w:p>
        </w:tc>
        <w:tc>
          <w:tcPr>
            <w:tcW w:w="1291" w:type="dxa"/>
            <w:tcBorders/>
            <w:shd w:fill="auto" w:val="clear"/>
            <w:vAlign w:val="center"/>
          </w:tcPr>
          <w:p>
            <w:pPr>
              <w:pStyle w:val="TableContents"/>
              <w:spacing w:before="0" w:after="0"/>
              <w:ind w:left="0" w:right="0" w:hanging="0"/>
              <w:rPr/>
            </w:pPr>
            <w:r>
              <w:rPr/>
              <w:t> </w:t>
            </w:r>
          </w:p>
        </w:tc>
      </w:tr>
      <w:tr>
        <w:trPr/>
        <w:tc>
          <w:tcPr>
            <w:tcW w:w="1876"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 </w:t>
            </w:r>
          </w:p>
        </w:tc>
        <w:tc>
          <w:tcPr>
            <w:tcW w:w="3271"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 </w:t>
            </w:r>
          </w:p>
        </w:tc>
        <w:tc>
          <w:tcPr>
            <w:tcW w:w="1291" w:type="dxa"/>
            <w:tcBorders/>
            <w:shd w:fill="auto" w:val="clear"/>
            <w:vAlign w:val="center"/>
          </w:tcPr>
          <w:p>
            <w:pPr>
              <w:pStyle w:val="TableContents"/>
              <w:spacing w:before="0" w:after="0"/>
              <w:ind w:left="0" w:right="0" w:hanging="0"/>
              <w:rPr/>
            </w:pPr>
            <w:r>
              <w:rPr/>
              <w:t> </w:t>
            </w:r>
          </w:p>
        </w:tc>
      </w:tr>
      <w:tr>
        <w:trPr/>
        <w:tc>
          <w:tcPr>
            <w:tcW w:w="187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 Marc Rubin</w:t>
            </w:r>
          </w:p>
        </w:tc>
        <w:tc>
          <w:tcPr>
            <w:tcW w:w="326" w:type="dxa"/>
            <w:tcBorders/>
            <w:shd w:fill="auto" w:val="clear"/>
            <w:vAlign w:val="center"/>
          </w:tcPr>
          <w:p>
            <w:pPr>
              <w:pStyle w:val="TableContents"/>
              <w:spacing w:before="0" w:after="0"/>
              <w:ind w:left="0" w:right="0" w:hanging="0"/>
              <w:rPr/>
            </w:pPr>
            <w:r>
              <w:rPr/>
              <w:t> </w:t>
            </w:r>
          </w:p>
        </w:tc>
        <w:tc>
          <w:tcPr>
            <w:tcW w:w="327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Director</w:t>
            </w:r>
          </w:p>
        </w:tc>
        <w:tc>
          <w:tcPr>
            <w:tcW w:w="326" w:type="dxa"/>
            <w:tcBorders/>
            <w:shd w:fill="auto" w:val="clear"/>
            <w:vAlign w:val="center"/>
          </w:tcPr>
          <w:p>
            <w:pPr>
              <w:pStyle w:val="TableContents"/>
              <w:spacing w:before="0" w:after="0"/>
              <w:ind w:left="0" w:right="0" w:hanging="0"/>
              <w:rPr/>
            </w:pPr>
            <w:r>
              <w:rPr/>
              <w:t> </w:t>
            </w:r>
          </w:p>
        </w:tc>
        <w:tc>
          <w:tcPr>
            <w:tcW w:w="129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March 29, 2023</w:t>
            </w:r>
          </w:p>
        </w:tc>
      </w:tr>
      <w:tr>
        <w:trPr/>
        <w:tc>
          <w:tcPr>
            <w:tcW w:w="187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Marc Rubin</w:t>
            </w:r>
          </w:p>
        </w:tc>
        <w:tc>
          <w:tcPr>
            <w:tcW w:w="326" w:type="dxa"/>
            <w:tcBorders/>
            <w:shd w:fill="auto" w:val="clear"/>
            <w:vAlign w:val="center"/>
          </w:tcPr>
          <w:p>
            <w:pPr>
              <w:pStyle w:val="TableContents"/>
              <w:spacing w:before="0" w:after="0"/>
              <w:ind w:left="0" w:right="0" w:hanging="0"/>
              <w:rPr/>
            </w:pPr>
            <w:r>
              <w:rPr/>
              <w:t> </w:t>
            </w:r>
          </w:p>
        </w:tc>
        <w:tc>
          <w:tcPr>
            <w:tcW w:w="3271"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 </w:t>
            </w:r>
          </w:p>
        </w:tc>
        <w:tc>
          <w:tcPr>
            <w:tcW w:w="1291" w:type="dxa"/>
            <w:tcBorders/>
            <w:shd w:fill="auto" w:val="clear"/>
            <w:vAlign w:val="center"/>
          </w:tcPr>
          <w:p>
            <w:pPr>
              <w:pStyle w:val="TableContents"/>
              <w:spacing w:before="0" w:after="0"/>
              <w:ind w:left="0" w:right="0" w:hanging="0"/>
              <w:rPr/>
            </w:pPr>
            <w:r>
              <w:rPr/>
              <w:t> </w:t>
            </w:r>
          </w:p>
        </w:tc>
      </w:tr>
      <w:tr>
        <w:trPr/>
        <w:tc>
          <w:tcPr>
            <w:tcW w:w="1876"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 </w:t>
            </w:r>
          </w:p>
        </w:tc>
        <w:tc>
          <w:tcPr>
            <w:tcW w:w="3271"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 </w:t>
            </w:r>
          </w:p>
        </w:tc>
        <w:tc>
          <w:tcPr>
            <w:tcW w:w="1291" w:type="dxa"/>
            <w:tcBorders/>
            <w:shd w:fill="auto" w:val="clear"/>
            <w:vAlign w:val="center"/>
          </w:tcPr>
          <w:p>
            <w:pPr>
              <w:pStyle w:val="TableContents"/>
              <w:spacing w:before="0" w:after="0"/>
              <w:ind w:left="0" w:right="0" w:hanging="0"/>
              <w:rPr/>
            </w:pPr>
            <w:r>
              <w:rPr/>
              <w:t> </w:t>
            </w:r>
          </w:p>
        </w:tc>
      </w:tr>
      <w:tr>
        <w:trPr/>
        <w:tc>
          <w:tcPr>
            <w:tcW w:w="187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 Bradley Stewart</w:t>
            </w:r>
          </w:p>
        </w:tc>
        <w:tc>
          <w:tcPr>
            <w:tcW w:w="326" w:type="dxa"/>
            <w:tcBorders/>
            <w:shd w:fill="auto" w:val="clear"/>
            <w:vAlign w:val="center"/>
          </w:tcPr>
          <w:p>
            <w:pPr>
              <w:pStyle w:val="TableContents"/>
              <w:spacing w:before="0" w:after="0"/>
              <w:ind w:left="0" w:right="0" w:hanging="0"/>
              <w:rPr/>
            </w:pPr>
            <w:r>
              <w:rPr/>
              <w:t> </w:t>
            </w:r>
          </w:p>
        </w:tc>
        <w:tc>
          <w:tcPr>
            <w:tcW w:w="327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Director</w:t>
            </w:r>
          </w:p>
        </w:tc>
        <w:tc>
          <w:tcPr>
            <w:tcW w:w="326" w:type="dxa"/>
            <w:tcBorders/>
            <w:shd w:fill="auto" w:val="clear"/>
            <w:vAlign w:val="center"/>
          </w:tcPr>
          <w:p>
            <w:pPr>
              <w:pStyle w:val="TableContents"/>
              <w:spacing w:before="0" w:after="0"/>
              <w:ind w:left="0" w:right="0" w:hanging="0"/>
              <w:rPr/>
            </w:pPr>
            <w:r>
              <w:rPr/>
              <w:t> </w:t>
            </w:r>
          </w:p>
        </w:tc>
        <w:tc>
          <w:tcPr>
            <w:tcW w:w="129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March 29, 2023</w:t>
            </w:r>
          </w:p>
        </w:tc>
      </w:tr>
      <w:tr>
        <w:trPr/>
        <w:tc>
          <w:tcPr>
            <w:tcW w:w="187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Bradley Stewart</w:t>
            </w:r>
          </w:p>
        </w:tc>
        <w:tc>
          <w:tcPr>
            <w:tcW w:w="326" w:type="dxa"/>
            <w:tcBorders/>
            <w:shd w:fill="auto" w:val="clear"/>
            <w:vAlign w:val="center"/>
          </w:tcPr>
          <w:p>
            <w:pPr>
              <w:pStyle w:val="TableContents"/>
              <w:spacing w:before="0" w:after="0"/>
              <w:ind w:left="0" w:right="0" w:hanging="0"/>
              <w:rPr/>
            </w:pPr>
            <w:r>
              <w:rPr/>
              <w:t> </w:t>
            </w:r>
          </w:p>
        </w:tc>
        <w:tc>
          <w:tcPr>
            <w:tcW w:w="3271"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 </w:t>
            </w:r>
          </w:p>
        </w:tc>
        <w:tc>
          <w:tcPr>
            <w:tcW w:w="1291" w:type="dxa"/>
            <w:tcBorders/>
            <w:shd w:fill="auto" w:val="clear"/>
            <w:vAlign w:val="center"/>
          </w:tcPr>
          <w:p>
            <w:pPr>
              <w:pStyle w:val="TableContents"/>
              <w:spacing w:before="0" w:after="0"/>
              <w:ind w:left="0" w:right="0" w:hanging="0"/>
              <w:rPr/>
            </w:pPr>
            <w:r>
              <w:rPr/>
              <w:t> </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72</w:t>
      </w:r>
      <w:r>
        <w:br w:type="page"/>
      </w:r>
    </w:p>
    <w:p>
      <w:pPr>
        <w:pStyle w:val="TextBody"/>
        <w:spacing w:before="0" w:after="0"/>
        <w:ind w:left="0" w:right="0" w:hanging="0"/>
        <w:jc w:val="right"/>
        <w:rPr>
          <w:rFonts w:ascii="Times New Roman;Times;serif" w:hAnsi="Times New Roman;Times;serif"/>
          <w:b/>
          <w:sz w:val="24"/>
        </w:rPr>
      </w:pPr>
      <w:bookmarkStart w:id="1246" w:name="shwz-20221231xex2d34.htm"/>
      <w:bookmarkStart w:id="1247" w:name="ksshwz20221231xex2d34"/>
      <w:bookmarkEnd w:id="1246"/>
      <w:bookmarkEnd w:id="1247"/>
      <w:r>
        <w:rPr>
          <w:rFonts w:ascii="Times New Roman;Times;serif" w:hAnsi="Times New Roman;Times;serif"/>
          <w:b/>
          <w:sz w:val="24"/>
        </w:rPr>
        <w:t>Exhibit 2.34</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FIRST AMENDMENT TO ASSET PURCHASE AGREEMENT</w:t>
      </w:r>
    </w:p>
    <w:p>
      <w:pPr>
        <w:pStyle w:val="TextBody"/>
        <w:spacing w:before="0" w:after="0"/>
        <w:ind w:left="0" w:right="0" w:hanging="0"/>
        <w:jc w:val="center"/>
        <w:rPr/>
      </w:pPr>
      <w:r>
        <w:rPr/>
        <w: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4"/>
        </w:rPr>
        <w:t>This FIRST AMENDMENT TO THE ASSET PURCHASE AGREEMENT (this “</w:t>
      </w:r>
      <w:r>
        <w:rPr>
          <w:rFonts w:ascii="Times New Roman;Times;serif" w:hAnsi="Times New Roman;Times;serif"/>
          <w:sz w:val="24"/>
          <w:u w:val="single"/>
        </w:rPr>
        <w:t>First Amendment</w:t>
      </w:r>
      <w:r>
        <w:rPr>
          <w:rFonts w:ascii="Times New Roman;Times;serif" w:hAnsi="Times New Roman;Times;serif"/>
          <w:sz w:val="20"/>
        </w:rPr>
        <w:t>”</w:t>
      </w:r>
      <w:r>
        <w:rPr>
          <w:rFonts w:ascii="Times New Roman;Times;serif" w:hAnsi="Times New Roman;Times;serif"/>
          <w:sz w:val="24"/>
        </w:rPr>
        <w:t>) is made and entered into effective as of December 15, 2022, by and among (i) Double Brow, LLC, a Colorado limited liability company (“</w:t>
      </w:r>
      <w:r>
        <w:rPr>
          <w:rFonts w:ascii="Times New Roman;Times;serif" w:hAnsi="Times New Roman;Times;serif"/>
          <w:sz w:val="24"/>
          <w:u w:val="single"/>
        </w:rPr>
        <w:t>Buyer</w:t>
      </w:r>
      <w:r>
        <w:rPr>
          <w:rFonts w:ascii="Times New Roman;Times;serif" w:hAnsi="Times New Roman;Times;serif"/>
          <w:sz w:val="20"/>
        </w:rPr>
        <w:t>”</w:t>
      </w:r>
      <w:r>
        <w:rPr>
          <w:rFonts w:ascii="Times New Roman;Times;serif" w:hAnsi="Times New Roman;Times;serif"/>
          <w:sz w:val="24"/>
        </w:rPr>
        <w:t>), (ii) Medicine Man Technologies, Inc. (d/b/a Schwazze), a Nevada corporation (“</w:t>
      </w:r>
      <w:r>
        <w:rPr>
          <w:rFonts w:ascii="Times New Roman;Times;serif" w:hAnsi="Times New Roman;Times;serif"/>
          <w:sz w:val="24"/>
          <w:u w:val="single"/>
        </w:rPr>
        <w:t>Parent</w:t>
      </w:r>
      <w:r>
        <w:rPr>
          <w:rFonts w:ascii="Times New Roman;Times;serif" w:hAnsi="Times New Roman;Times;serif"/>
          <w:sz w:val="20"/>
        </w:rPr>
        <w:t>”</w:t>
      </w:r>
      <w:r>
        <w:rPr>
          <w:rFonts w:ascii="Times New Roman;Times;serif" w:hAnsi="Times New Roman;Times;serif"/>
          <w:sz w:val="24"/>
        </w:rPr>
        <w:t>), (iii) Lightshade Labs LLC a Colorado limited liability company (“</w:t>
      </w:r>
      <w:r>
        <w:rPr>
          <w:rFonts w:ascii="Times New Roman;Times;serif" w:hAnsi="Times New Roman;Times;serif"/>
          <w:sz w:val="24"/>
          <w:u w:val="single"/>
        </w:rPr>
        <w:t>Seller</w:t>
      </w:r>
      <w:r>
        <w:rPr>
          <w:rFonts w:ascii="Times New Roman;Times;serif" w:hAnsi="Times New Roman;Times;serif"/>
          <w:sz w:val="20"/>
        </w:rPr>
        <w:t>”</w:t>
      </w:r>
      <w:r>
        <w:rPr>
          <w:rFonts w:ascii="Times New Roman;Times;serif" w:hAnsi="Times New Roman;Times;serif"/>
          <w:sz w:val="24"/>
        </w:rPr>
        <w:t>), (iv) Thomas Van Alsburg, an individual (“</w:t>
      </w:r>
      <w:r>
        <w:rPr>
          <w:rFonts w:ascii="Times New Roman;Times;serif" w:hAnsi="Times New Roman;Times;serif"/>
          <w:sz w:val="24"/>
          <w:u w:val="single"/>
        </w:rPr>
        <w:t>Van Alsburg</w:t>
      </w:r>
      <w:r>
        <w:rPr>
          <w:rFonts w:ascii="Times New Roman;Times;serif" w:hAnsi="Times New Roman;Times;serif"/>
          <w:sz w:val="20"/>
        </w:rPr>
        <w:t>”</w:t>
      </w:r>
      <w:r>
        <w:rPr>
          <w:rFonts w:ascii="Times New Roman;Times;serif" w:hAnsi="Times New Roman;Times;serif"/>
          <w:sz w:val="24"/>
        </w:rPr>
        <w:t>), (v) Steve Brooks, an individual (“</w:t>
      </w:r>
      <w:r>
        <w:rPr>
          <w:rFonts w:ascii="Times New Roman;Times;serif" w:hAnsi="Times New Roman;Times;serif"/>
          <w:sz w:val="24"/>
          <w:u w:val="single"/>
        </w:rPr>
        <w:t>Brooks</w:t>
      </w:r>
      <w:r>
        <w:rPr>
          <w:rFonts w:ascii="Times New Roman;Times;serif" w:hAnsi="Times New Roman;Times;serif"/>
          <w:sz w:val="24"/>
        </w:rPr>
        <w:t>,”), (vi) John Fritzel, an individual (“</w:t>
      </w:r>
      <w:r>
        <w:rPr>
          <w:rFonts w:ascii="Times New Roman;Times;serif" w:hAnsi="Times New Roman;Times;serif"/>
          <w:sz w:val="24"/>
          <w:u w:val="single"/>
        </w:rPr>
        <w:t>Fritzel</w:t>
      </w:r>
      <w:r>
        <w:rPr>
          <w:rFonts w:ascii="Times New Roman;Times;serif" w:hAnsi="Times New Roman;Times;serif"/>
          <w:sz w:val="20"/>
        </w:rPr>
        <w:t xml:space="preserve">” </w:t>
      </w:r>
      <w:r>
        <w:rPr>
          <w:rFonts w:ascii="Times New Roman;Times;serif" w:hAnsi="Times New Roman;Times;serif"/>
          <w:sz w:val="24"/>
        </w:rPr>
        <w:t>and collectively with Van Alsburg and Brooks, “</w:t>
      </w:r>
      <w:r>
        <w:rPr>
          <w:rFonts w:ascii="Times New Roman;Times;serif" w:hAnsi="Times New Roman;Times;serif"/>
          <w:sz w:val="24"/>
          <w:u w:val="single"/>
        </w:rPr>
        <w:t>Equityholders</w:t>
      </w:r>
      <w:r>
        <w:rPr>
          <w:rFonts w:ascii="Times New Roman;Times;serif" w:hAnsi="Times New Roman;Times;serif"/>
          <w:sz w:val="20"/>
        </w:rPr>
        <w:t>”</w:t>
      </w:r>
      <w:r>
        <w:rPr>
          <w:rFonts w:ascii="Times New Roman;Times;serif" w:hAnsi="Times New Roman;Times;serif"/>
          <w:sz w:val="24"/>
        </w:rPr>
        <w:t>). Buyer, Seller and Equityholders are sometimes referred to herein as the “</w:t>
      </w:r>
      <w:r>
        <w:rPr>
          <w:rFonts w:ascii="Times New Roman;Times;serif" w:hAnsi="Times New Roman;Times;serif"/>
          <w:sz w:val="24"/>
          <w:u w:val="single"/>
        </w:rPr>
        <w:t>Parties</w:t>
      </w:r>
      <w:r>
        <w:rPr>
          <w:rFonts w:ascii="Times New Roman;Times;serif" w:hAnsi="Times New Roman;Times;serif"/>
          <w:sz w:val="20"/>
        </w:rPr>
        <w:t xml:space="preserve">” </w:t>
      </w:r>
      <w:r>
        <w:rPr>
          <w:rFonts w:ascii="Times New Roman;Times;serif" w:hAnsi="Times New Roman;Times;serif"/>
          <w:sz w:val="24"/>
        </w:rPr>
        <w:t>and each, a “</w:t>
      </w:r>
      <w:r>
        <w:rPr>
          <w:rFonts w:ascii="Times New Roman;Times;serif" w:hAnsi="Times New Roman;Times;serif"/>
          <w:sz w:val="24"/>
          <w:u w:val="single"/>
        </w:rPr>
        <w:t>Party</w:t>
      </w:r>
      <w:r>
        <w:rPr>
          <w:rFonts w:ascii="Times New Roman;Times;serif" w:hAnsi="Times New Roman;Times;serif"/>
          <w:sz w:val="24"/>
        </w:rPr>
        <w:t>.”</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4"/>
          <w:u w:val="single"/>
        </w:rPr>
        <w:t>RECITALS</w:t>
      </w:r>
      <w:r>
        <w:rPr>
          <w:rFonts w:ascii="Times New Roman;Times;serif" w:hAnsi="Times New Roman;Times;serif"/>
          <w:sz w:val="24"/>
        </w:rPr>
        <w:t>:</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The Parties executed that certain Asset Purchase Agreement effective as of September 9, 2022 (the “</w:t>
      </w:r>
      <w:r>
        <w:rPr>
          <w:rFonts w:ascii="Times New Roman;Times;serif" w:hAnsi="Times New Roman;Times;serif"/>
          <w:sz w:val="24"/>
          <w:u w:val="single"/>
        </w:rPr>
        <w:t>Purchase Agreement</w:t>
      </w:r>
      <w:r>
        <w:rPr>
          <w:rFonts w:ascii="Times New Roman;Times;serif" w:hAnsi="Times New Roman;Times;serif"/>
          <w:sz w:val="20"/>
        </w:rPr>
        <w:t>”</w:t>
      </w:r>
      <w:r>
        <w:rPr>
          <w:rFonts w:ascii="Times New Roman;Times;serif" w:hAnsi="Times New Roman;Times;serif"/>
          <w:sz w:val="24"/>
        </w:rPr>
        <w:t>) regarding the sale of certain assets of Seller from its Aurora location, as more particularly described in the Purchase Agreement.</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The Parties have now agreed to amend the Purchase Agreement in accordance with the terms and conditions contained herein.</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4"/>
          <w:u w:val="single"/>
        </w:rPr>
        <w:t>AGREEMENT</w:t>
      </w:r>
      <w:r>
        <w:rPr>
          <w:rFonts w:ascii="Times New Roman;Times;serif" w:hAnsi="Times New Roman;Times;serif"/>
          <w:sz w:val="24"/>
        </w:rPr>
        <w:t>:</w:t>
      </w:r>
    </w:p>
    <w:p>
      <w:pPr>
        <w:pStyle w:val="TextBody"/>
        <w:spacing w:before="0" w:after="240"/>
        <w:ind w:left="0" w:right="0" w:firstLine="720"/>
        <w:jc w:val="both"/>
        <w:rPr>
          <w:rFonts w:ascii="Times New Roman;Times;serif" w:hAnsi="Times New Roman;Times;serif"/>
          <w:sz w:val="24"/>
        </w:rPr>
      </w:pPr>
      <w:r>
        <w:rPr>
          <w:rFonts w:ascii="Times New Roman;Times;serif" w:hAnsi="Times New Roman;Times;serif"/>
          <w:sz w:val="24"/>
        </w:rPr>
        <w:t>NOW THEREFORE in consideration of the mutual covenants and benefits set forth herein, the sufficiency and adequacy of which are hereby mutually acknowledged and accepted, and with the intent to be legally bound hereby, the Parties hereby agree to amend the Purchase Agreement as follows:</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w:t>
      </w:r>
      <w:r>
        <w:rPr>
          <w:rFonts w:ascii="Times New Roman;Times;serif" w:hAnsi="Times New Roman;Times;serif"/>
          <w:sz w:val="24"/>
          <w:u w:val="single"/>
        </w:rPr>
        <w:t>Purchased Assets</w:t>
      </w:r>
      <w:r>
        <w:rPr>
          <w:rFonts w:ascii="Times New Roman;Times;serif" w:hAnsi="Times New Roman;Times;serif"/>
          <w:sz w:val="24"/>
        </w:rPr>
        <w:t>. Schedule 1.1(a) - Purchased Assets - will be amended and restated in its entirety as set forth on Exhibit A hereto, adding “Dunbar cash safes at the Aurora location” to the list of Purchased Assets.</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2.</w:t>
      </w:r>
      <w:r>
        <w:rPr>
          <w:rFonts w:ascii="Times New Roman;Times;serif" w:hAnsi="Times New Roman;Times;serif"/>
          <w:sz w:val="24"/>
          <w:u w:val="single"/>
        </w:rPr>
        <w:t>Excluded Assets</w:t>
      </w:r>
      <w:r>
        <w:rPr>
          <w:rFonts w:ascii="Times New Roman;Times;serif" w:hAnsi="Times New Roman;Times;serif"/>
          <w:sz w:val="24"/>
        </w:rPr>
        <w:t>. Schedule 1.1(b) - Excluded Assets - will be amended and restated in its entirety as set forth on Exhibit B hereto, (a) removing “Dunbar cash safes at the Aurora location” from the list of Excluded Assets, and (b) adding “USCGP Fee Agreement” to the list of Excluded Assets.</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3.</w:t>
      </w:r>
      <w:r>
        <w:rPr>
          <w:rFonts w:ascii="Times New Roman;Times;serif" w:hAnsi="Times New Roman;Times;serif"/>
          <w:sz w:val="24"/>
          <w:u w:val="single"/>
        </w:rPr>
        <w:t>Excluded Liabilities</w:t>
      </w:r>
      <w:r>
        <w:rPr>
          <w:rFonts w:ascii="Times New Roman;Times;serif" w:hAnsi="Times New Roman;Times;serif"/>
          <w:sz w:val="24"/>
        </w:rPr>
        <w:t>. Schedule 1.2(b) - Excluded Liabilities - will be amended and restated in its entirety as set forth on Exhibit C hereto, adding each of the following to the list of Excluded Liabilities: (a) “Any Liability relating to any breach or default by Seller under any Real Property Lease and any Liability of Seller relating to or arising from any Real Property Lease prior to the Closing.”, (b) “Any Liability arising from or relating to the USCGP Fee Agreement, including, without limitation, any breach or default by Seller under the USCGP Fee Agreement.”, and (c) “Any Liability arising from or relating to the USCGP Lien, whether prior to, on, or after the Closing.”.</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4.</w:t>
      </w:r>
      <w:r>
        <w:rPr>
          <w:rFonts w:ascii="Times New Roman;Times;serif" w:hAnsi="Times New Roman;Times;serif"/>
          <w:sz w:val="24"/>
          <w:u w:val="single"/>
        </w:rPr>
        <w:t>Representations and Warranties of Seller and Equityholders</w:t>
      </w:r>
      <w:r>
        <w:rPr>
          <w:rFonts w:ascii="Times New Roman;Times;serif" w:hAnsi="Times New Roman;Times;serif"/>
          <w:sz w:val="24"/>
        </w:rPr>
        <w:t>.</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Section 3 is amended to add a new subsection 3(aa) as follows:</w:t>
      </w:r>
    </w:p>
    <w:p>
      <w:pPr>
        <w:pStyle w:val="TextBody"/>
        <w:spacing w:before="0" w:after="240"/>
        <w:ind w:left="1440" w:right="0" w:hanging="0"/>
        <w:jc w:val="both"/>
        <w:rPr/>
      </w:pPr>
      <w:r>
        <w:rPr/>
        <w:t>“</w:t>
      </w:r>
      <w:r>
        <w:rPr>
          <w:rFonts w:ascii="Times New Roman;Times;serif" w:hAnsi="Times New Roman;Times;serif"/>
          <w:sz w:val="24"/>
        </w:rPr>
        <w:t xml:space="preserve">(aa) </w:t>
      </w:r>
      <w:r>
        <w:rPr>
          <w:rFonts w:ascii="Times New Roman;Times;serif" w:hAnsi="Times New Roman;Times;serif"/>
          <w:sz w:val="24"/>
          <w:u w:val="single"/>
        </w:rPr>
        <w:t>Lease Representations</w:t>
      </w:r>
      <w:r>
        <w:rPr>
          <w:rFonts w:ascii="Times New Roman;Times;serif" w:hAnsi="Times New Roman;Times;serif"/>
          <w:sz w:val="24"/>
        </w:rPr>
        <w:t>. Seller is not in default under any of the terms, covenants, or conditions of any Real Property Lease on the part of Seller to be observed or performed. All rents, additional rents and other sums due and payable by Seller under any Real Property Lease have been paid in full and no event has occurred which with the passage</w:t>
      </w:r>
    </w:p>
    <w:p>
      <w:pPr>
        <w:pStyle w:val="TextBody"/>
        <w:spacing w:before="0" w:after="0"/>
        <w:ind w:left="0" w:right="0" w:hanging="0"/>
        <w:rPr/>
      </w:pPr>
      <w:r>
        <w:rPr/>
        <w:t>​</w:t>
      </w:r>
    </w:p>
    <w:p>
      <w:pPr>
        <w:pStyle w:val="HorizontalLine"/>
        <w:rPr/>
      </w:pPr>
      <w:r>
        <w:rPr/>
      </w:r>
    </w:p>
    <w:p>
      <w:pPr>
        <w:pStyle w:val="TextBody"/>
        <w:spacing w:before="0" w:after="240"/>
        <w:ind w:left="1440" w:right="0" w:hanging="0"/>
        <w:jc w:val="both"/>
        <w:rPr>
          <w:rFonts w:ascii="Times New Roman;Times;serif" w:hAnsi="Times New Roman;Times;serif"/>
          <w:sz w:val="24"/>
        </w:rPr>
      </w:pPr>
      <w:r>
        <w:rPr>
          <w:rFonts w:ascii="Times New Roman;Times;serif" w:hAnsi="Times New Roman;Times;serif"/>
          <w:sz w:val="24"/>
        </w:rPr>
        <w:t>of time or the giving of notice, or both, would constitute a default by Seller under any Real Property Lease. Seller has not commenced any action, or given or received any notice, for the purpose of terminating any Real Property Lease.”</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Section 3 is amended to add a new subsection 3(bb) as follows:</w:t>
      </w:r>
    </w:p>
    <w:p>
      <w:pPr>
        <w:pStyle w:val="TextBody"/>
        <w:spacing w:before="0" w:after="240"/>
        <w:ind w:left="1440" w:right="0" w:hanging="0"/>
        <w:jc w:val="both"/>
        <w:rPr/>
      </w:pPr>
      <w:r>
        <w:rPr/>
        <w:t>“</w:t>
      </w:r>
      <w:r>
        <w:rPr>
          <w:rFonts w:ascii="Times New Roman;Times;serif" w:hAnsi="Times New Roman;Times;serif"/>
          <w:sz w:val="24"/>
        </w:rPr>
        <w:t xml:space="preserve">(bb) </w:t>
      </w:r>
      <w:r>
        <w:rPr>
          <w:rFonts w:ascii="Times New Roman;Times;serif" w:hAnsi="Times New Roman;Times;serif"/>
          <w:sz w:val="24"/>
          <w:u w:val="single"/>
        </w:rPr>
        <w:t>USCGP Representations</w:t>
      </w:r>
      <w:r>
        <w:rPr>
          <w:rFonts w:ascii="Times New Roman;Times;serif" w:hAnsi="Times New Roman;Times;serif"/>
          <w:sz w:val="24"/>
        </w:rPr>
        <w:t>. Seller does not owe any fees, liquidated damages, costs or other expenses pursuant to the USCGP Fee Agreement. Seller is not in default or alleged to be in default under any of the terms, covenants, or conditions of the USCGP Fee Agreement and no event has occurred which with the passage of time or the giving of notice, or both, would constitute a default by Seller under USCGP Fee Agreement (including, without limitation, Section 7 of such agreement). The USCGP Fee Agreement provided to Buyer is a true, complete and correct copy of such agreement.”</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5.</w:t>
      </w:r>
      <w:r>
        <w:rPr>
          <w:rFonts w:ascii="Times New Roman;Times;serif" w:hAnsi="Times New Roman;Times;serif"/>
          <w:sz w:val="24"/>
          <w:u w:val="single"/>
        </w:rPr>
        <w:t>USCGP Covenants</w:t>
      </w:r>
      <w:r>
        <w:rPr>
          <w:rFonts w:ascii="Times New Roman;Times;serif" w:hAnsi="Times New Roman;Times;serif"/>
          <w:sz w:val="24"/>
        </w:rPr>
        <w:t>.</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Section 5.2 is amended to add a new subsection (e) as follows:</w:t>
      </w:r>
    </w:p>
    <w:p>
      <w:pPr>
        <w:pStyle w:val="TextBody"/>
        <w:spacing w:before="0" w:after="240"/>
        <w:ind w:left="1440" w:right="0" w:hanging="0"/>
        <w:jc w:val="both"/>
        <w:rPr/>
      </w:pPr>
      <w:r>
        <w:rPr/>
        <w:t>“</w:t>
      </w:r>
      <w:r>
        <w:rPr>
          <w:rFonts w:ascii="Times New Roman;Times;serif" w:hAnsi="Times New Roman;Times;serif"/>
          <w:sz w:val="24"/>
        </w:rPr>
        <w:t xml:space="preserve">(e) </w:t>
      </w:r>
      <w:r>
        <w:rPr>
          <w:rFonts w:ascii="Times New Roman;Times;serif" w:hAnsi="Times New Roman;Times;serif"/>
          <w:sz w:val="24"/>
          <w:u w:val="single"/>
        </w:rPr>
        <w:t>Termination of USCGP Fee Agreement</w:t>
      </w:r>
      <w:r>
        <w:rPr>
          <w:rFonts w:ascii="Times New Roman;Times;serif" w:hAnsi="Times New Roman;Times;serif"/>
          <w:sz w:val="24"/>
        </w:rPr>
        <w:t>. After the Closing, Seller and the Equityholders will use their commercially reasonable best efforts to seek a termination of the USCGP Fee Agreement, including a termination of the USCGP Lien and will regularly update Buyer regarding the progress thereof. In the event Seller and the Equityholders cannot obtain a full termination of the USCGP Fee Agreement and the USCGP Lien, Seller and the Equityholders will use their commercially reasonable best efforts to seek a partial release of the USCGP Lien with respect to the Purchased Assets.”</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Article V is amended to add a new Section 5.6 as follows:</w:t>
      </w:r>
    </w:p>
    <w:p>
      <w:pPr>
        <w:pStyle w:val="TextBody"/>
        <w:spacing w:before="0" w:after="240"/>
        <w:ind w:left="1440" w:right="0" w:hanging="0"/>
        <w:jc w:val="both"/>
        <w:rPr/>
      </w:pPr>
      <w:r>
        <w:rPr/>
        <w:t>“</w:t>
      </w:r>
      <w:r>
        <w:rPr>
          <w:rFonts w:ascii="Times New Roman;Times;serif" w:hAnsi="Times New Roman;Times;serif"/>
          <w:sz w:val="24"/>
        </w:rPr>
        <w:t xml:space="preserve">5.6 </w:t>
      </w:r>
      <w:r>
        <w:rPr>
          <w:rFonts w:ascii="Times New Roman;Times;serif" w:hAnsi="Times New Roman;Times;serif"/>
          <w:sz w:val="24"/>
          <w:u w:val="single"/>
        </w:rPr>
        <w:t>USCGP Fee Agreement Obligations; Reimbursement of Buyer Costs</w:t>
      </w:r>
      <w:r>
        <w:rPr>
          <w:rFonts w:ascii="Times New Roman;Times;serif" w:hAnsi="Times New Roman;Times;serif"/>
          <w:sz w:val="24"/>
        </w:rPr>
        <w:t>. From and after the date of this Agreement until the termination or expiration of the USCGP Fee Agreement and payment in full of all amounts due and owing thereunder, Seller agrees that it shall pay all Obligations (as defined in the USCGP Fee Agreement), if any, immediately as they become due under the terms of the USCGP Fee Agreement. In addition, Seller agrees to promptly reimburse Buyer for all costs and expenses reasonably incurred by Buyer related to Buyer’s assumption of assets subject to the USCGP Lien, including, without limitation, reasonable attorneys’ fees incurred in connection with negotiating, amending or restating Buyer’s existing credit facilities and any loan agreements or other documents related thereto and in connection with obtaining any necessary consents or waivers.”</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6.</w:t>
      </w:r>
      <w:r>
        <w:rPr>
          <w:rFonts w:ascii="Times New Roman;Times;serif" w:hAnsi="Times New Roman;Times;serif"/>
          <w:sz w:val="24"/>
          <w:u w:val="single"/>
        </w:rPr>
        <w:t>Definitions</w:t>
      </w:r>
      <w:r>
        <w:rPr>
          <w:rFonts w:ascii="Times New Roman;Times;serif" w:hAnsi="Times New Roman;Times;serif"/>
          <w:sz w:val="24"/>
        </w:rPr>
        <w:t>. Exhibit A of the Purchase Agreement is amended by adding the following definitions:</w:t>
      </w:r>
    </w:p>
    <w:p>
      <w:pPr>
        <w:pStyle w:val="TextBody"/>
        <w:spacing w:before="0" w:after="240"/>
        <w:ind w:left="720" w:right="0" w:hanging="0"/>
        <w:jc w:val="both"/>
        <w:rPr/>
      </w:pPr>
      <w:r>
        <w:rPr/>
        <w:t>“</w:t>
      </w:r>
      <w:r>
        <w:rPr>
          <w:rFonts w:ascii="Times New Roman;Times;serif" w:hAnsi="Times New Roman;Times;serif"/>
          <w:sz w:val="24"/>
          <w:u w:val="single"/>
        </w:rPr>
        <w:t>USCGP Fee Agreement</w:t>
      </w:r>
      <w:r>
        <w:rPr>
          <w:rFonts w:ascii="Times New Roman;Times;serif" w:hAnsi="Times New Roman;Times;serif"/>
          <w:sz w:val="20"/>
        </w:rPr>
        <w:t xml:space="preserve">” </w:t>
      </w:r>
      <w:r>
        <w:rPr>
          <w:rFonts w:ascii="Times New Roman;Times;serif" w:hAnsi="Times New Roman;Times;serif"/>
          <w:sz w:val="24"/>
        </w:rPr>
        <w:t>means that certain Fee Agreement, dated March 5, 2021, by and between US Capital Global Partners LLC (“</w:t>
      </w:r>
      <w:r>
        <w:rPr>
          <w:rFonts w:ascii="Times New Roman;Times;serif" w:hAnsi="Times New Roman;Times;serif"/>
          <w:sz w:val="24"/>
          <w:u w:val="single"/>
        </w:rPr>
        <w:t>USCGP</w:t>
      </w:r>
      <w:r>
        <w:rPr>
          <w:rFonts w:ascii="Times New Roman;Times;serif" w:hAnsi="Times New Roman;Times;serif"/>
          <w:sz w:val="20"/>
        </w:rPr>
        <w:t>”</w:t>
      </w:r>
      <w:r>
        <w:rPr>
          <w:rFonts w:ascii="Times New Roman;Times;serif" w:hAnsi="Times New Roman;Times;serif"/>
          <w:sz w:val="24"/>
        </w:rPr>
        <w:t>), Seller, JST Holdings, LLC (“</w:t>
      </w:r>
      <w:r>
        <w:rPr>
          <w:rFonts w:ascii="Times New Roman;Times;serif" w:hAnsi="Times New Roman;Times;serif"/>
          <w:sz w:val="24"/>
          <w:u w:val="single"/>
        </w:rPr>
        <w:t>JST</w:t>
      </w:r>
      <w:r>
        <w:rPr>
          <w:rFonts w:ascii="Times New Roman;Times;serif" w:hAnsi="Times New Roman;Times;serif"/>
          <w:sz w:val="20"/>
        </w:rPr>
        <w:t>”</w:t>
      </w:r>
      <w:r>
        <w:rPr>
          <w:rFonts w:ascii="Times New Roman;Times;serif" w:hAnsi="Times New Roman;Times;serif"/>
          <w:sz w:val="24"/>
        </w:rPr>
        <w:t>), and Colorado Farms (“</w:t>
      </w:r>
      <w:r>
        <w:rPr>
          <w:rFonts w:ascii="Times New Roman;Times;serif" w:hAnsi="Times New Roman;Times;serif"/>
          <w:sz w:val="24"/>
          <w:u w:val="single"/>
        </w:rPr>
        <w:t>Colorado Farms</w:t>
      </w:r>
      <w:r>
        <w:rPr>
          <w:rFonts w:ascii="Times New Roman;Times;serif" w:hAnsi="Times New Roman;Times;serif"/>
          <w:sz w:val="20"/>
        </w:rPr>
        <w:t>”</w:t>
      </w:r>
      <w:r>
        <w:rPr>
          <w:rFonts w:ascii="Times New Roman;Times;serif" w:hAnsi="Times New Roman;Times;serif"/>
          <w:sz w:val="24"/>
        </w:rPr>
        <w:t>).</w:t>
      </w:r>
    </w:p>
    <w:p>
      <w:pPr>
        <w:pStyle w:val="TextBody"/>
        <w:spacing w:before="0" w:after="240"/>
        <w:ind w:left="720" w:right="0" w:hanging="0"/>
        <w:jc w:val="both"/>
        <w:rPr/>
      </w:pPr>
      <w:r>
        <w:rPr/>
        <w:t>“</w:t>
      </w:r>
      <w:r>
        <w:rPr>
          <w:rFonts w:ascii="Times New Roman;Times;serif" w:hAnsi="Times New Roman;Times;serif"/>
          <w:sz w:val="24"/>
          <w:u w:val="single"/>
        </w:rPr>
        <w:t>USCGP Lien</w:t>
      </w:r>
      <w:r>
        <w:rPr>
          <w:rFonts w:ascii="Times New Roman;Times;serif" w:hAnsi="Times New Roman;Times;serif"/>
          <w:sz w:val="20"/>
        </w:rPr>
        <w:t xml:space="preserve">” </w:t>
      </w:r>
      <w:r>
        <w:rPr>
          <w:rFonts w:ascii="Times New Roman;Times;serif" w:hAnsi="Times New Roman;Times;serif"/>
          <w:sz w:val="24"/>
        </w:rPr>
        <w:t>means that certain security interest in certain assets of Seller, JST, and Colorado Farms, including certain of the Purchased Assets, granted to USCGP pursuant to the USCGP Fee Agreement to secure certain obligations of Seller, JST, and Colorado Farms thereunder, as further described therein.</w:t>
      </w:r>
    </w:p>
    <w:p>
      <w:pPr>
        <w:pStyle w:val="TextBody"/>
        <w:spacing w:before="0" w:after="0"/>
        <w:ind w:left="0" w:right="0" w:hanging="0"/>
        <w:rPr/>
      </w:pPr>
      <w:r>
        <w:rPr/>
        <w:t>​</w:t>
      </w:r>
    </w:p>
    <w:p>
      <w:pPr>
        <w:pStyle w:val="HorizontalLine"/>
        <w:rPr/>
      </w:pPr>
      <w:r>
        <w:rPr/>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7.</w:t>
      </w:r>
      <w:r>
        <w:rPr>
          <w:rFonts w:ascii="Times New Roman;Times;serif" w:hAnsi="Times New Roman;Times;serif"/>
          <w:sz w:val="24"/>
          <w:u w:val="single"/>
        </w:rPr>
        <w:t>Purchase Agreement</w:t>
      </w:r>
      <w:r>
        <w:rPr>
          <w:rFonts w:ascii="Times New Roman;Times;serif" w:hAnsi="Times New Roman;Times;serif"/>
          <w:sz w:val="24"/>
        </w:rPr>
        <w:t>. Except as explicitly set forth herein, all other terms and provisions of the Purchase Agreement remain in full force and effect.</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w:t>
      </w:r>
      <w:r>
        <w:rPr>
          <w:rFonts w:ascii="Times New Roman;Times;serif" w:hAnsi="Times New Roman;Times;serif"/>
          <w:sz w:val="24"/>
          <w:u w:val="single"/>
        </w:rPr>
        <w:t>Counterparts</w:t>
      </w:r>
      <w:r>
        <w:rPr>
          <w:rFonts w:ascii="Times New Roman;Times;serif" w:hAnsi="Times New Roman;Times;serif"/>
          <w:sz w:val="24"/>
        </w:rPr>
        <w:t>. This First Amendment may be executed in one or more counterparts, all of which shall constitute and be deemed an original, but all of which together shall constitute one and the same instrument binding on the Parties. This First Amendment may be executed in telecopy (faxed) or e-mail (.PDF) copies and facsimile or e-mail (.PDF) signatures shall be binding upon the parties.</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4"/>
        </w:rPr>
        <w:t>[</w:t>
      </w:r>
      <w:r>
        <w:rPr>
          <w:rFonts w:ascii="Times New Roman;Times;serif" w:hAnsi="Times New Roman;Times;serif"/>
          <w:i/>
          <w:sz w:val="24"/>
        </w:rPr>
        <w:t>Signature page follows</w:t>
      </w:r>
      <w:r>
        <w:rPr>
          <w:rFonts w:ascii="Times New Roman;Times;serif" w:hAnsi="Times New Roman;Times;serif"/>
          <w:sz w:val="24"/>
        </w:rPr>
        <w:t>]</w:t>
      </w:r>
    </w:p>
    <w:p>
      <w:pPr>
        <w:pStyle w:val="TextBody"/>
        <w:spacing w:before="0" w:after="240"/>
        <w:ind w:left="0" w:right="0" w:hanging="0"/>
        <w:jc w:val="center"/>
        <w:rPr/>
      </w:pPr>
      <w:r>
        <w:rPr/>
        <w:t>​</w:t>
      </w:r>
    </w:p>
    <w:p>
      <w:pPr>
        <w:pStyle w:val="TextBody"/>
        <w:spacing w:before="0" w:after="0"/>
        <w:ind w:left="0" w:right="0" w:hanging="0"/>
        <w:rPr/>
      </w:pPr>
      <w:r>
        <w:rPr/>
        <w:t>​</w:t>
      </w:r>
    </w:p>
    <w:p>
      <w:pPr>
        <w:pStyle w:val="HorizontalLine"/>
        <w:rPr/>
      </w:pPr>
      <w:r>
        <w:rPr/>
      </w:r>
    </w:p>
    <w:p>
      <w:pPr>
        <w:pStyle w:val="TextBody"/>
        <w:spacing w:before="0" w:after="0"/>
        <w:ind w:left="0" w:right="0" w:firstLine="720"/>
        <w:jc w:val="both"/>
        <w:rPr>
          <w:rFonts w:ascii="Times New Roman;Times;serif" w:hAnsi="Times New Roman;Times;serif"/>
          <w:sz w:val="24"/>
        </w:rPr>
      </w:pPr>
      <w:r>
        <w:rPr>
          <w:rFonts w:ascii="Times New Roman;Times;serif" w:hAnsi="Times New Roman;Times;serif"/>
          <w:sz w:val="24"/>
        </w:rPr>
        <w:t>THIS FIRST AMENDMENT shall be deemed entered into and effective as of the date provided on the first page.</w:t>
      </w:r>
    </w:p>
    <w:p>
      <w:pPr>
        <w:pStyle w:val="TextBody"/>
        <w:spacing w:before="0" w:after="0"/>
        <w:ind w:left="0" w:right="0" w:firstLine="720"/>
        <w:jc w:val="both"/>
        <w:rPr/>
      </w:pPr>
      <w:r>
        <w:rPr/>
        <w:t>​</w:t>
      </w:r>
    </w:p>
    <w:tbl>
      <w:tblPr>
        <w:tblW w:w="5636" w:type="dxa"/>
        <w:jc w:val="left"/>
        <w:tblInd w:w="0" w:type="dxa"/>
        <w:tblCellMar>
          <w:top w:w="0" w:type="dxa"/>
          <w:left w:w="0" w:type="dxa"/>
          <w:bottom w:w="0" w:type="dxa"/>
          <w:right w:w="0" w:type="dxa"/>
        </w:tblCellMar>
      </w:tblPr>
      <w:tblGrid>
        <w:gridCol w:w="124"/>
        <w:gridCol w:w="109"/>
        <w:gridCol w:w="451"/>
        <w:gridCol w:w="451"/>
        <w:gridCol w:w="4501"/>
      </w:tblGrid>
      <w:tr>
        <w:trPr/>
        <w:tc>
          <w:tcPr>
            <w:tcW w:w="124" w:type="dxa"/>
            <w:tcBorders/>
            <w:shd w:fill="auto" w:val="clear"/>
            <w:vAlign w:val="center"/>
          </w:tcPr>
          <w:p>
            <w:pPr>
              <w:pStyle w:val="TableContents"/>
              <w:spacing w:before="0" w:after="0"/>
              <w:ind w:left="0" w:right="0" w:hanging="0"/>
              <w:rPr/>
            </w:pPr>
            <w:r>
              <w:rPr/>
              <w:t>​</w:t>
            </w:r>
          </w:p>
        </w:tc>
        <w:tc>
          <w:tcPr>
            <w:tcW w:w="5512" w:type="dxa"/>
            <w:gridSpan w:val="4"/>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BUYER:</w:t>
            </w:r>
          </w:p>
        </w:tc>
      </w:tr>
      <w:tr>
        <w:trPr/>
        <w:tc>
          <w:tcPr>
            <w:tcW w:w="124" w:type="dxa"/>
            <w:tcBorders/>
            <w:shd w:fill="auto" w:val="clear"/>
            <w:vAlign w:val="center"/>
          </w:tcPr>
          <w:p>
            <w:pPr>
              <w:pStyle w:val="TableContents"/>
              <w:spacing w:before="0" w:after="0"/>
              <w:ind w:left="0" w:right="0" w:hanging="0"/>
              <w:rPr/>
            </w:pPr>
            <w:r>
              <w:rPr/>
              <w:t>​</w:t>
            </w:r>
          </w:p>
        </w:tc>
        <w:tc>
          <w:tcPr>
            <w:tcW w:w="5512" w:type="dxa"/>
            <w:gridSpan w:val="4"/>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DOUBLE BROW, LLC</w:t>
            </w:r>
          </w:p>
        </w:tc>
      </w:tr>
      <w:tr>
        <w:trPr/>
        <w:tc>
          <w:tcPr>
            <w:tcW w:w="124"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5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By:</w:t>
            </w:r>
          </w:p>
        </w:tc>
        <w:tc>
          <w:tcPr>
            <w:tcW w:w="4952" w:type="dxa"/>
            <w:gridSpan w:val="2"/>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SCHWAZZE COLORADO, LLC</w:t>
            </w:r>
          </w:p>
        </w:tc>
      </w:tr>
      <w:tr>
        <w:trPr/>
        <w:tc>
          <w:tcPr>
            <w:tcW w:w="124"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51" w:type="dxa"/>
            <w:tcBorders/>
            <w:shd w:fill="auto" w:val="clear"/>
            <w:vAlign w:val="center"/>
          </w:tcPr>
          <w:p>
            <w:pPr>
              <w:pStyle w:val="TableContents"/>
              <w:spacing w:before="0" w:after="0"/>
              <w:ind w:left="0" w:right="0" w:hanging="0"/>
              <w:rPr/>
            </w:pPr>
            <w:r>
              <w:rPr/>
              <w:t>​</w:t>
            </w:r>
          </w:p>
        </w:tc>
        <w:tc>
          <w:tcPr>
            <w:tcW w:w="45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By:</w:t>
            </w:r>
          </w:p>
        </w:tc>
        <w:tc>
          <w:tcPr>
            <w:tcW w:w="450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MEDICINE MAN TECHNOLOGIES, INC.</w:t>
            </w:r>
          </w:p>
        </w:tc>
      </w:tr>
      <w:tr>
        <w:trPr/>
        <w:tc>
          <w:tcPr>
            <w:tcW w:w="124"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51" w:type="dxa"/>
            <w:tcBorders/>
            <w:shd w:fill="auto" w:val="clear"/>
            <w:vAlign w:val="center"/>
          </w:tcPr>
          <w:p>
            <w:pPr>
              <w:pStyle w:val="TableContents"/>
              <w:spacing w:before="0" w:after="0"/>
              <w:ind w:left="0" w:right="0" w:hanging="0"/>
              <w:rPr/>
            </w:pPr>
            <w:r>
              <w:rPr/>
              <w:t>​</w:t>
            </w:r>
          </w:p>
        </w:tc>
        <w:tc>
          <w:tcPr>
            <w:tcW w:w="451" w:type="dxa"/>
            <w:tcBorders/>
            <w:shd w:fill="auto" w:val="clear"/>
            <w:vAlign w:val="center"/>
          </w:tcPr>
          <w:p>
            <w:pPr>
              <w:pStyle w:val="TableContents"/>
              <w:spacing w:before="0" w:after="0"/>
              <w:ind w:left="0" w:right="0" w:hanging="0"/>
              <w:rPr/>
            </w:pPr>
            <w:r>
              <w:rPr/>
              <w:t>​</w:t>
            </w:r>
          </w:p>
        </w:tc>
        <w:tc>
          <w:tcPr>
            <w:tcW w:w="450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(d/b/a SCHWAZZE), its sole manager</w:t>
            </w:r>
          </w:p>
        </w:tc>
      </w:tr>
      <w:tr>
        <w:trPr/>
        <w:tc>
          <w:tcPr>
            <w:tcW w:w="124"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51" w:type="dxa"/>
            <w:tcBorders/>
            <w:shd w:fill="auto" w:val="clear"/>
            <w:vAlign w:val="center"/>
          </w:tcPr>
          <w:p>
            <w:pPr>
              <w:pStyle w:val="TableContents"/>
              <w:spacing w:before="0" w:after="0"/>
              <w:ind w:left="0" w:right="0" w:hanging="0"/>
              <w:rPr/>
            </w:pPr>
            <w:r>
              <w:rPr/>
              <w:t>​</w:t>
            </w:r>
          </w:p>
        </w:tc>
        <w:tc>
          <w:tcPr>
            <w:tcW w:w="4952" w:type="dxa"/>
            <w:gridSpan w:val="2"/>
            <w:tcBorders/>
            <w:shd w:fill="auto" w:val="clear"/>
            <w:vAlign w:val="center"/>
          </w:tcPr>
          <w:p>
            <w:pPr>
              <w:pStyle w:val="TableContents"/>
              <w:spacing w:before="0" w:after="0"/>
              <w:ind w:left="0" w:right="0" w:hanging="0"/>
              <w:jc w:val="center"/>
              <w:rPr/>
            </w:pPr>
            <w:r>
              <w:rPr/>
              <w:t>​</w:t>
            </w:r>
          </w:p>
        </w:tc>
      </w:tr>
    </w:tbl>
    <w:p>
      <w:pPr>
        <w:pStyle w:val="TextBody"/>
        <w:spacing w:before="0" w:after="0"/>
        <w:ind w:left="0" w:right="0" w:hanging="0"/>
        <w:rPr/>
      </w:pPr>
      <w:r>
        <w:rPr/>
        <w:t>​</w:t>
      </w:r>
    </w:p>
    <w:tbl>
      <w:tblPr>
        <w:tblW w:w="4624" w:type="dxa"/>
        <w:jc w:val="left"/>
        <w:tblInd w:w="0" w:type="dxa"/>
        <w:tblCellMar>
          <w:top w:w="0" w:type="dxa"/>
          <w:left w:w="0" w:type="dxa"/>
          <w:bottom w:w="0" w:type="dxa"/>
          <w:right w:w="0" w:type="dxa"/>
        </w:tblCellMar>
      </w:tblPr>
      <w:tblGrid>
        <w:gridCol w:w="124"/>
        <w:gridCol w:w="1094"/>
        <w:gridCol w:w="3406"/>
      </w:tblGrid>
      <w:tr>
        <w:trPr/>
        <w:tc>
          <w:tcPr>
            <w:tcW w:w="124" w:type="dxa"/>
            <w:tcBorders/>
            <w:shd w:fill="auto" w:val="clear"/>
            <w:vAlign w:val="center"/>
          </w:tcPr>
          <w:p>
            <w:pPr>
              <w:pStyle w:val="TableContents"/>
              <w:spacing w:before="0" w:after="0"/>
              <w:ind w:left="0" w:right="0" w:hanging="0"/>
              <w:rPr/>
            </w:pPr>
            <w:r>
              <w:rPr/>
              <w:t>​</w:t>
            </w:r>
          </w:p>
        </w:tc>
        <w:tc>
          <w:tcPr>
            <w:tcW w:w="1094"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By:</w:t>
            </w:r>
          </w:p>
        </w:tc>
        <w:tc>
          <w:tcPr>
            <w:tcW w:w="340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Dan Pabon</w:t>
            </w:r>
          </w:p>
        </w:tc>
      </w:tr>
      <w:tr>
        <w:trPr/>
        <w:tc>
          <w:tcPr>
            <w:tcW w:w="124" w:type="dxa"/>
            <w:tcBorders/>
            <w:shd w:fill="auto" w:val="clear"/>
            <w:vAlign w:val="center"/>
          </w:tcPr>
          <w:p>
            <w:pPr>
              <w:pStyle w:val="TableContents"/>
              <w:spacing w:before="0" w:after="0"/>
              <w:ind w:left="0" w:right="0" w:hanging="0"/>
              <w:rPr/>
            </w:pPr>
            <w:r>
              <w:rPr/>
              <w:t>​</w:t>
            </w:r>
          </w:p>
        </w:tc>
        <w:tc>
          <w:tcPr>
            <w:tcW w:w="1094"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Name:</w:t>
            </w:r>
          </w:p>
        </w:tc>
        <w:tc>
          <w:tcPr>
            <w:tcW w:w="340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 xml:space="preserve">Dan Pabon </w:t>
            </w:r>
          </w:p>
        </w:tc>
      </w:tr>
      <w:tr>
        <w:trPr/>
        <w:tc>
          <w:tcPr>
            <w:tcW w:w="124" w:type="dxa"/>
            <w:tcBorders/>
            <w:shd w:fill="auto" w:val="clear"/>
            <w:vAlign w:val="center"/>
          </w:tcPr>
          <w:p>
            <w:pPr>
              <w:pStyle w:val="TableContents"/>
              <w:spacing w:before="0" w:after="0"/>
              <w:ind w:left="0" w:right="0" w:hanging="0"/>
              <w:rPr/>
            </w:pPr>
            <w:r>
              <w:rPr/>
              <w:t>​</w:t>
            </w:r>
          </w:p>
        </w:tc>
        <w:tc>
          <w:tcPr>
            <w:tcW w:w="1094"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Title:</w:t>
            </w:r>
          </w:p>
        </w:tc>
        <w:tc>
          <w:tcPr>
            <w:tcW w:w="340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General Counsel</w:t>
            </w:r>
          </w:p>
        </w:tc>
      </w:tr>
      <w:tr>
        <w:trPr/>
        <w:tc>
          <w:tcPr>
            <w:tcW w:w="124" w:type="dxa"/>
            <w:tcBorders/>
            <w:shd w:fill="auto" w:val="clear"/>
            <w:vAlign w:val="center"/>
          </w:tcPr>
          <w:p>
            <w:pPr>
              <w:pStyle w:val="TableContents"/>
              <w:spacing w:before="0" w:after="0"/>
              <w:ind w:left="0" w:right="0" w:hanging="0"/>
              <w:rPr/>
            </w:pPr>
            <w:r>
              <w:rPr/>
              <w:t>​</w:t>
            </w:r>
          </w:p>
        </w:tc>
        <w:tc>
          <w:tcPr>
            <w:tcW w:w="1094" w:type="dxa"/>
            <w:tcBorders/>
            <w:shd w:fill="auto" w:val="clear"/>
            <w:vAlign w:val="center"/>
          </w:tcPr>
          <w:p>
            <w:pPr>
              <w:pStyle w:val="TableContents"/>
              <w:spacing w:before="0" w:after="0"/>
              <w:ind w:left="0" w:right="0" w:hanging="0"/>
              <w:rPr/>
            </w:pPr>
            <w:r>
              <w:rPr/>
              <w:t>​</w:t>
            </w:r>
          </w:p>
        </w:tc>
        <w:tc>
          <w:tcPr>
            <w:tcW w:w="3406"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4500" w:type="dxa"/>
            <w:gridSpan w:val="2"/>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PARENT:</w:t>
            </w:r>
          </w:p>
        </w:tc>
      </w:tr>
      <w:tr>
        <w:trPr/>
        <w:tc>
          <w:tcPr>
            <w:tcW w:w="124" w:type="dxa"/>
            <w:tcBorders/>
            <w:shd w:fill="auto" w:val="clear"/>
            <w:vAlign w:val="center"/>
          </w:tcPr>
          <w:p>
            <w:pPr>
              <w:pStyle w:val="TableContents"/>
              <w:spacing w:before="0" w:after="0"/>
              <w:ind w:left="0" w:right="0" w:hanging="0"/>
              <w:rPr/>
            </w:pPr>
            <w:r>
              <w:rPr/>
              <w:t>​</w:t>
            </w:r>
          </w:p>
        </w:tc>
        <w:tc>
          <w:tcPr>
            <w:tcW w:w="4500" w:type="dxa"/>
            <w:gridSpan w:val="2"/>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MEDICINE MAN TECHNOLOGIES, INC.</w:t>
            </w:r>
          </w:p>
        </w:tc>
      </w:tr>
      <w:tr>
        <w:trPr/>
        <w:tc>
          <w:tcPr>
            <w:tcW w:w="124" w:type="dxa"/>
            <w:tcBorders/>
            <w:shd w:fill="auto" w:val="clear"/>
            <w:vAlign w:val="center"/>
          </w:tcPr>
          <w:p>
            <w:pPr>
              <w:pStyle w:val="TableContents"/>
              <w:spacing w:before="0" w:after="0"/>
              <w:ind w:left="0" w:right="0" w:hanging="0"/>
              <w:rPr/>
            </w:pPr>
            <w:r>
              <w:rPr/>
              <w:t>​</w:t>
            </w:r>
          </w:p>
        </w:tc>
        <w:tc>
          <w:tcPr>
            <w:tcW w:w="4500" w:type="dxa"/>
            <w:gridSpan w:val="2"/>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(d/b/a SCHWAZZE)</w:t>
            </w:r>
          </w:p>
        </w:tc>
      </w:tr>
      <w:tr>
        <w:trPr/>
        <w:tc>
          <w:tcPr>
            <w:tcW w:w="124" w:type="dxa"/>
            <w:tcBorders/>
            <w:shd w:fill="auto" w:val="clear"/>
            <w:vAlign w:val="center"/>
          </w:tcPr>
          <w:p>
            <w:pPr>
              <w:pStyle w:val="TableContents"/>
              <w:spacing w:before="0" w:after="0"/>
              <w:ind w:left="0" w:right="0" w:hanging="0"/>
              <w:rPr/>
            </w:pPr>
            <w:r>
              <w:rPr/>
              <w:t>​</w:t>
            </w:r>
          </w:p>
        </w:tc>
        <w:tc>
          <w:tcPr>
            <w:tcW w:w="4500" w:type="dxa"/>
            <w:gridSpan w:val="2"/>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094"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 xml:space="preserve">By: </w:t>
            </w:r>
          </w:p>
        </w:tc>
        <w:tc>
          <w:tcPr>
            <w:tcW w:w="340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Dan Pabon</w:t>
            </w:r>
          </w:p>
        </w:tc>
      </w:tr>
      <w:tr>
        <w:trPr/>
        <w:tc>
          <w:tcPr>
            <w:tcW w:w="124" w:type="dxa"/>
            <w:tcBorders/>
            <w:shd w:fill="auto" w:val="clear"/>
            <w:vAlign w:val="center"/>
          </w:tcPr>
          <w:p>
            <w:pPr>
              <w:pStyle w:val="TableContents"/>
              <w:spacing w:before="0" w:after="0"/>
              <w:ind w:left="0" w:right="0" w:hanging="0"/>
              <w:rPr/>
            </w:pPr>
            <w:r>
              <w:rPr/>
              <w:t>​</w:t>
            </w:r>
          </w:p>
        </w:tc>
        <w:tc>
          <w:tcPr>
            <w:tcW w:w="1094"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 xml:space="preserve">Name: </w:t>
            </w:r>
          </w:p>
        </w:tc>
        <w:tc>
          <w:tcPr>
            <w:tcW w:w="340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Dan Pabon</w:t>
            </w:r>
          </w:p>
        </w:tc>
      </w:tr>
      <w:tr>
        <w:trPr/>
        <w:tc>
          <w:tcPr>
            <w:tcW w:w="124" w:type="dxa"/>
            <w:tcBorders/>
            <w:shd w:fill="auto" w:val="clear"/>
            <w:vAlign w:val="center"/>
          </w:tcPr>
          <w:p>
            <w:pPr>
              <w:pStyle w:val="TableContents"/>
              <w:spacing w:before="0" w:after="0"/>
              <w:ind w:left="0" w:right="0" w:hanging="0"/>
              <w:rPr/>
            </w:pPr>
            <w:r>
              <w:rPr/>
              <w:t>​</w:t>
            </w:r>
          </w:p>
        </w:tc>
        <w:tc>
          <w:tcPr>
            <w:tcW w:w="1094"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Title:</w:t>
            </w:r>
          </w:p>
        </w:tc>
        <w:tc>
          <w:tcPr>
            <w:tcW w:w="340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General Counsel</w:t>
            </w:r>
          </w:p>
        </w:tc>
      </w:tr>
      <w:tr>
        <w:trPr/>
        <w:tc>
          <w:tcPr>
            <w:tcW w:w="124" w:type="dxa"/>
            <w:tcBorders/>
            <w:shd w:fill="auto" w:val="clear"/>
            <w:vAlign w:val="center"/>
          </w:tcPr>
          <w:p>
            <w:pPr>
              <w:pStyle w:val="TableContents"/>
              <w:spacing w:before="0" w:after="0"/>
              <w:ind w:left="0" w:right="0" w:hanging="0"/>
              <w:rPr/>
            </w:pPr>
            <w:r>
              <w:rPr/>
              <w:t>​</w:t>
            </w:r>
          </w:p>
        </w:tc>
        <w:tc>
          <w:tcPr>
            <w:tcW w:w="4500" w:type="dxa"/>
            <w:gridSpan w:val="2"/>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4500" w:type="dxa"/>
            <w:gridSpan w:val="2"/>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SELLER:</w:t>
            </w:r>
          </w:p>
        </w:tc>
      </w:tr>
      <w:tr>
        <w:trPr/>
        <w:tc>
          <w:tcPr>
            <w:tcW w:w="124" w:type="dxa"/>
            <w:tcBorders/>
            <w:shd w:fill="auto" w:val="clear"/>
            <w:vAlign w:val="center"/>
          </w:tcPr>
          <w:p>
            <w:pPr>
              <w:pStyle w:val="TableContents"/>
              <w:spacing w:before="0" w:after="0"/>
              <w:ind w:left="0" w:right="0" w:hanging="0"/>
              <w:rPr/>
            </w:pPr>
            <w:r>
              <w:rPr/>
              <w:t>​</w:t>
            </w:r>
          </w:p>
        </w:tc>
        <w:tc>
          <w:tcPr>
            <w:tcW w:w="4500" w:type="dxa"/>
            <w:gridSpan w:val="2"/>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LIGHTSHADE LABS LLC</w:t>
            </w:r>
          </w:p>
        </w:tc>
      </w:tr>
      <w:tr>
        <w:trPr/>
        <w:tc>
          <w:tcPr>
            <w:tcW w:w="124" w:type="dxa"/>
            <w:tcBorders/>
            <w:shd w:fill="auto" w:val="clear"/>
            <w:vAlign w:val="center"/>
          </w:tcPr>
          <w:p>
            <w:pPr>
              <w:pStyle w:val="TableContents"/>
              <w:spacing w:before="0" w:after="0"/>
              <w:ind w:left="0" w:right="0" w:hanging="0"/>
              <w:rPr/>
            </w:pPr>
            <w:r>
              <w:rPr/>
              <w:t>​</w:t>
            </w:r>
          </w:p>
        </w:tc>
        <w:tc>
          <w:tcPr>
            <w:tcW w:w="4500" w:type="dxa"/>
            <w:gridSpan w:val="2"/>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094"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 xml:space="preserve">By: </w:t>
            </w:r>
          </w:p>
        </w:tc>
        <w:tc>
          <w:tcPr>
            <w:tcW w:w="340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Thomas Van Alsburg</w:t>
            </w:r>
          </w:p>
        </w:tc>
      </w:tr>
      <w:tr>
        <w:trPr/>
        <w:tc>
          <w:tcPr>
            <w:tcW w:w="124" w:type="dxa"/>
            <w:tcBorders/>
            <w:shd w:fill="auto" w:val="clear"/>
            <w:vAlign w:val="center"/>
          </w:tcPr>
          <w:p>
            <w:pPr>
              <w:pStyle w:val="TableContents"/>
              <w:spacing w:before="0" w:after="0"/>
              <w:ind w:left="0" w:right="0" w:hanging="0"/>
              <w:rPr/>
            </w:pPr>
            <w:r>
              <w:rPr/>
              <w:t>​</w:t>
            </w:r>
          </w:p>
        </w:tc>
        <w:tc>
          <w:tcPr>
            <w:tcW w:w="1094"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 xml:space="preserve">Name: </w:t>
            </w:r>
          </w:p>
        </w:tc>
        <w:tc>
          <w:tcPr>
            <w:tcW w:w="340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 xml:space="preserve">Thomas Van Alsburg </w:t>
            </w:r>
          </w:p>
        </w:tc>
      </w:tr>
      <w:tr>
        <w:trPr/>
        <w:tc>
          <w:tcPr>
            <w:tcW w:w="124" w:type="dxa"/>
            <w:tcBorders/>
            <w:shd w:fill="auto" w:val="clear"/>
            <w:vAlign w:val="center"/>
          </w:tcPr>
          <w:p>
            <w:pPr>
              <w:pStyle w:val="TableContents"/>
              <w:spacing w:before="0" w:after="0"/>
              <w:ind w:left="0" w:right="0" w:hanging="0"/>
              <w:rPr/>
            </w:pPr>
            <w:r>
              <w:rPr/>
              <w:t>​</w:t>
            </w:r>
          </w:p>
        </w:tc>
        <w:tc>
          <w:tcPr>
            <w:tcW w:w="1094"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 xml:space="preserve">Title: </w:t>
            </w:r>
          </w:p>
        </w:tc>
        <w:tc>
          <w:tcPr>
            <w:tcW w:w="340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Member</w:t>
            </w:r>
          </w:p>
        </w:tc>
      </w:tr>
      <w:tr>
        <w:trPr/>
        <w:tc>
          <w:tcPr>
            <w:tcW w:w="124" w:type="dxa"/>
            <w:tcBorders/>
            <w:shd w:fill="auto" w:val="clear"/>
            <w:vAlign w:val="center"/>
          </w:tcPr>
          <w:p>
            <w:pPr>
              <w:pStyle w:val="TableContents"/>
              <w:spacing w:before="0" w:after="0"/>
              <w:ind w:left="0" w:right="0" w:hanging="0"/>
              <w:rPr/>
            </w:pPr>
            <w:r>
              <w:rPr/>
              <w:t>​</w:t>
            </w:r>
          </w:p>
        </w:tc>
        <w:tc>
          <w:tcPr>
            <w:tcW w:w="4500" w:type="dxa"/>
            <w:gridSpan w:val="2"/>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094"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 xml:space="preserve">By: </w:t>
            </w:r>
          </w:p>
        </w:tc>
        <w:tc>
          <w:tcPr>
            <w:tcW w:w="340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Steve Brooks</w:t>
            </w:r>
          </w:p>
        </w:tc>
      </w:tr>
      <w:tr>
        <w:trPr/>
        <w:tc>
          <w:tcPr>
            <w:tcW w:w="124" w:type="dxa"/>
            <w:tcBorders/>
            <w:shd w:fill="auto" w:val="clear"/>
            <w:vAlign w:val="center"/>
          </w:tcPr>
          <w:p>
            <w:pPr>
              <w:pStyle w:val="TableContents"/>
              <w:spacing w:before="0" w:after="0"/>
              <w:ind w:left="0" w:right="0" w:hanging="0"/>
              <w:rPr/>
            </w:pPr>
            <w:r>
              <w:rPr/>
              <w:t>​</w:t>
            </w:r>
          </w:p>
        </w:tc>
        <w:tc>
          <w:tcPr>
            <w:tcW w:w="1094"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 xml:space="preserve">Name: </w:t>
            </w:r>
          </w:p>
        </w:tc>
        <w:tc>
          <w:tcPr>
            <w:tcW w:w="340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Steve Brooks</w:t>
            </w:r>
          </w:p>
        </w:tc>
      </w:tr>
      <w:tr>
        <w:trPr/>
        <w:tc>
          <w:tcPr>
            <w:tcW w:w="124" w:type="dxa"/>
            <w:tcBorders/>
            <w:shd w:fill="auto" w:val="clear"/>
            <w:vAlign w:val="center"/>
          </w:tcPr>
          <w:p>
            <w:pPr>
              <w:pStyle w:val="TableContents"/>
              <w:spacing w:before="0" w:after="0"/>
              <w:ind w:left="0" w:right="0" w:hanging="0"/>
              <w:rPr/>
            </w:pPr>
            <w:r>
              <w:rPr/>
              <w:t>​</w:t>
            </w:r>
          </w:p>
        </w:tc>
        <w:tc>
          <w:tcPr>
            <w:tcW w:w="1094"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 xml:space="preserve">Title: </w:t>
            </w:r>
          </w:p>
        </w:tc>
        <w:tc>
          <w:tcPr>
            <w:tcW w:w="340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Member</w:t>
            </w:r>
          </w:p>
        </w:tc>
      </w:tr>
      <w:tr>
        <w:trPr/>
        <w:tc>
          <w:tcPr>
            <w:tcW w:w="124" w:type="dxa"/>
            <w:tcBorders/>
            <w:shd w:fill="auto" w:val="clear"/>
            <w:vAlign w:val="center"/>
          </w:tcPr>
          <w:p>
            <w:pPr>
              <w:pStyle w:val="TableContents"/>
              <w:spacing w:before="0" w:after="0"/>
              <w:ind w:left="0" w:right="0" w:hanging="0"/>
              <w:rPr/>
            </w:pPr>
            <w:r>
              <w:rPr/>
              <w:t>​</w:t>
            </w:r>
          </w:p>
        </w:tc>
        <w:tc>
          <w:tcPr>
            <w:tcW w:w="4500" w:type="dxa"/>
            <w:gridSpan w:val="2"/>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094"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 xml:space="preserve">By: </w:t>
            </w:r>
          </w:p>
        </w:tc>
        <w:tc>
          <w:tcPr>
            <w:tcW w:w="340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John Fritzel</w:t>
            </w:r>
          </w:p>
        </w:tc>
      </w:tr>
      <w:tr>
        <w:trPr/>
        <w:tc>
          <w:tcPr>
            <w:tcW w:w="124" w:type="dxa"/>
            <w:tcBorders/>
            <w:shd w:fill="auto" w:val="clear"/>
            <w:vAlign w:val="center"/>
          </w:tcPr>
          <w:p>
            <w:pPr>
              <w:pStyle w:val="TableContents"/>
              <w:spacing w:before="0" w:after="0"/>
              <w:ind w:left="0" w:right="0" w:hanging="0"/>
              <w:rPr/>
            </w:pPr>
            <w:r>
              <w:rPr/>
              <w:t>​</w:t>
            </w:r>
          </w:p>
        </w:tc>
        <w:tc>
          <w:tcPr>
            <w:tcW w:w="1094"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 xml:space="preserve">Name: </w:t>
            </w:r>
          </w:p>
        </w:tc>
        <w:tc>
          <w:tcPr>
            <w:tcW w:w="340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John Fritzel</w:t>
            </w:r>
          </w:p>
        </w:tc>
      </w:tr>
      <w:tr>
        <w:trPr/>
        <w:tc>
          <w:tcPr>
            <w:tcW w:w="124" w:type="dxa"/>
            <w:tcBorders/>
            <w:shd w:fill="auto" w:val="clear"/>
            <w:vAlign w:val="center"/>
          </w:tcPr>
          <w:p>
            <w:pPr>
              <w:pStyle w:val="TableContents"/>
              <w:spacing w:before="0" w:after="0"/>
              <w:ind w:left="0" w:right="0" w:hanging="0"/>
              <w:rPr/>
            </w:pPr>
            <w:r>
              <w:rPr/>
              <w:t>​</w:t>
            </w:r>
          </w:p>
        </w:tc>
        <w:tc>
          <w:tcPr>
            <w:tcW w:w="1094"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 xml:space="preserve">Title: </w:t>
            </w:r>
          </w:p>
        </w:tc>
        <w:tc>
          <w:tcPr>
            <w:tcW w:w="340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Member</w:t>
            </w:r>
          </w:p>
        </w:tc>
      </w:tr>
    </w:tbl>
    <w:p>
      <w:pPr>
        <w:pStyle w:val="TextBody"/>
        <w:spacing w:before="0" w:after="0"/>
        <w:ind w:left="0" w:right="0" w:hanging="0"/>
        <w:rPr/>
      </w:pPr>
      <w:r>
        <w:rPr/>
        <w:t>​</w:t>
      </w:r>
    </w:p>
    <w:p>
      <w:pPr>
        <w:pStyle w:val="TextBody"/>
        <w:spacing w:before="0" w:after="0"/>
        <w:ind w:left="0" w:right="0" w:hanging="0"/>
        <w:rPr/>
      </w:pPr>
      <w:r>
        <w:rPr/>
        <w:t>​</w:t>
      </w:r>
    </w:p>
    <w:p>
      <w:pPr>
        <w:pStyle w:val="HorizontalLine"/>
        <w:rPr/>
      </w:pPr>
      <w:r>
        <w:rPr/>
      </w:r>
    </w:p>
    <w:p>
      <w:pPr>
        <w:pStyle w:val="TextBody"/>
        <w:spacing w:before="0" w:after="0"/>
        <w:ind w:left="0" w:right="0" w:hanging="0"/>
        <w:rPr/>
      </w:pPr>
      <w:r>
        <w:rPr/>
        <w:t>​</w:t>
      </w:r>
    </w:p>
    <w:tbl>
      <w:tblPr>
        <w:tblW w:w="2600" w:type="dxa"/>
        <w:jc w:val="left"/>
        <w:tblInd w:w="0" w:type="dxa"/>
        <w:tblCellMar>
          <w:top w:w="0" w:type="dxa"/>
          <w:left w:w="0" w:type="dxa"/>
          <w:bottom w:w="0" w:type="dxa"/>
          <w:right w:w="0" w:type="dxa"/>
        </w:tblCellMar>
      </w:tblPr>
      <w:tblGrid>
        <w:gridCol w:w="124"/>
        <w:gridCol w:w="2476"/>
      </w:tblGrid>
      <w:tr>
        <w:trPr/>
        <w:tc>
          <w:tcPr>
            <w:tcW w:w="124" w:type="dxa"/>
            <w:tcBorders/>
            <w:shd w:fill="auto" w:val="clear"/>
            <w:vAlign w:val="center"/>
          </w:tcPr>
          <w:p>
            <w:pPr>
              <w:pStyle w:val="TableContents"/>
              <w:spacing w:before="0" w:after="0"/>
              <w:ind w:left="0" w:right="0" w:hanging="0"/>
              <w:rPr/>
            </w:pPr>
            <w:r>
              <w:rPr/>
              <w:t>​</w:t>
            </w:r>
          </w:p>
        </w:tc>
        <w:tc>
          <w:tcPr>
            <w:tcW w:w="2476" w:type="dxa"/>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EQUITYHOLDERS:</w:t>
            </w:r>
          </w:p>
        </w:tc>
      </w:tr>
      <w:tr>
        <w:trPr/>
        <w:tc>
          <w:tcPr>
            <w:tcW w:w="124" w:type="dxa"/>
            <w:tcBorders/>
            <w:shd w:fill="auto" w:val="clear"/>
            <w:vAlign w:val="center"/>
          </w:tcPr>
          <w:p>
            <w:pPr>
              <w:pStyle w:val="TableContents"/>
              <w:spacing w:before="0" w:after="0"/>
              <w:ind w:left="0" w:right="0" w:hanging="0"/>
              <w:rPr/>
            </w:pPr>
            <w:r>
              <w:rPr/>
              <w:t>​</w:t>
            </w:r>
          </w:p>
        </w:tc>
        <w:tc>
          <w:tcPr>
            <w:tcW w:w="2476"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247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Thomas Van Alsburg</w:t>
            </w:r>
          </w:p>
        </w:tc>
      </w:tr>
      <w:tr>
        <w:trPr/>
        <w:tc>
          <w:tcPr>
            <w:tcW w:w="124" w:type="dxa"/>
            <w:tcBorders/>
            <w:shd w:fill="auto" w:val="clear"/>
            <w:vAlign w:val="center"/>
          </w:tcPr>
          <w:p>
            <w:pPr>
              <w:pStyle w:val="TableContents"/>
              <w:spacing w:before="0" w:after="0"/>
              <w:ind w:left="0" w:right="0" w:hanging="0"/>
              <w:rPr/>
            </w:pPr>
            <w:r>
              <w:rPr/>
              <w:t>​</w:t>
            </w:r>
          </w:p>
        </w:tc>
        <w:tc>
          <w:tcPr>
            <w:tcW w:w="247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Thomas Van Alsburg</w:t>
            </w:r>
          </w:p>
        </w:tc>
      </w:tr>
      <w:tr>
        <w:trPr/>
        <w:tc>
          <w:tcPr>
            <w:tcW w:w="124" w:type="dxa"/>
            <w:tcBorders/>
            <w:shd w:fill="auto" w:val="clear"/>
            <w:vAlign w:val="center"/>
          </w:tcPr>
          <w:p>
            <w:pPr>
              <w:pStyle w:val="TableContents"/>
              <w:spacing w:before="0" w:after="0"/>
              <w:ind w:left="0" w:right="0" w:hanging="0"/>
              <w:rPr/>
            </w:pPr>
            <w:r>
              <w:rPr/>
              <w:t>​</w:t>
            </w:r>
          </w:p>
        </w:tc>
        <w:tc>
          <w:tcPr>
            <w:tcW w:w="2476"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247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Steve Brooks</w:t>
            </w:r>
          </w:p>
        </w:tc>
      </w:tr>
      <w:tr>
        <w:trPr/>
        <w:tc>
          <w:tcPr>
            <w:tcW w:w="124" w:type="dxa"/>
            <w:tcBorders/>
            <w:shd w:fill="auto" w:val="clear"/>
            <w:vAlign w:val="center"/>
          </w:tcPr>
          <w:p>
            <w:pPr>
              <w:pStyle w:val="TableContents"/>
              <w:spacing w:before="0" w:after="0"/>
              <w:ind w:left="0" w:right="0" w:hanging="0"/>
              <w:rPr/>
            </w:pPr>
            <w:r>
              <w:rPr/>
              <w:t>​</w:t>
            </w:r>
          </w:p>
        </w:tc>
        <w:tc>
          <w:tcPr>
            <w:tcW w:w="247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Steve Brooks</w:t>
            </w:r>
          </w:p>
        </w:tc>
      </w:tr>
      <w:tr>
        <w:trPr/>
        <w:tc>
          <w:tcPr>
            <w:tcW w:w="124" w:type="dxa"/>
            <w:tcBorders/>
            <w:shd w:fill="auto" w:val="clear"/>
            <w:vAlign w:val="center"/>
          </w:tcPr>
          <w:p>
            <w:pPr>
              <w:pStyle w:val="TableContents"/>
              <w:spacing w:before="0" w:after="0"/>
              <w:ind w:left="0" w:right="0" w:hanging="0"/>
              <w:rPr/>
            </w:pPr>
            <w:r>
              <w:rPr/>
              <w:t>​</w:t>
            </w:r>
          </w:p>
        </w:tc>
        <w:tc>
          <w:tcPr>
            <w:tcW w:w="2476"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247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John Fritzel</w:t>
            </w:r>
          </w:p>
        </w:tc>
      </w:tr>
      <w:tr>
        <w:trPr/>
        <w:tc>
          <w:tcPr>
            <w:tcW w:w="124" w:type="dxa"/>
            <w:tcBorders/>
            <w:shd w:fill="auto" w:val="clear"/>
            <w:vAlign w:val="center"/>
          </w:tcPr>
          <w:p>
            <w:pPr>
              <w:pStyle w:val="TableContents"/>
              <w:spacing w:before="0" w:after="0"/>
              <w:ind w:left="0" w:right="0" w:hanging="0"/>
              <w:rPr/>
            </w:pPr>
            <w:r>
              <w:rPr/>
              <w:t>​</w:t>
            </w:r>
          </w:p>
        </w:tc>
        <w:tc>
          <w:tcPr>
            <w:tcW w:w="247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John Fritzel</w:t>
            </w:r>
          </w:p>
        </w:tc>
      </w:tr>
    </w:tbl>
    <w:p>
      <w:pPr>
        <w:pStyle w:val="TextBody"/>
        <w:spacing w:before="0" w:after="0"/>
        <w:ind w:left="0" w:right="0" w:hanging="0"/>
        <w:rPr/>
      </w:pPr>
      <w:r>
        <w:rPr/>
        <w:t>​</w:t>
      </w:r>
    </w:p>
    <w:p>
      <w:pPr>
        <w:pStyle w:val="TextBody"/>
        <w:spacing w:before="0" w:after="0"/>
        <w:ind w:left="0" w:right="0" w:hanging="0"/>
        <w:rPr/>
      </w:pPr>
      <w:r>
        <w:rPr/>
        <w:t>​</w:t>
      </w:r>
    </w:p>
    <w:p>
      <w:pPr>
        <w:pStyle w:val="HorizontalLine"/>
        <w:rPr/>
      </w:pPr>
      <w:r>
        <w:rPr/>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Exhibit A</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SCHEDULE 1.1(a)</w:t>
      </w:r>
    </w:p>
    <w:p>
      <w:pPr>
        <w:pStyle w:val="TextBody"/>
        <w:spacing w:before="0" w:after="100"/>
        <w:ind w:left="0" w:right="0" w:hanging="0"/>
        <w:jc w:val="center"/>
        <w:rPr>
          <w:rFonts w:ascii="Times New Roman;Times;serif" w:hAnsi="Times New Roman;Times;serif"/>
          <w:b/>
          <w:sz w:val="24"/>
        </w:rPr>
      </w:pPr>
      <w:r>
        <w:rPr>
          <w:rFonts w:ascii="Times New Roman;Times;serif" w:hAnsi="Times New Roman;Times;serif"/>
          <w:b/>
          <w:sz w:val="24"/>
        </w:rPr>
        <w:t>PURCHASED ASSETS</w:t>
      </w:r>
    </w:p>
    <w:tbl>
      <w:tblPr>
        <w:tblW w:w="2530" w:type="dxa"/>
        <w:jc w:val="left"/>
        <w:tblInd w:w="0" w:type="dxa"/>
        <w:tblCellMar>
          <w:top w:w="0" w:type="dxa"/>
          <w:left w:w="0" w:type="dxa"/>
          <w:bottom w:w="0" w:type="dxa"/>
          <w:right w:w="0" w:type="dxa"/>
        </w:tblCellMar>
      </w:tblPr>
      <w:tblGrid>
        <w:gridCol w:w="290"/>
        <w:gridCol w:w="2240"/>
      </w:tblGrid>
      <w:tr>
        <w:trPr/>
        <w:tc>
          <w:tcPr>
            <w:tcW w:w="290"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 xml:space="preserve">(i) </w:t>
            </w:r>
          </w:p>
        </w:tc>
        <w:tc>
          <w:tcPr>
            <w:tcW w:w="2240"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[Intentionally Omitted.]</w:t>
            </w:r>
          </w:p>
        </w:tc>
      </w:tr>
    </w:tbl>
    <w:tbl>
      <w:tblPr>
        <w:tblW w:w="10205" w:type="dxa"/>
        <w:jc w:val="left"/>
        <w:tblInd w:w="0" w:type="dxa"/>
        <w:tblCellMar>
          <w:top w:w="0" w:type="dxa"/>
          <w:left w:w="0" w:type="dxa"/>
          <w:bottom w:w="0" w:type="dxa"/>
          <w:right w:w="0" w:type="dxa"/>
        </w:tblCellMar>
      </w:tblPr>
      <w:tblGrid>
        <w:gridCol w:w="279"/>
        <w:gridCol w:w="9926"/>
      </w:tblGrid>
      <w:tr>
        <w:trPr/>
        <w:tc>
          <w:tcPr>
            <w:tcW w:w="279"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 xml:space="preserve">(ii) </w:t>
            </w:r>
          </w:p>
        </w:tc>
        <w:tc>
          <w:tcPr>
            <w:tcW w:w="9926"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All inventory (including Marijuana Inventory, supplies, goods in transit, packaging materials and other consumables of the Business, including inventory in transit from or held by suppliers of the Business).</w:t>
            </w:r>
          </w:p>
        </w:tc>
      </w:tr>
    </w:tbl>
    <w:tbl>
      <w:tblPr>
        <w:tblW w:w="7180" w:type="dxa"/>
        <w:jc w:val="left"/>
        <w:tblInd w:w="0" w:type="dxa"/>
        <w:tblCellMar>
          <w:top w:w="0" w:type="dxa"/>
          <w:left w:w="0" w:type="dxa"/>
          <w:bottom w:w="0" w:type="dxa"/>
          <w:right w:w="0" w:type="dxa"/>
        </w:tblCellMar>
      </w:tblPr>
      <w:tblGrid>
        <w:gridCol w:w="410"/>
        <w:gridCol w:w="6770"/>
      </w:tblGrid>
      <w:tr>
        <w:trPr/>
        <w:tc>
          <w:tcPr>
            <w:tcW w:w="410"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 xml:space="preserve">(iii) </w:t>
            </w:r>
          </w:p>
        </w:tc>
        <w:tc>
          <w:tcPr>
            <w:tcW w:w="6770"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The Contracts set forth below, if any, which are related to the Business:</w:t>
            </w:r>
          </w:p>
        </w:tc>
      </w:tr>
    </w:tbl>
    <w:p>
      <w:pPr>
        <w:pStyle w:val="TextBody"/>
        <w:pBdr/>
        <w:spacing w:before="0" w:after="100"/>
        <w:ind w:left="0" w:right="0" w:hanging="0"/>
        <w:jc w:val="both"/>
        <w:rPr>
          <w:rFonts w:ascii="Times New Roman;Times;serif" w:hAnsi="Times New Roman;Times;serif"/>
          <w:sz w:val="24"/>
        </w:rPr>
      </w:pPr>
      <w:r>
        <w:rPr>
          <w:rFonts w:ascii="Times New Roman;Times;serif" w:hAnsi="Times New Roman;Times;serif"/>
          <w:sz w:val="24"/>
        </w:rPr>
        <w:t>None.</w:t>
      </w:r>
    </w:p>
    <w:tbl>
      <w:tblPr>
        <w:tblW w:w="10205" w:type="dxa"/>
        <w:jc w:val="left"/>
        <w:tblInd w:w="0" w:type="dxa"/>
        <w:tblCellMar>
          <w:top w:w="0" w:type="dxa"/>
          <w:left w:w="0" w:type="dxa"/>
          <w:bottom w:w="0" w:type="dxa"/>
          <w:right w:w="0" w:type="dxa"/>
        </w:tblCellMar>
      </w:tblPr>
      <w:tblGrid>
        <w:gridCol w:w="321"/>
        <w:gridCol w:w="9884"/>
      </w:tblGrid>
      <w:tr>
        <w:trPr/>
        <w:tc>
          <w:tcPr>
            <w:tcW w:w="321"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 xml:space="preserve">(iv) </w:t>
            </w:r>
          </w:p>
        </w:tc>
        <w:tc>
          <w:tcPr>
            <w:tcW w:w="9884"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All machinery, equipment, computers, printers, cameras, furniture, furnishings, fixtures, office supplies, vehicles and all other fixed assets and personal property leased by, owned by, or on order to be delivered to Seller, in each case, used or to be used, as applicable, in the Business.</w:t>
            </w:r>
          </w:p>
        </w:tc>
      </w:tr>
    </w:tbl>
    <w:tbl>
      <w:tblPr>
        <w:tblW w:w="10205" w:type="dxa"/>
        <w:jc w:val="left"/>
        <w:tblInd w:w="0" w:type="dxa"/>
        <w:tblCellMar>
          <w:top w:w="0" w:type="dxa"/>
          <w:left w:w="0" w:type="dxa"/>
          <w:bottom w:w="0" w:type="dxa"/>
          <w:right w:w="0" w:type="dxa"/>
        </w:tblCellMar>
      </w:tblPr>
      <w:tblGrid>
        <w:gridCol w:w="321"/>
        <w:gridCol w:w="9884"/>
      </w:tblGrid>
      <w:tr>
        <w:trPr/>
        <w:tc>
          <w:tcPr>
            <w:tcW w:w="321"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 xml:space="preserve">(v) </w:t>
            </w:r>
          </w:p>
        </w:tc>
        <w:tc>
          <w:tcPr>
            <w:tcW w:w="9884"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All deposits and prepaid expenses, including advances, credits and security and other deposits specifically related to the Business.</w:t>
            </w:r>
          </w:p>
        </w:tc>
      </w:tr>
    </w:tbl>
    <w:tbl>
      <w:tblPr>
        <w:tblW w:w="10205" w:type="dxa"/>
        <w:jc w:val="left"/>
        <w:tblInd w:w="0" w:type="dxa"/>
        <w:tblCellMar>
          <w:top w:w="0" w:type="dxa"/>
          <w:left w:w="0" w:type="dxa"/>
          <w:bottom w:w="0" w:type="dxa"/>
          <w:right w:w="0" w:type="dxa"/>
        </w:tblCellMar>
      </w:tblPr>
      <w:tblGrid>
        <w:gridCol w:w="346"/>
        <w:gridCol w:w="9859"/>
      </w:tblGrid>
      <w:tr>
        <w:trPr/>
        <w:tc>
          <w:tcPr>
            <w:tcW w:w="346"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 xml:space="preserve">(vi) </w:t>
            </w:r>
          </w:p>
        </w:tc>
        <w:tc>
          <w:tcPr>
            <w:tcW w:w="9859"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All warranties, representations, letters of credit and guarantees made by suppliers (including data providers), manufacturers and contractors of Seller specifically related to the Business.</w:t>
            </w:r>
          </w:p>
        </w:tc>
      </w:tr>
    </w:tbl>
    <w:tbl>
      <w:tblPr>
        <w:tblW w:w="10205" w:type="dxa"/>
        <w:jc w:val="left"/>
        <w:tblInd w:w="0" w:type="dxa"/>
        <w:tblCellMar>
          <w:top w:w="0" w:type="dxa"/>
          <w:left w:w="0" w:type="dxa"/>
          <w:bottom w:w="0" w:type="dxa"/>
          <w:right w:w="0" w:type="dxa"/>
        </w:tblCellMar>
      </w:tblPr>
      <w:tblGrid>
        <w:gridCol w:w="374"/>
        <w:gridCol w:w="9831"/>
      </w:tblGrid>
      <w:tr>
        <w:trPr/>
        <w:tc>
          <w:tcPr>
            <w:tcW w:w="374"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(vii)</w:t>
            </w:r>
          </w:p>
        </w:tc>
        <w:tc>
          <w:tcPr>
            <w:tcW w:w="9831"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Each Purchased License and, to the extent transferable or assignable, all other Permits issued to or otherwise held by Seller relating to the operation of the Business or any Purchased Asset.</w:t>
            </w:r>
          </w:p>
        </w:tc>
      </w:tr>
    </w:tbl>
    <w:tbl>
      <w:tblPr>
        <w:tblW w:w="10205" w:type="dxa"/>
        <w:jc w:val="left"/>
        <w:tblInd w:w="0" w:type="dxa"/>
        <w:tblCellMar>
          <w:top w:w="0" w:type="dxa"/>
          <w:left w:w="0" w:type="dxa"/>
          <w:bottom w:w="0" w:type="dxa"/>
          <w:right w:w="0" w:type="dxa"/>
        </w:tblCellMar>
      </w:tblPr>
      <w:tblGrid>
        <w:gridCol w:w="405"/>
        <w:gridCol w:w="9800"/>
      </w:tblGrid>
      <w:tr>
        <w:trPr/>
        <w:tc>
          <w:tcPr>
            <w:tcW w:w="405"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(viii)</w:t>
            </w:r>
          </w:p>
        </w:tc>
        <w:tc>
          <w:tcPr>
            <w:tcW w:w="9800"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Except to the extent pertaining exclusively to any Excluded Asset or Excluded Liability, all rights in respect of Legal Proceedings, recoveries, refunds (other than Tax refunds with respect to periods (or portions thereof) ending on or prior to the Closing Date), counterclaims, rights of set-off and other claims (including indemnification Contracts in favor of Seller), whether known or unknown, matured or unmatured, accrued or contingent, that Seller may have against any Person, including claims against any Person for compensation or benefits, insurance claims, claims of infringement or past infringement, in each case related specifically to the Business.</w:t>
            </w:r>
          </w:p>
        </w:tc>
      </w:tr>
    </w:tbl>
    <w:tbl>
      <w:tblPr>
        <w:tblW w:w="10205" w:type="dxa"/>
        <w:jc w:val="left"/>
        <w:tblInd w:w="0" w:type="dxa"/>
        <w:tblCellMar>
          <w:top w:w="0" w:type="dxa"/>
          <w:left w:w="0" w:type="dxa"/>
          <w:bottom w:w="0" w:type="dxa"/>
          <w:right w:w="0" w:type="dxa"/>
        </w:tblCellMar>
      </w:tblPr>
      <w:tblGrid>
        <w:gridCol w:w="289"/>
        <w:gridCol w:w="9916"/>
      </w:tblGrid>
      <w:tr>
        <w:trPr/>
        <w:tc>
          <w:tcPr>
            <w:tcW w:w="289"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 xml:space="preserve">(ix) </w:t>
            </w:r>
          </w:p>
        </w:tc>
        <w:tc>
          <w:tcPr>
            <w:tcW w:w="9916"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All books and records of Seller relating primarily to the Business, including all operating records, data and other materials maintained by the Business, including all sales and sales promotional data, advertising materials, customer lists and records, research and development reports, credit information, cost and pricing information, supplier lists and records, business plans, catalogs, price lists, correspondence, mailing lists, distribution lists, photographs, production data, service and warranty records, engineering records, personnel and payroll records relating to hired employees, manufacturing and quality control records and procedures, blueprints, accounting records, information relating to any Taxes (other than those that relate solely to Excluded Assets or Excluded Liabilities, plans, specifications, surveys, property records, manuals and other materials related to any of the foregoing items.</w:t>
            </w:r>
          </w:p>
        </w:tc>
      </w:tr>
    </w:tbl>
    <w:tbl>
      <w:tblPr>
        <w:tblW w:w="10205" w:type="dxa"/>
        <w:jc w:val="left"/>
        <w:tblInd w:w="0" w:type="dxa"/>
        <w:tblCellMar>
          <w:top w:w="0" w:type="dxa"/>
          <w:left w:w="0" w:type="dxa"/>
          <w:bottom w:w="0" w:type="dxa"/>
          <w:right w:w="0" w:type="dxa"/>
        </w:tblCellMar>
      </w:tblPr>
      <w:tblGrid>
        <w:gridCol w:w="261"/>
        <w:gridCol w:w="9944"/>
      </w:tblGrid>
      <w:tr>
        <w:trPr/>
        <w:tc>
          <w:tcPr>
            <w:tcW w:w="261"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 xml:space="preserve">(x) </w:t>
            </w:r>
          </w:p>
        </w:tc>
        <w:tc>
          <w:tcPr>
            <w:tcW w:w="9944"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All telephone numbers, facsimile numbers and email addresses, and all rights to receive mail and other communications addressed to Seller (except to the extent relating exclusively to any Excluded Asset or Excluded Liability), in each case related specifically to the Business.</w:t>
            </w:r>
          </w:p>
        </w:tc>
      </w:tr>
    </w:tbl>
    <w:tbl>
      <w:tblPr>
        <w:tblW w:w="4660" w:type="dxa"/>
        <w:jc w:val="left"/>
        <w:tblInd w:w="0" w:type="dxa"/>
        <w:tblCellMar>
          <w:top w:w="0" w:type="dxa"/>
          <w:left w:w="0" w:type="dxa"/>
          <w:bottom w:w="0" w:type="dxa"/>
          <w:right w:w="0" w:type="dxa"/>
        </w:tblCellMar>
      </w:tblPr>
      <w:tblGrid>
        <w:gridCol w:w="350"/>
        <w:gridCol w:w="4310"/>
      </w:tblGrid>
      <w:tr>
        <w:trPr/>
        <w:tc>
          <w:tcPr>
            <w:tcW w:w="350"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(xi)</w:t>
            </w:r>
          </w:p>
        </w:tc>
        <w:tc>
          <w:tcPr>
            <w:tcW w:w="4310"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Real Property Lease for the Aurora Location.</w:t>
            </w:r>
          </w:p>
        </w:tc>
      </w:tr>
    </w:tbl>
    <w:tbl>
      <w:tblPr>
        <w:tblW w:w="4420" w:type="dxa"/>
        <w:jc w:val="left"/>
        <w:tblInd w:w="0" w:type="dxa"/>
        <w:tblCellMar>
          <w:top w:w="0" w:type="dxa"/>
          <w:left w:w="0" w:type="dxa"/>
          <w:bottom w:w="0" w:type="dxa"/>
          <w:right w:w="0" w:type="dxa"/>
        </w:tblCellMar>
      </w:tblPr>
      <w:tblGrid>
        <w:gridCol w:w="410"/>
        <w:gridCol w:w="4010"/>
      </w:tblGrid>
      <w:tr>
        <w:trPr/>
        <w:tc>
          <w:tcPr>
            <w:tcW w:w="410"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(xii)</w:t>
            </w:r>
          </w:p>
        </w:tc>
        <w:tc>
          <w:tcPr>
            <w:tcW w:w="4010"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Dunbar cash safes at the Aurora Location.</w:t>
            </w:r>
          </w:p>
        </w:tc>
      </w:tr>
    </w:tbl>
    <w:p>
      <w:pPr>
        <w:pStyle w:val="TextBody"/>
        <w:pBdr/>
        <w:spacing w:before="0" w:after="100"/>
        <w:ind w:left="0" w:right="0" w:hanging="720"/>
        <w:jc w:val="both"/>
        <w:rPr/>
      </w:pPr>
      <w:r>
        <w:rPr/>
        <w:t>​</w:t>
      </w:r>
    </w:p>
    <w:p>
      <w:pPr>
        <w:pStyle w:val="TextBody"/>
        <w:spacing w:before="0" w:after="0"/>
        <w:ind w:left="0" w:right="0" w:hanging="0"/>
        <w:rPr/>
      </w:pPr>
      <w:r>
        <w:rPr/>
        <w:t>​</w:t>
      </w:r>
    </w:p>
    <w:p>
      <w:pPr>
        <w:pStyle w:val="HorizontalLine"/>
        <w:rPr/>
      </w:pPr>
      <w:r>
        <w:rPr/>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Exhibit B</w:t>
      </w:r>
    </w:p>
    <w:p>
      <w:pPr>
        <w:pStyle w:val="TextBody"/>
        <w:spacing w:before="0" w:after="0"/>
        <w:ind w:left="0" w:right="0" w:hanging="0"/>
        <w:jc w:val="both"/>
        <w:rPr/>
      </w:pPr>
      <w:r>
        <w:rPr/>
        <w:t>​</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SCHEDULE 1.1(b)</w:t>
      </w:r>
    </w:p>
    <w:p>
      <w:pPr>
        <w:pStyle w:val="TextBody"/>
        <w:spacing w:before="0" w:after="100"/>
        <w:ind w:left="0" w:right="0" w:hanging="0"/>
        <w:jc w:val="center"/>
        <w:rPr>
          <w:rFonts w:ascii="Times New Roman;Times;serif" w:hAnsi="Times New Roman;Times;serif"/>
          <w:b/>
          <w:sz w:val="24"/>
        </w:rPr>
      </w:pPr>
      <w:r>
        <w:rPr>
          <w:rFonts w:ascii="Times New Roman;Times;serif" w:hAnsi="Times New Roman;Times;serif"/>
          <w:b/>
          <w:sz w:val="24"/>
        </w:rPr>
        <w:t>EXCLUDED ASSETS</w:t>
      </w:r>
    </w:p>
    <w:tbl>
      <w:tblPr>
        <w:tblW w:w="10205" w:type="dxa"/>
        <w:jc w:val="left"/>
        <w:tblInd w:w="0" w:type="dxa"/>
        <w:tblCellMar>
          <w:top w:w="0" w:type="dxa"/>
          <w:left w:w="0" w:type="dxa"/>
          <w:bottom w:w="0" w:type="dxa"/>
          <w:right w:w="0" w:type="dxa"/>
        </w:tblCellMar>
      </w:tblPr>
      <w:tblGrid>
        <w:gridCol w:w="173"/>
        <w:gridCol w:w="10032"/>
      </w:tblGrid>
      <w:tr>
        <w:trPr/>
        <w:tc>
          <w:tcPr>
            <w:tcW w:w="173"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(i)</w:t>
            </w:r>
          </w:p>
        </w:tc>
        <w:tc>
          <w:tcPr>
            <w:tcW w:w="10032"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All records related to Seller’s organization, maintenance, existence and good standing as a corporation, namely Seller’s certificate of formation, operating agreement, qualifications to conduct business as a foreign entity, taxpayer and other identification numbers, minute books and Tax records (provided that Buyer will be entitled to copies of such Tax records that are related to the Business).</w:t>
            </w:r>
          </w:p>
        </w:tc>
      </w:tr>
    </w:tbl>
    <w:p>
      <w:pPr>
        <w:pStyle w:val="TextBody"/>
        <w:spacing w:before="0" w:after="1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 xml:space="preserve">(ii) </w:t>
      </w:r>
      <w:r>
        <w:rPr>
          <w:rFonts w:ascii="Times New Roman;Times;serif" w:hAnsi="Times New Roman;Times;serif"/>
          <w:sz w:val="24"/>
        </w:rPr>
        <w:t>All rights in connection with and assets under all Employee Benefit Plans.</w:t>
      </w:r>
    </w:p>
    <w:tbl>
      <w:tblPr>
        <w:tblW w:w="10205" w:type="dxa"/>
        <w:jc w:val="left"/>
        <w:tblInd w:w="0" w:type="dxa"/>
        <w:tblCellMar>
          <w:top w:w="0" w:type="dxa"/>
          <w:left w:w="0" w:type="dxa"/>
          <w:bottom w:w="0" w:type="dxa"/>
          <w:right w:w="0" w:type="dxa"/>
        </w:tblCellMar>
      </w:tblPr>
      <w:tblGrid>
        <w:gridCol w:w="337"/>
        <w:gridCol w:w="9868"/>
      </w:tblGrid>
      <w:tr>
        <w:trPr/>
        <w:tc>
          <w:tcPr>
            <w:tcW w:w="337"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 xml:space="preserve">(iii) </w:t>
            </w:r>
          </w:p>
        </w:tc>
        <w:tc>
          <w:tcPr>
            <w:tcW w:w="9868"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All insurance policies and prepayments related thereto (but excluding any rights to recovery under such insurance policies except to the extent pertaining exclusively to any Excluded Asset or Excluded Liability).</w:t>
            </w:r>
          </w:p>
        </w:tc>
      </w:tr>
    </w:tbl>
    <w:p>
      <w:pPr>
        <w:pStyle w:val="TextBody"/>
        <w:spacing w:before="0" w:after="1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 xml:space="preserve">(iv) </w:t>
      </w:r>
      <w:r>
        <w:rPr>
          <w:rFonts w:ascii="Times New Roman;Times;serif" w:hAnsi="Times New Roman;Times;serif"/>
          <w:sz w:val="24"/>
        </w:rPr>
        <w:t>Any rights of Seller under this Agreement or any Related Agreement.</w:t>
      </w:r>
    </w:p>
    <w:p>
      <w:pPr>
        <w:pStyle w:val="TextBody"/>
        <w:spacing w:before="0" w:after="1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 xml:space="preserve">(v) </w:t>
      </w:r>
      <w:r>
        <w:rPr>
          <w:rFonts w:ascii="Times New Roman;Times;serif" w:hAnsi="Times New Roman;Times;serif"/>
          <w:sz w:val="24"/>
        </w:rPr>
        <w:t>Cash and cash equivalents, other than Target Cash.</w:t>
      </w:r>
    </w:p>
    <w:p>
      <w:pPr>
        <w:pStyle w:val="TextBody"/>
        <w:spacing w:before="0" w:after="1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 xml:space="preserve">(vi) </w:t>
      </w:r>
      <w:r>
        <w:rPr>
          <w:rFonts w:ascii="Times New Roman;Times;serif" w:hAnsi="Times New Roman;Times;serif"/>
          <w:sz w:val="24"/>
        </w:rPr>
        <w:t>All credit cards, debit cards and similar credit and banking instruments of Seller.</w:t>
      </w:r>
    </w:p>
    <w:tbl>
      <w:tblPr>
        <w:tblW w:w="10205" w:type="dxa"/>
        <w:jc w:val="left"/>
        <w:tblInd w:w="0" w:type="dxa"/>
        <w:tblCellMar>
          <w:top w:w="0" w:type="dxa"/>
          <w:left w:w="0" w:type="dxa"/>
          <w:bottom w:w="0" w:type="dxa"/>
          <w:right w:w="0" w:type="dxa"/>
        </w:tblCellMar>
      </w:tblPr>
      <w:tblGrid>
        <w:gridCol w:w="390"/>
        <w:gridCol w:w="9815"/>
      </w:tblGrid>
      <w:tr>
        <w:trPr/>
        <w:tc>
          <w:tcPr>
            <w:tcW w:w="390"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(vii)</w:t>
            </w:r>
          </w:p>
        </w:tc>
        <w:tc>
          <w:tcPr>
            <w:tcW w:w="9815"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Any Tax refunds or overpayments of Taxes of Seller with respect to periods (or portions thereof) ending on or prior to the Closing Date.</w:t>
            </w:r>
          </w:p>
        </w:tc>
      </w:tr>
    </w:tbl>
    <w:p>
      <w:pPr>
        <w:pStyle w:val="TextBody"/>
        <w:spacing w:before="0" w:after="1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(viii)</w:t>
      </w:r>
      <w:r>
        <w:rPr>
          <w:rFonts w:ascii="Times New Roman;Times;serif" w:hAnsi="Times New Roman;Times;serif"/>
          <w:sz w:val="24"/>
        </w:rPr>
        <w:t>Cell phones and cell phone numbers.</w:t>
      </w:r>
    </w:p>
    <w:tbl>
      <w:tblPr>
        <w:tblW w:w="10205" w:type="dxa"/>
        <w:jc w:val="left"/>
        <w:tblInd w:w="0" w:type="dxa"/>
        <w:tblCellMar>
          <w:top w:w="0" w:type="dxa"/>
          <w:left w:w="0" w:type="dxa"/>
          <w:bottom w:w="0" w:type="dxa"/>
          <w:right w:w="0" w:type="dxa"/>
        </w:tblCellMar>
      </w:tblPr>
      <w:tblGrid>
        <w:gridCol w:w="306"/>
        <w:gridCol w:w="9899"/>
      </w:tblGrid>
      <w:tr>
        <w:trPr/>
        <w:tc>
          <w:tcPr>
            <w:tcW w:w="306"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(ix)</w:t>
            </w:r>
          </w:p>
        </w:tc>
        <w:tc>
          <w:tcPr>
            <w:tcW w:w="9899"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All right, title and interest in and to the use of “Lightshade” and all other trademarks or similar or related names or phrases (and all goodwill relating to the foregoing) and all domain names used in the Business (“Excluded Seller IP”).</w:t>
            </w:r>
          </w:p>
        </w:tc>
      </w:tr>
    </w:tbl>
    <w:p>
      <w:pPr>
        <w:pStyle w:val="TextBody"/>
        <w:spacing w:before="0" w:after="1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(x)</w:t>
      </w:r>
      <w:r>
        <w:rPr>
          <w:rFonts w:ascii="Times New Roman;Times;serif" w:hAnsi="Times New Roman;Times;serif"/>
          <w:sz w:val="24"/>
        </w:rPr>
        <w:t>All other assets and businesses of Seller except for the Business and the Purchased Assets.</w:t>
      </w:r>
    </w:p>
    <w:p>
      <w:pPr>
        <w:pStyle w:val="TextBody"/>
        <w:spacing w:before="0" w:after="1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(xi)</w:t>
      </w:r>
      <w:r>
        <w:rPr>
          <w:rFonts w:ascii="Times New Roman;Times;serif" w:hAnsi="Times New Roman;Times;serif"/>
          <w:sz w:val="24"/>
        </w:rPr>
        <w:t>All Contracts other than the Assigned Contracts (if any).</w:t>
      </w:r>
    </w:p>
    <w:tbl>
      <w:tblPr>
        <w:tblW w:w="10205" w:type="dxa"/>
        <w:jc w:val="left"/>
        <w:tblInd w:w="0" w:type="dxa"/>
        <w:tblCellMar>
          <w:top w:w="0" w:type="dxa"/>
          <w:left w:w="0" w:type="dxa"/>
          <w:bottom w:w="0" w:type="dxa"/>
          <w:right w:w="0" w:type="dxa"/>
        </w:tblCellMar>
      </w:tblPr>
      <w:tblGrid>
        <w:gridCol w:w="382"/>
        <w:gridCol w:w="9823"/>
      </w:tblGrid>
      <w:tr>
        <w:trPr/>
        <w:tc>
          <w:tcPr>
            <w:tcW w:w="382"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(xii)</w:t>
            </w:r>
          </w:p>
        </w:tc>
        <w:tc>
          <w:tcPr>
            <w:tcW w:w="9823"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Two sets of large signage letters displaying “JB” and a mixed-material sign displaying the word “Lightshade” as depicted in photographs provided to Buyer.</w:t>
            </w:r>
          </w:p>
        </w:tc>
      </w:tr>
    </w:tbl>
    <w:p>
      <w:pPr>
        <w:pStyle w:val="TextBody"/>
        <w:spacing w:before="0" w:after="1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 xml:space="preserve">(xiii) </w:t>
      </w:r>
      <w:r>
        <w:rPr>
          <w:rFonts w:ascii="Times New Roman;Times;serif" w:hAnsi="Times New Roman;Times;serif"/>
          <w:sz w:val="24"/>
        </w:rPr>
        <w:t>USCGP Fee Agreement.</w:t>
      </w:r>
    </w:p>
    <w:p>
      <w:pPr>
        <w:pStyle w:val="TextBody"/>
        <w:spacing w:before="0" w:after="100"/>
        <w:ind w:left="0" w:right="0" w:hanging="0"/>
        <w:jc w:val="both"/>
        <w:rPr/>
      </w:pPr>
      <w:r>
        <w:rPr/>
        <w:t>​</w:t>
      </w:r>
    </w:p>
    <w:p>
      <w:pPr>
        <w:pStyle w:val="TextBody"/>
        <w:spacing w:before="0" w:after="0"/>
        <w:ind w:left="0" w:right="0" w:hanging="0"/>
        <w:rPr/>
      </w:pPr>
      <w:r>
        <w:rPr/>
        <w:t>​</w:t>
      </w:r>
    </w:p>
    <w:p>
      <w:pPr>
        <w:pStyle w:val="HorizontalLine"/>
        <w:rPr/>
      </w:pPr>
      <w:r>
        <w:rPr/>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Exhibit C</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SCHEDULE 1.2(b)</w:t>
      </w:r>
    </w:p>
    <w:p>
      <w:pPr>
        <w:pStyle w:val="TextBody"/>
        <w:spacing w:before="0" w:after="100"/>
        <w:ind w:left="0" w:right="0" w:hanging="0"/>
        <w:jc w:val="center"/>
        <w:rPr>
          <w:rFonts w:ascii="Times New Roman;Times;serif" w:hAnsi="Times New Roman;Times;serif"/>
          <w:b/>
          <w:sz w:val="24"/>
        </w:rPr>
      </w:pPr>
      <w:r>
        <w:rPr>
          <w:rFonts w:ascii="Times New Roman;Times;serif" w:hAnsi="Times New Roman;Times;serif"/>
          <w:b/>
          <w:sz w:val="24"/>
        </w:rPr>
        <w:t>EXCLUDED LIABILITIES</w:t>
      </w:r>
    </w:p>
    <w:p>
      <w:pPr>
        <w:pStyle w:val="TextBody"/>
        <w:spacing w:before="0" w:after="1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Any Liability of Seller (including any Indebtedness of Seller).</w:t>
      </w:r>
    </w:p>
    <w:tbl>
      <w:tblPr>
        <w:tblW w:w="10205" w:type="dxa"/>
        <w:jc w:val="left"/>
        <w:tblInd w:w="0" w:type="dxa"/>
        <w:tblCellMar>
          <w:top w:w="0" w:type="dxa"/>
          <w:left w:w="0" w:type="dxa"/>
          <w:bottom w:w="0" w:type="dxa"/>
          <w:right w:w="0" w:type="dxa"/>
        </w:tblCellMar>
      </w:tblPr>
      <w:tblGrid>
        <w:gridCol w:w="249"/>
        <w:gridCol w:w="9956"/>
      </w:tblGrid>
      <w:tr>
        <w:trPr/>
        <w:tc>
          <w:tcPr>
            <w:tcW w:w="249"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 xml:space="preserve">(ii) </w:t>
            </w:r>
          </w:p>
        </w:tc>
        <w:tc>
          <w:tcPr>
            <w:tcW w:w="9956"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Any Liability of any Person, directly or indirectly related to, accruing or arising out of, caused by or resulting from the operation or conduct of the Business or the ownership of the Purchased Assets prior to the Closing, whether or not recorded on the books and records of any Person (including any accounts payable to third parties that remain outstanding as of the Closing).</w:t>
            </w:r>
          </w:p>
        </w:tc>
      </w:tr>
    </w:tbl>
    <w:p>
      <w:pPr>
        <w:pStyle w:val="TextBody"/>
        <w:spacing w:before="0" w:after="1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(iii)</w:t>
      </w:r>
      <w:r>
        <w:rPr>
          <w:rFonts w:ascii="Times New Roman;Times;serif" w:hAnsi="Times New Roman;Times;serif"/>
          <w:sz w:val="24"/>
        </w:rPr>
        <w:t>Any Liability arising under or in any way related to the Employee Benefit Plans.</w:t>
      </w:r>
    </w:p>
    <w:tbl>
      <w:tblPr>
        <w:tblW w:w="10205" w:type="dxa"/>
        <w:jc w:val="left"/>
        <w:tblInd w:w="0" w:type="dxa"/>
        <w:tblCellMar>
          <w:top w:w="0" w:type="dxa"/>
          <w:left w:w="0" w:type="dxa"/>
          <w:bottom w:w="0" w:type="dxa"/>
          <w:right w:w="0" w:type="dxa"/>
        </w:tblCellMar>
      </w:tblPr>
      <w:tblGrid>
        <w:gridCol w:w="308"/>
        <w:gridCol w:w="9897"/>
      </w:tblGrid>
      <w:tr>
        <w:trPr/>
        <w:tc>
          <w:tcPr>
            <w:tcW w:w="308"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(iv)</w:t>
            </w:r>
          </w:p>
        </w:tc>
        <w:tc>
          <w:tcPr>
            <w:tcW w:w="9897"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Any Liability that would become a Liability of Buyer as a matter of Law in connection with this Agreement, agreement executed or delivered in connection herewith, or the transactions contemplated hereby or thereby.</w:t>
            </w:r>
          </w:p>
        </w:tc>
      </w:tr>
    </w:tbl>
    <w:tbl>
      <w:tblPr>
        <w:tblW w:w="10205" w:type="dxa"/>
        <w:jc w:val="left"/>
        <w:tblInd w:w="0" w:type="dxa"/>
        <w:tblCellMar>
          <w:top w:w="0" w:type="dxa"/>
          <w:left w:w="0" w:type="dxa"/>
          <w:bottom w:w="0" w:type="dxa"/>
          <w:right w:w="0" w:type="dxa"/>
        </w:tblCellMar>
      </w:tblPr>
      <w:tblGrid>
        <w:gridCol w:w="237"/>
        <w:gridCol w:w="9968"/>
      </w:tblGrid>
      <w:tr>
        <w:trPr/>
        <w:tc>
          <w:tcPr>
            <w:tcW w:w="237"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(v)</w:t>
            </w:r>
          </w:p>
        </w:tc>
        <w:tc>
          <w:tcPr>
            <w:tcW w:w="9968"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Any Liability in respect of Taxes of Seller (or any successor or Affiliate), or any Liability in respect of any Taxes arising from or relating to the Business or the Purchased Assets or ownership or operation thereof for or accruing or arising at any time in respect of any period (or portion thereof) ending on or prior to the Closing.</w:t>
            </w:r>
          </w:p>
        </w:tc>
      </w:tr>
    </w:tbl>
    <w:tbl>
      <w:tblPr>
        <w:tblW w:w="10205" w:type="dxa"/>
        <w:jc w:val="left"/>
        <w:tblInd w:w="0" w:type="dxa"/>
        <w:tblCellMar>
          <w:top w:w="0" w:type="dxa"/>
          <w:left w:w="0" w:type="dxa"/>
          <w:bottom w:w="0" w:type="dxa"/>
          <w:right w:w="0" w:type="dxa"/>
        </w:tblCellMar>
      </w:tblPr>
      <w:tblGrid>
        <w:gridCol w:w="325"/>
        <w:gridCol w:w="9880"/>
      </w:tblGrid>
      <w:tr>
        <w:trPr/>
        <w:tc>
          <w:tcPr>
            <w:tcW w:w="325"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(vi)</w:t>
            </w:r>
          </w:p>
        </w:tc>
        <w:tc>
          <w:tcPr>
            <w:tcW w:w="9880"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Any Liability directly or indirectly related to, accruing or arising out of, caused by or resulting from the operation or ownership of the Excluded Assets.</w:t>
            </w:r>
          </w:p>
        </w:tc>
      </w:tr>
    </w:tbl>
    <w:tbl>
      <w:tblPr>
        <w:tblW w:w="10205" w:type="dxa"/>
        <w:jc w:val="left"/>
        <w:tblInd w:w="0" w:type="dxa"/>
        <w:tblCellMar>
          <w:top w:w="0" w:type="dxa"/>
          <w:left w:w="0" w:type="dxa"/>
          <w:bottom w:w="0" w:type="dxa"/>
          <w:right w:w="0" w:type="dxa"/>
        </w:tblCellMar>
      </w:tblPr>
      <w:tblGrid>
        <w:gridCol w:w="377"/>
        <w:gridCol w:w="9828"/>
      </w:tblGrid>
      <w:tr>
        <w:trPr/>
        <w:tc>
          <w:tcPr>
            <w:tcW w:w="377"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(vii)</w:t>
            </w:r>
          </w:p>
        </w:tc>
        <w:tc>
          <w:tcPr>
            <w:tcW w:w="9828"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Any Liability relating to the Transferred Employees or any other employees of the Business prior to the Closing, and any accrued but unused vacation of any such employees.</w:t>
            </w:r>
          </w:p>
        </w:tc>
      </w:tr>
    </w:tbl>
    <w:p>
      <w:pPr>
        <w:pStyle w:val="TextBody"/>
        <w:spacing w:before="0" w:after="1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(viii)</w:t>
      </w:r>
      <w:r>
        <w:rPr>
          <w:rFonts w:ascii="Times New Roman;Times;serif" w:hAnsi="Times New Roman;Times;serif"/>
          <w:sz w:val="24"/>
        </w:rPr>
        <w:t>Any Excluded Employees.</w:t>
      </w:r>
    </w:p>
    <w:tbl>
      <w:tblPr>
        <w:tblW w:w="10205" w:type="dxa"/>
        <w:jc w:val="left"/>
        <w:tblInd w:w="0" w:type="dxa"/>
        <w:tblCellMar>
          <w:top w:w="0" w:type="dxa"/>
          <w:left w:w="0" w:type="dxa"/>
          <w:bottom w:w="0" w:type="dxa"/>
          <w:right w:w="0" w:type="dxa"/>
        </w:tblCellMar>
      </w:tblPr>
      <w:tblGrid>
        <w:gridCol w:w="315"/>
        <w:gridCol w:w="9890"/>
      </w:tblGrid>
      <w:tr>
        <w:trPr/>
        <w:tc>
          <w:tcPr>
            <w:tcW w:w="315"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(ix)</w:t>
            </w:r>
          </w:p>
        </w:tc>
        <w:tc>
          <w:tcPr>
            <w:tcW w:w="9890"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Any Liability relating to any breach or default by Seller under any Real Property Lease and any Liability of Seller relating to or arising from any Real Property Lease prior to the Closing.</w:t>
            </w:r>
          </w:p>
        </w:tc>
      </w:tr>
    </w:tbl>
    <w:tbl>
      <w:tblPr>
        <w:tblW w:w="10205" w:type="dxa"/>
        <w:jc w:val="left"/>
        <w:tblInd w:w="0" w:type="dxa"/>
        <w:tblCellMar>
          <w:top w:w="0" w:type="dxa"/>
          <w:left w:w="0" w:type="dxa"/>
          <w:bottom w:w="0" w:type="dxa"/>
          <w:right w:w="0" w:type="dxa"/>
        </w:tblCellMar>
      </w:tblPr>
      <w:tblGrid>
        <w:gridCol w:w="260"/>
        <w:gridCol w:w="9945"/>
      </w:tblGrid>
      <w:tr>
        <w:trPr/>
        <w:tc>
          <w:tcPr>
            <w:tcW w:w="260"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(x)</w:t>
            </w:r>
          </w:p>
        </w:tc>
        <w:tc>
          <w:tcPr>
            <w:tcW w:w="9945"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Any Liability arising from or relating to the USCGP Fee Agreement, including, without limitation, any breach or default by Seller under the USCGP Fee Agreement.</w:t>
            </w:r>
          </w:p>
        </w:tc>
      </w:tr>
    </w:tbl>
    <w:tbl>
      <w:tblPr>
        <w:tblW w:w="9790" w:type="dxa"/>
        <w:jc w:val="left"/>
        <w:tblInd w:w="0" w:type="dxa"/>
        <w:tblCellMar>
          <w:top w:w="0" w:type="dxa"/>
          <w:left w:w="0" w:type="dxa"/>
          <w:bottom w:w="0" w:type="dxa"/>
          <w:right w:w="0" w:type="dxa"/>
        </w:tblCellMar>
      </w:tblPr>
      <w:tblGrid>
        <w:gridCol w:w="350"/>
        <w:gridCol w:w="9440"/>
      </w:tblGrid>
      <w:tr>
        <w:trPr/>
        <w:tc>
          <w:tcPr>
            <w:tcW w:w="350"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(xi)</w:t>
            </w:r>
          </w:p>
        </w:tc>
        <w:tc>
          <w:tcPr>
            <w:tcW w:w="9440"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Any Liability arising from or relating to the USCGP Lien, whether prior to, on, or after the Closing.</w:t>
            </w:r>
          </w:p>
        </w:tc>
      </w:tr>
    </w:tbl>
    <w:p>
      <w:pPr>
        <w:pStyle w:val="HorizontalLine"/>
        <w:rPr/>
      </w:pPr>
      <w:r>
        <w:rPr/>
      </w:r>
      <w:r>
        <w:br w:type="page"/>
      </w:r>
    </w:p>
    <w:p>
      <w:pPr>
        <w:pStyle w:val="TextBody"/>
        <w:spacing w:before="0" w:after="0"/>
        <w:ind w:left="0" w:right="0" w:hanging="0"/>
        <w:jc w:val="right"/>
        <w:rPr>
          <w:rFonts w:ascii="Times New Roman;Times;serif" w:hAnsi="Times New Roman;Times;serif"/>
          <w:b/>
          <w:sz w:val="24"/>
        </w:rPr>
      </w:pPr>
      <w:bookmarkStart w:id="1248" w:name="shwz-20221231xex2d36.htm"/>
      <w:bookmarkStart w:id="1249" w:name="ksshwz20221231xex2d36"/>
      <w:bookmarkEnd w:id="1248"/>
      <w:bookmarkEnd w:id="1249"/>
      <w:r>
        <w:rPr>
          <w:rFonts w:ascii="Times New Roman;Times;serif" w:hAnsi="Times New Roman;Times;serif"/>
          <w:b/>
          <w:sz w:val="24"/>
        </w:rPr>
        <w:t>Exhibit 2.36</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FIRST AMENDMENT TO ASSET PURCHASE AGREEMENT</w:t>
      </w:r>
    </w:p>
    <w:p>
      <w:pPr>
        <w:pStyle w:val="TextBody"/>
        <w:spacing w:before="0" w:after="0"/>
        <w:ind w:left="0" w:right="0" w:hanging="0"/>
        <w:jc w:val="center"/>
        <w:rPr/>
      </w:pPr>
      <w:r>
        <w:rPr/>
        <w: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4"/>
        </w:rPr>
        <w:t>This FIRST AMENDMENT TO THE ASSET PURCHASE AGREEMENT (this “</w:t>
      </w:r>
      <w:r>
        <w:rPr>
          <w:rFonts w:ascii="Times New Roman;Times;serif" w:hAnsi="Times New Roman;Times;serif"/>
          <w:sz w:val="24"/>
          <w:u w:val="single"/>
        </w:rPr>
        <w:t>First Amendment</w:t>
      </w:r>
      <w:r>
        <w:rPr>
          <w:rFonts w:ascii="Times New Roman;Times;serif" w:hAnsi="Times New Roman;Times;serif"/>
          <w:sz w:val="20"/>
        </w:rPr>
        <w:t>”</w:t>
      </w:r>
      <w:r>
        <w:rPr>
          <w:rFonts w:ascii="Times New Roman;Times;serif" w:hAnsi="Times New Roman;Times;serif"/>
          <w:sz w:val="24"/>
        </w:rPr>
        <w:t>) is made and entered into effective as of December 15, 2022, by and among (i) Double Brow, LLC, a Colorado limited liability company (“</w:t>
      </w:r>
      <w:r>
        <w:rPr>
          <w:rFonts w:ascii="Times New Roman;Times;serif" w:hAnsi="Times New Roman;Times;serif"/>
          <w:sz w:val="24"/>
          <w:u w:val="single"/>
        </w:rPr>
        <w:t>Buyer</w:t>
      </w:r>
      <w:r>
        <w:rPr>
          <w:rFonts w:ascii="Times New Roman;Times;serif" w:hAnsi="Times New Roman;Times;serif"/>
          <w:sz w:val="20"/>
        </w:rPr>
        <w:t>”</w:t>
      </w:r>
      <w:r>
        <w:rPr>
          <w:rFonts w:ascii="Times New Roman;Times;serif" w:hAnsi="Times New Roman;Times;serif"/>
          <w:sz w:val="24"/>
        </w:rPr>
        <w:t>), (ii) Medicine Man Technologies, Inc. (d/b/a Schwazze), a Nevada corporation (“</w:t>
      </w:r>
      <w:r>
        <w:rPr>
          <w:rFonts w:ascii="Times New Roman;Times;serif" w:hAnsi="Times New Roman;Times;serif"/>
          <w:sz w:val="24"/>
          <w:u w:val="single"/>
        </w:rPr>
        <w:t>Parent</w:t>
      </w:r>
      <w:r>
        <w:rPr>
          <w:rFonts w:ascii="Times New Roman;Times;serif" w:hAnsi="Times New Roman;Times;serif"/>
          <w:sz w:val="20"/>
        </w:rPr>
        <w:t>”</w:t>
      </w:r>
      <w:r>
        <w:rPr>
          <w:rFonts w:ascii="Times New Roman;Times;serif" w:hAnsi="Times New Roman;Times;serif"/>
          <w:sz w:val="24"/>
        </w:rPr>
        <w:t>), (iii) Lightshade Labs LLC a Colorado limited liability company (“</w:t>
      </w:r>
      <w:r>
        <w:rPr>
          <w:rFonts w:ascii="Times New Roman;Times;serif" w:hAnsi="Times New Roman;Times;serif"/>
          <w:sz w:val="24"/>
          <w:u w:val="single"/>
        </w:rPr>
        <w:t>Seller</w:t>
      </w:r>
      <w:r>
        <w:rPr>
          <w:rFonts w:ascii="Times New Roman;Times;serif" w:hAnsi="Times New Roman;Times;serif"/>
          <w:sz w:val="20"/>
        </w:rPr>
        <w:t>”</w:t>
      </w:r>
      <w:r>
        <w:rPr>
          <w:rFonts w:ascii="Times New Roman;Times;serif" w:hAnsi="Times New Roman;Times;serif"/>
          <w:sz w:val="24"/>
        </w:rPr>
        <w:t>), (iv) Thomas Van Alsburg, an individual (“</w:t>
      </w:r>
      <w:r>
        <w:rPr>
          <w:rFonts w:ascii="Times New Roman;Times;serif" w:hAnsi="Times New Roman;Times;serif"/>
          <w:sz w:val="24"/>
          <w:u w:val="single"/>
        </w:rPr>
        <w:t>Van Alsburg</w:t>
      </w:r>
      <w:r>
        <w:rPr>
          <w:rFonts w:ascii="Times New Roman;Times;serif" w:hAnsi="Times New Roman;Times;serif"/>
          <w:sz w:val="20"/>
        </w:rPr>
        <w:t>”</w:t>
      </w:r>
      <w:r>
        <w:rPr>
          <w:rFonts w:ascii="Times New Roman;Times;serif" w:hAnsi="Times New Roman;Times;serif"/>
          <w:sz w:val="24"/>
        </w:rPr>
        <w:t>), (v) Steve Brooks, an individual (“</w:t>
      </w:r>
      <w:r>
        <w:rPr>
          <w:rFonts w:ascii="Times New Roman;Times;serif" w:hAnsi="Times New Roman;Times;serif"/>
          <w:sz w:val="24"/>
          <w:u w:val="single"/>
        </w:rPr>
        <w:t>Brooks</w:t>
      </w:r>
      <w:r>
        <w:rPr>
          <w:rFonts w:ascii="Times New Roman;Times;serif" w:hAnsi="Times New Roman;Times;serif"/>
          <w:sz w:val="24"/>
        </w:rPr>
        <w:t>,”), (vi) John Fritzel, an individual (“</w:t>
      </w:r>
      <w:r>
        <w:rPr>
          <w:rFonts w:ascii="Times New Roman;Times;serif" w:hAnsi="Times New Roman;Times;serif"/>
          <w:sz w:val="24"/>
          <w:u w:val="single"/>
        </w:rPr>
        <w:t>Fritzel</w:t>
      </w:r>
      <w:r>
        <w:rPr>
          <w:rFonts w:ascii="Times New Roman;Times;serif" w:hAnsi="Times New Roman;Times;serif"/>
          <w:sz w:val="20"/>
        </w:rPr>
        <w:t xml:space="preserve">” </w:t>
      </w:r>
      <w:r>
        <w:rPr>
          <w:rFonts w:ascii="Times New Roman;Times;serif" w:hAnsi="Times New Roman;Times;serif"/>
          <w:sz w:val="24"/>
        </w:rPr>
        <w:t>and collectively with Van Alsburg and Brooks, “</w:t>
      </w:r>
      <w:r>
        <w:rPr>
          <w:rFonts w:ascii="Times New Roman;Times;serif" w:hAnsi="Times New Roman;Times;serif"/>
          <w:sz w:val="24"/>
          <w:u w:val="single"/>
        </w:rPr>
        <w:t>Equityholders</w:t>
      </w:r>
      <w:r>
        <w:rPr>
          <w:rFonts w:ascii="Times New Roman;Times;serif" w:hAnsi="Times New Roman;Times;serif"/>
          <w:sz w:val="20"/>
        </w:rPr>
        <w:t>”</w:t>
      </w:r>
      <w:r>
        <w:rPr>
          <w:rFonts w:ascii="Times New Roman;Times;serif" w:hAnsi="Times New Roman;Times;serif"/>
          <w:sz w:val="24"/>
        </w:rPr>
        <w:t>). Buyer, Seller and Equityholders are sometimes referred to herein as the “</w:t>
      </w:r>
      <w:r>
        <w:rPr>
          <w:rFonts w:ascii="Times New Roman;Times;serif" w:hAnsi="Times New Roman;Times;serif"/>
          <w:sz w:val="24"/>
          <w:u w:val="single"/>
        </w:rPr>
        <w:t>Parties</w:t>
      </w:r>
      <w:r>
        <w:rPr>
          <w:rFonts w:ascii="Times New Roman;Times;serif" w:hAnsi="Times New Roman;Times;serif"/>
          <w:sz w:val="20"/>
        </w:rPr>
        <w:t xml:space="preserve">” </w:t>
      </w:r>
      <w:r>
        <w:rPr>
          <w:rFonts w:ascii="Times New Roman;Times;serif" w:hAnsi="Times New Roman;Times;serif"/>
          <w:sz w:val="24"/>
        </w:rPr>
        <w:t>and each, a “</w:t>
      </w:r>
      <w:r>
        <w:rPr>
          <w:rFonts w:ascii="Times New Roman;Times;serif" w:hAnsi="Times New Roman;Times;serif"/>
          <w:sz w:val="24"/>
          <w:u w:val="single"/>
        </w:rPr>
        <w:t>Party</w:t>
      </w:r>
      <w:r>
        <w:rPr>
          <w:rFonts w:ascii="Times New Roman;Times;serif" w:hAnsi="Times New Roman;Times;serif"/>
          <w:sz w:val="24"/>
        </w:rPr>
        <w:t>.”</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4"/>
          <w:u w:val="single"/>
        </w:rPr>
        <w:t>RECITALS</w:t>
      </w:r>
      <w:r>
        <w:rPr>
          <w:rFonts w:ascii="Times New Roman;Times;serif" w:hAnsi="Times New Roman;Times;serif"/>
          <w:sz w:val="24"/>
        </w:rPr>
        <w:t>:</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The Parties executed that certain Asset Purchase Agreement effective as of September 9, 2022 (the “</w:t>
      </w:r>
      <w:r>
        <w:rPr>
          <w:rFonts w:ascii="Times New Roman;Times;serif" w:hAnsi="Times New Roman;Times;serif"/>
          <w:sz w:val="24"/>
          <w:u w:val="single"/>
        </w:rPr>
        <w:t>Purchase Agreement</w:t>
      </w:r>
      <w:r>
        <w:rPr>
          <w:rFonts w:ascii="Times New Roman;Times;serif" w:hAnsi="Times New Roman;Times;serif"/>
          <w:sz w:val="20"/>
        </w:rPr>
        <w:t>”</w:t>
      </w:r>
      <w:r>
        <w:rPr>
          <w:rFonts w:ascii="Times New Roman;Times;serif" w:hAnsi="Times New Roman;Times;serif"/>
          <w:sz w:val="24"/>
        </w:rPr>
        <w:t>) regarding the sale of certain assets of Seller from its Denver location, as more particularly described in the Purchase Agreement.</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The Parties have now agreed to amend the Purchase Agreement in accordance with the terms and conditions contained herein.</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4"/>
          <w:u w:val="single"/>
        </w:rPr>
        <w:t>AGREEMENT</w:t>
      </w:r>
      <w:r>
        <w:rPr>
          <w:rFonts w:ascii="Times New Roman;Times;serif" w:hAnsi="Times New Roman;Times;serif"/>
          <w:sz w:val="24"/>
        </w:rPr>
        <w:t>:</w:t>
      </w:r>
    </w:p>
    <w:p>
      <w:pPr>
        <w:pStyle w:val="TextBody"/>
        <w:spacing w:before="0" w:after="240"/>
        <w:ind w:left="0" w:right="0" w:firstLine="720"/>
        <w:jc w:val="both"/>
        <w:rPr>
          <w:rFonts w:ascii="Times New Roman;Times;serif" w:hAnsi="Times New Roman;Times;serif"/>
          <w:sz w:val="24"/>
        </w:rPr>
      </w:pPr>
      <w:r>
        <w:rPr>
          <w:rFonts w:ascii="Times New Roman;Times;serif" w:hAnsi="Times New Roman;Times;serif"/>
          <w:sz w:val="24"/>
        </w:rPr>
        <w:t>NOW THEREFORE in consideration of the mutual covenants and benefits set forth herein, the sufficiency and adequacy of which are hereby mutually acknowledged and accepted, and with the intent to be legally bound hereby, the Parties hereby agree to amend the Purchase Agreement as follows:</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w:t>
      </w:r>
      <w:r>
        <w:rPr>
          <w:rFonts w:ascii="Times New Roman;Times;serif" w:hAnsi="Times New Roman;Times;serif"/>
          <w:sz w:val="24"/>
          <w:u w:val="single"/>
        </w:rPr>
        <w:t>Purchased Assets</w:t>
      </w:r>
      <w:r>
        <w:rPr>
          <w:rFonts w:ascii="Times New Roman;Times;serif" w:hAnsi="Times New Roman;Times;serif"/>
          <w:sz w:val="24"/>
        </w:rPr>
        <w:t>. Schedule 1.1(a) - Purchased Assets - will be amended and restated in its entirety as set forth on Exhibit A hereto, adding “Dunbar cash safes at the Denver location” to the list of Purchased Assets.</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2.</w:t>
      </w:r>
      <w:r>
        <w:rPr>
          <w:rFonts w:ascii="Times New Roman;Times;serif" w:hAnsi="Times New Roman;Times;serif"/>
          <w:sz w:val="24"/>
          <w:u w:val="single"/>
        </w:rPr>
        <w:t>Excluded Assets</w:t>
      </w:r>
      <w:r>
        <w:rPr>
          <w:rFonts w:ascii="Times New Roman;Times;serif" w:hAnsi="Times New Roman;Times;serif"/>
          <w:sz w:val="24"/>
        </w:rPr>
        <w:t>. Schedule 1.1(b) - Excluded Assets - will be amended and restated in its entirety as set forth on Exhibit B hereto, (a) removing “Dunbar cash safes at the Denver location” from the list of Excluded Assets, and (b) adding “USCGP Fee Agreement” to the list of Excluded Assets.</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3.</w:t>
      </w:r>
      <w:r>
        <w:rPr>
          <w:rFonts w:ascii="Times New Roman;Times;serif" w:hAnsi="Times New Roman;Times;serif"/>
          <w:sz w:val="24"/>
          <w:u w:val="single"/>
        </w:rPr>
        <w:t>Excluded Liabilities</w:t>
      </w:r>
      <w:r>
        <w:rPr>
          <w:rFonts w:ascii="Times New Roman;Times;serif" w:hAnsi="Times New Roman;Times;serif"/>
          <w:sz w:val="24"/>
        </w:rPr>
        <w:t>. Schedule 1.2(b) - Excluded Liabilities - will be amended and restated in its entirety as set forth on Exhibit C hereto, by adding each of the following to the list of Excluded Liabilities: (a) “Any Liability arising from or relating to the USCGP Fee Agreement, including, without limitation, any breach or default by Seller under the USCGP Fee Agreement.”, and (b) “Any Liability arising from or relating to the USCGP Lien, whether prior to, on, or after the Closing.”.</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4.</w:t>
      </w:r>
      <w:r>
        <w:rPr>
          <w:rFonts w:ascii="Times New Roman;Times;serif" w:hAnsi="Times New Roman;Times;serif"/>
          <w:sz w:val="24"/>
          <w:u w:val="single"/>
        </w:rPr>
        <w:t>Representations and Warranties of Seller and Equityholders</w:t>
      </w:r>
      <w:r>
        <w:rPr>
          <w:rFonts w:ascii="Times New Roman;Times;serif" w:hAnsi="Times New Roman;Times;serif"/>
          <w:sz w:val="24"/>
        </w:rPr>
        <w:t>.</w:t>
      </w:r>
    </w:p>
    <w:p>
      <w:pPr>
        <w:pStyle w:val="TextBody"/>
        <w:spacing w:before="0" w:after="240"/>
        <w:ind w:left="1440" w:right="0" w:hanging="0"/>
        <w:jc w:val="both"/>
        <w:rPr>
          <w:rFonts w:ascii="Times New Roman;Times;serif" w:hAnsi="Times New Roman;Times;serif"/>
          <w:sz w:val="24"/>
        </w:rPr>
      </w:pPr>
      <w:r>
        <w:rPr>
          <w:rFonts w:ascii="Times New Roman;Times;serif" w:hAnsi="Times New Roman;Times;serif"/>
          <w:sz w:val="24"/>
        </w:rPr>
        <w:t>Section 3 is amended to add a new subsection 3(aa) as follows:</w:t>
      </w:r>
    </w:p>
    <w:p>
      <w:pPr>
        <w:pStyle w:val="TextBody"/>
        <w:spacing w:before="0" w:after="240"/>
        <w:ind w:left="1440" w:right="0" w:hanging="0"/>
        <w:jc w:val="both"/>
        <w:rPr/>
      </w:pPr>
      <w:r>
        <w:rPr/>
        <w:t>“</w:t>
      </w:r>
      <w:r>
        <w:rPr>
          <w:rFonts w:ascii="Times New Roman;Times;serif" w:hAnsi="Times New Roman;Times;serif"/>
          <w:sz w:val="24"/>
        </w:rPr>
        <w:t xml:space="preserve">(aa) </w:t>
      </w:r>
      <w:r>
        <w:rPr>
          <w:rFonts w:ascii="Times New Roman;Times;serif" w:hAnsi="Times New Roman;Times;serif"/>
          <w:sz w:val="24"/>
          <w:u w:val="single"/>
        </w:rPr>
        <w:t>USCGP Representations</w:t>
      </w:r>
      <w:r>
        <w:rPr>
          <w:rFonts w:ascii="Times New Roman;Times;serif" w:hAnsi="Times New Roman;Times;serif"/>
          <w:sz w:val="24"/>
        </w:rPr>
        <w:t>. Seller does not owe any fees, liquidated damages, costs or other expenses pursuant to the USCGP Fee Agreement. Seller is not in default or alleged to be in default under any of the terms, covenants, or conditions of the USCGP Fee Agreement and no event has occurred which with the passage of time or the giving of notice, or both, would constitute a default by Seller under USCGP Fee Agreement</w:t>
      </w:r>
    </w:p>
    <w:p>
      <w:pPr>
        <w:pStyle w:val="TextBody"/>
        <w:spacing w:before="0" w:after="0"/>
        <w:ind w:left="0" w:right="0" w:hanging="0"/>
        <w:rPr/>
      </w:pPr>
      <w:r>
        <w:rPr/>
        <w:t>​</w:t>
      </w:r>
    </w:p>
    <w:p>
      <w:pPr>
        <w:pStyle w:val="HorizontalLine"/>
        <w:rPr/>
      </w:pPr>
      <w:r>
        <w:rPr/>
      </w:r>
    </w:p>
    <w:p>
      <w:pPr>
        <w:pStyle w:val="TextBody"/>
        <w:spacing w:before="0" w:after="240"/>
        <w:ind w:left="1440" w:right="0" w:hanging="0"/>
        <w:jc w:val="both"/>
        <w:rPr>
          <w:rFonts w:ascii="Times New Roman;Times;serif" w:hAnsi="Times New Roman;Times;serif"/>
          <w:sz w:val="24"/>
        </w:rPr>
      </w:pPr>
      <w:r>
        <w:rPr>
          <w:rFonts w:ascii="Times New Roman;Times;serif" w:hAnsi="Times New Roman;Times;serif"/>
          <w:sz w:val="24"/>
        </w:rPr>
        <w:t>(including, without limitation, Section 7 of such agreement). The USCGP Fee Agreement provided to Buyer is a true, complete and correct copy of such agreement.”</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5.</w:t>
      </w:r>
      <w:r>
        <w:rPr>
          <w:rFonts w:ascii="Times New Roman;Times;serif" w:hAnsi="Times New Roman;Times;serif"/>
          <w:sz w:val="24"/>
          <w:u w:val="single"/>
        </w:rPr>
        <w:t>USCGP Covenants</w:t>
      </w:r>
      <w:r>
        <w:rPr>
          <w:rFonts w:ascii="Times New Roman;Times;serif" w:hAnsi="Times New Roman;Times;serif"/>
          <w:sz w:val="24"/>
        </w:rPr>
        <w:t>.</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Section 5.2 is amended to add a new subsection (e) as follows:</w:t>
      </w:r>
    </w:p>
    <w:p>
      <w:pPr>
        <w:pStyle w:val="TextBody"/>
        <w:spacing w:before="0" w:after="240"/>
        <w:ind w:left="1440" w:right="0" w:hanging="0"/>
        <w:jc w:val="both"/>
        <w:rPr/>
      </w:pPr>
      <w:r>
        <w:rPr/>
        <w:t>“</w:t>
      </w:r>
      <w:r>
        <w:rPr>
          <w:rFonts w:ascii="Times New Roman;Times;serif" w:hAnsi="Times New Roman;Times;serif"/>
          <w:sz w:val="24"/>
        </w:rPr>
        <w:t xml:space="preserve">(e) </w:t>
      </w:r>
      <w:r>
        <w:rPr>
          <w:rFonts w:ascii="Times New Roman;Times;serif" w:hAnsi="Times New Roman;Times;serif"/>
          <w:sz w:val="24"/>
          <w:u w:val="single"/>
        </w:rPr>
        <w:t>Termination of USCGP Fee Agreement</w:t>
      </w:r>
      <w:r>
        <w:rPr>
          <w:rFonts w:ascii="Times New Roman;Times;serif" w:hAnsi="Times New Roman;Times;serif"/>
          <w:sz w:val="24"/>
        </w:rPr>
        <w:t>. After the Closing, Seller and the Equityholders will use their commercially reasonable best efforts to seek a termination of the USCGP Fee Agreement, including a termination of the USCGP Lien and will regularly update Buyer regarding the progress thereof. In the event Seller and the Equityholders cannot obtain a full termination of the USCGP Fee Agreement and the USCGP Lien, Seller and the Equityholders will use their commercially reasonable best efforts to seek a partial release of the USCGP Lien with respect to the Purchased Assets.”</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Article V is amended to add a new Section 5.6 as follows:</w:t>
      </w:r>
    </w:p>
    <w:p>
      <w:pPr>
        <w:pStyle w:val="TextBody"/>
        <w:spacing w:before="0" w:after="240"/>
        <w:ind w:left="1440" w:right="0" w:hanging="0"/>
        <w:jc w:val="both"/>
        <w:rPr/>
      </w:pPr>
      <w:r>
        <w:rPr/>
        <w:t>“</w:t>
      </w:r>
      <w:r>
        <w:rPr>
          <w:rFonts w:ascii="Times New Roman;Times;serif" w:hAnsi="Times New Roman;Times;serif"/>
          <w:sz w:val="24"/>
        </w:rPr>
        <w:t xml:space="preserve">5.6 </w:t>
      </w:r>
      <w:r>
        <w:rPr>
          <w:rFonts w:ascii="Times New Roman;Times;serif" w:hAnsi="Times New Roman;Times;serif"/>
          <w:sz w:val="24"/>
          <w:u w:val="single"/>
        </w:rPr>
        <w:t>USCGP Fee Agreement Obligations; Reimbursement of Buyer Costs</w:t>
      </w:r>
      <w:r>
        <w:rPr>
          <w:rFonts w:ascii="Times New Roman;Times;serif" w:hAnsi="Times New Roman;Times;serif"/>
          <w:sz w:val="24"/>
        </w:rPr>
        <w:t>. From and after the date of this Agreement until the termination or expiration of the USCGP Fee Agreement and payment in full of all amounts due and owing thereunder, Seller agrees that it shall pay all Obligations (as defined in the USCGP Fee Agreement), if any, immediately as they become due under the terms of the USCGP Fee Agreement. In addition, Seller agrees to promptly reimburse Buyer for all costs and expenses reasonably incurred by Buyer related to Buyer’s assumption of assets subject to the USCGP Lien, including, without limitation, reasonable attorneys’ fees incurred in connection with negotiating, amending or restating Buyer’s existing credit facilities and any loan agreements or other documents related thereto and in connection with obtaining any necessary consents or waivers.”</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6.</w:t>
      </w:r>
      <w:r>
        <w:rPr>
          <w:rFonts w:ascii="Times New Roman;Times;serif" w:hAnsi="Times New Roman;Times;serif"/>
          <w:sz w:val="24"/>
          <w:u w:val="single"/>
        </w:rPr>
        <w:t>Definitions</w:t>
      </w:r>
      <w:r>
        <w:rPr>
          <w:rFonts w:ascii="Times New Roman;Times;serif" w:hAnsi="Times New Roman;Times;serif"/>
          <w:sz w:val="24"/>
        </w:rPr>
        <w:t>. Exhibit A of the Purchase Agreement is amended by adding the following definitions:</w:t>
      </w:r>
    </w:p>
    <w:p>
      <w:pPr>
        <w:pStyle w:val="TextBody"/>
        <w:spacing w:before="0" w:after="240"/>
        <w:ind w:left="720" w:right="0" w:hanging="0"/>
        <w:jc w:val="both"/>
        <w:rPr/>
      </w:pPr>
      <w:r>
        <w:rPr/>
        <w:t>“</w:t>
      </w:r>
      <w:r>
        <w:rPr>
          <w:rFonts w:ascii="Times New Roman;Times;serif" w:hAnsi="Times New Roman;Times;serif"/>
          <w:sz w:val="24"/>
          <w:u w:val="single"/>
        </w:rPr>
        <w:t>USCGP Fee Agreement</w:t>
      </w:r>
      <w:r>
        <w:rPr>
          <w:rFonts w:ascii="Times New Roman;Times;serif" w:hAnsi="Times New Roman;Times;serif"/>
          <w:sz w:val="20"/>
        </w:rPr>
        <w:t xml:space="preserve">” </w:t>
      </w:r>
      <w:r>
        <w:rPr>
          <w:rFonts w:ascii="Times New Roman;Times;serif" w:hAnsi="Times New Roman;Times;serif"/>
          <w:sz w:val="24"/>
        </w:rPr>
        <w:t>means that certain Fee Agreement, dated March 5, 2021, by and between US Capital Global Partners LLC (“</w:t>
      </w:r>
      <w:r>
        <w:rPr>
          <w:rFonts w:ascii="Times New Roman;Times;serif" w:hAnsi="Times New Roman;Times;serif"/>
          <w:sz w:val="24"/>
          <w:u w:val="single"/>
        </w:rPr>
        <w:t>USCGP</w:t>
      </w:r>
      <w:r>
        <w:rPr>
          <w:rFonts w:ascii="Times New Roman;Times;serif" w:hAnsi="Times New Roman;Times;serif"/>
          <w:sz w:val="20"/>
        </w:rPr>
        <w:t>”</w:t>
      </w:r>
      <w:r>
        <w:rPr>
          <w:rFonts w:ascii="Times New Roman;Times;serif" w:hAnsi="Times New Roman;Times;serif"/>
          <w:sz w:val="24"/>
        </w:rPr>
        <w:t>), Seller, JST Holdings, LLC (“</w:t>
      </w:r>
      <w:r>
        <w:rPr>
          <w:rFonts w:ascii="Times New Roman;Times;serif" w:hAnsi="Times New Roman;Times;serif"/>
          <w:sz w:val="24"/>
          <w:u w:val="single"/>
        </w:rPr>
        <w:t>JST</w:t>
      </w:r>
      <w:r>
        <w:rPr>
          <w:rFonts w:ascii="Times New Roman;Times;serif" w:hAnsi="Times New Roman;Times;serif"/>
          <w:sz w:val="20"/>
        </w:rPr>
        <w:t>”</w:t>
      </w:r>
      <w:r>
        <w:rPr>
          <w:rFonts w:ascii="Times New Roman;Times;serif" w:hAnsi="Times New Roman;Times;serif"/>
          <w:sz w:val="24"/>
        </w:rPr>
        <w:t>), and Colorado Farms (“</w:t>
      </w:r>
      <w:r>
        <w:rPr>
          <w:rFonts w:ascii="Times New Roman;Times;serif" w:hAnsi="Times New Roman;Times;serif"/>
          <w:sz w:val="24"/>
          <w:u w:val="single"/>
        </w:rPr>
        <w:t>Colorado Farms</w:t>
      </w:r>
      <w:r>
        <w:rPr>
          <w:rFonts w:ascii="Times New Roman;Times;serif" w:hAnsi="Times New Roman;Times;serif"/>
          <w:sz w:val="20"/>
        </w:rPr>
        <w:t>”</w:t>
      </w:r>
      <w:r>
        <w:rPr>
          <w:rFonts w:ascii="Times New Roman;Times;serif" w:hAnsi="Times New Roman;Times;serif"/>
          <w:sz w:val="24"/>
        </w:rPr>
        <w:t>).</w:t>
      </w:r>
    </w:p>
    <w:p>
      <w:pPr>
        <w:pStyle w:val="TextBody"/>
        <w:spacing w:before="0" w:after="240"/>
        <w:ind w:left="720" w:right="0" w:hanging="0"/>
        <w:jc w:val="both"/>
        <w:rPr/>
      </w:pPr>
      <w:r>
        <w:rPr/>
        <w:t>“</w:t>
      </w:r>
      <w:r>
        <w:rPr>
          <w:rFonts w:ascii="Times New Roman;Times;serif" w:hAnsi="Times New Roman;Times;serif"/>
          <w:sz w:val="24"/>
          <w:u w:val="single"/>
        </w:rPr>
        <w:t>USCGP Lien</w:t>
      </w:r>
      <w:r>
        <w:rPr>
          <w:rFonts w:ascii="Times New Roman;Times;serif" w:hAnsi="Times New Roman;Times;serif"/>
          <w:sz w:val="20"/>
        </w:rPr>
        <w:t xml:space="preserve">” </w:t>
      </w:r>
      <w:r>
        <w:rPr>
          <w:rFonts w:ascii="Times New Roman;Times;serif" w:hAnsi="Times New Roman;Times;serif"/>
          <w:sz w:val="24"/>
        </w:rPr>
        <w:t>means that certain security interest in certain assets of Seller, JST, and Colorado Farms, including certain of the Purchased Assets, granted to USCGP pursuant to the USCGP Fee Agreement to secure certain obligations of Seller, JST, and Colorado Farms thereunder, as further described therein.</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7.</w:t>
      </w:r>
      <w:r>
        <w:rPr>
          <w:rFonts w:ascii="Times New Roman;Times;serif" w:hAnsi="Times New Roman;Times;serif"/>
          <w:sz w:val="24"/>
          <w:u w:val="single"/>
        </w:rPr>
        <w:t>Purchase Agreement</w:t>
      </w:r>
      <w:r>
        <w:rPr>
          <w:rFonts w:ascii="Times New Roman;Times;serif" w:hAnsi="Times New Roman;Times;serif"/>
          <w:sz w:val="24"/>
        </w:rPr>
        <w:t>. Except as explicitly set forth herein, all other terms and provisions of the Purchase Agreement remain in full force and effect.</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w:t>
      </w:r>
      <w:r>
        <w:rPr>
          <w:rFonts w:ascii="Times New Roman;Times;serif" w:hAnsi="Times New Roman;Times;serif"/>
          <w:sz w:val="24"/>
          <w:u w:val="single"/>
        </w:rPr>
        <w:t>Counterparts</w:t>
      </w:r>
      <w:r>
        <w:rPr>
          <w:rFonts w:ascii="Times New Roman;Times;serif" w:hAnsi="Times New Roman;Times;serif"/>
          <w:sz w:val="24"/>
        </w:rPr>
        <w:t>. This First Amendment may be executed in one or more counterparts, all of which shall constitute and be deemed an original, but all of which together shall constitute one and the same instrument binding on the Parties. This First Amendment may be executed in telecopy (faxed) or e-mail (.PDF) copies and facsimile or e-mail (.PDF) signatures shall be binding upon the parties.</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4"/>
        </w:rPr>
        <w:t>[</w:t>
      </w:r>
      <w:r>
        <w:rPr>
          <w:rFonts w:ascii="Times New Roman;Times;serif" w:hAnsi="Times New Roman;Times;serif"/>
          <w:i/>
          <w:sz w:val="24"/>
        </w:rPr>
        <w:t>Signature page follows</w:t>
      </w:r>
      <w:r>
        <w:rPr>
          <w:rFonts w:ascii="Times New Roman;Times;serif" w:hAnsi="Times New Roman;Times;serif"/>
          <w:sz w:val="24"/>
        </w:rPr>
        <w:t>]</w:t>
      </w:r>
    </w:p>
    <w:p>
      <w:pPr>
        <w:pStyle w:val="TextBody"/>
        <w:spacing w:before="0" w:after="0"/>
        <w:ind w:left="0" w:right="0" w:hanging="0"/>
        <w:rPr/>
      </w:pPr>
      <w:r>
        <w:rPr/>
        <w:t>​</w:t>
      </w:r>
    </w:p>
    <w:p>
      <w:pPr>
        <w:pStyle w:val="HorizontalLine"/>
        <w:rPr/>
      </w:pPr>
      <w:r>
        <w:rPr/>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4"/>
        </w:rPr>
      </w:pPr>
      <w:r>
        <w:rPr>
          <w:rFonts w:ascii="Times New Roman;Times;serif" w:hAnsi="Times New Roman;Times;serif"/>
          <w:sz w:val="24"/>
        </w:rPr>
        <w:t>THIS FIRST AMENDMENT shall be deemed entered into and effective as of the date provided on the first page.</w:t>
      </w:r>
    </w:p>
    <w:p>
      <w:pPr>
        <w:pStyle w:val="TextBody"/>
        <w:spacing w:before="0" w:after="0"/>
        <w:ind w:left="0" w:right="0" w:firstLine="720"/>
        <w:jc w:val="both"/>
        <w:rPr/>
      </w:pPr>
      <w:r>
        <w:rPr/>
        <w:t>​</w:t>
      </w:r>
    </w:p>
    <w:tbl>
      <w:tblPr>
        <w:tblW w:w="5872" w:type="dxa"/>
        <w:jc w:val="left"/>
        <w:tblInd w:w="0" w:type="dxa"/>
        <w:tblCellMar>
          <w:top w:w="0" w:type="dxa"/>
          <w:left w:w="0" w:type="dxa"/>
          <w:bottom w:w="0" w:type="dxa"/>
          <w:right w:w="0" w:type="dxa"/>
        </w:tblCellMar>
      </w:tblPr>
      <w:tblGrid>
        <w:gridCol w:w="124"/>
        <w:gridCol w:w="796"/>
        <w:gridCol w:w="451"/>
        <w:gridCol w:w="4501"/>
      </w:tblGrid>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78740" cy="175260"/>
                      <wp:effectExtent l="0" t="0" r="0" b="0"/>
                      <wp:wrapNone/>
                      <wp:docPr id="263" name="Frame263"/>
                      <a:graphic xmlns:a="http://schemas.openxmlformats.org/drawingml/2006/main">
                        <a:graphicData uri="http://schemas.microsoft.com/office/word/2010/wordprocessingShape">
                          <wps:wsp>
                            <wps:cNvSpPr txBox="1"/>
                            <wps:spPr>
                              <a:xfrm>
                                <a:off x="0" y="0"/>
                                <a:ext cx="78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505460" cy="175260"/>
                      <wp:effectExtent l="0" t="0" r="0" b="0"/>
                      <wp:wrapNone/>
                      <wp:docPr id="264" name="Frame264"/>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86385" cy="175260"/>
                      <wp:effectExtent l="0" t="0" r="0" b="0"/>
                      <wp:wrapNone/>
                      <wp:docPr id="265" name="Frame265"/>
                      <a:graphic xmlns:a="http://schemas.openxmlformats.org/drawingml/2006/main">
                        <a:graphicData uri="http://schemas.microsoft.com/office/word/2010/wordprocessingShape">
                          <wps:wsp>
                            <wps:cNvSpPr txBox="1"/>
                            <wps:spPr>
                              <a:xfrm>
                                <a:off x="0" y="0"/>
                                <a:ext cx="286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5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858135" cy="175260"/>
                      <wp:effectExtent l="0" t="0" r="0" b="0"/>
                      <wp:wrapNone/>
                      <wp:docPr id="266" name="Frame266"/>
                      <a:graphic xmlns:a="http://schemas.openxmlformats.org/drawingml/2006/main">
                        <a:graphicData uri="http://schemas.microsoft.com/office/word/2010/wordprocessingShape">
                          <wps:wsp>
                            <wps:cNvSpPr txBox="1"/>
                            <wps:spPr>
                              <a:xfrm>
                                <a:off x="0" y="0"/>
                                <a:ext cx="2858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24" w:type="dxa"/>
            <w:tcBorders/>
            <w:shd w:fill="auto" w:val="clear"/>
            <w:vAlign w:val="center"/>
          </w:tcPr>
          <w:p>
            <w:pPr>
              <w:pStyle w:val="TableContents"/>
              <w:spacing w:before="0" w:after="0"/>
              <w:ind w:left="0" w:right="0" w:hanging="0"/>
              <w:rPr/>
            </w:pPr>
            <w:r>
              <w:rPr/>
              <w:t>​</w:t>
            </w:r>
          </w:p>
        </w:tc>
        <w:tc>
          <w:tcPr>
            <w:tcW w:w="5748" w:type="dxa"/>
            <w:gridSpan w:val="3"/>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BUYER:</w:t>
            </w:r>
          </w:p>
        </w:tc>
      </w:tr>
      <w:tr>
        <w:trPr/>
        <w:tc>
          <w:tcPr>
            <w:tcW w:w="124" w:type="dxa"/>
            <w:tcBorders/>
            <w:shd w:fill="auto" w:val="clear"/>
            <w:vAlign w:val="center"/>
          </w:tcPr>
          <w:p>
            <w:pPr>
              <w:pStyle w:val="TableContents"/>
              <w:spacing w:before="0" w:after="0"/>
              <w:ind w:left="0" w:right="0" w:hanging="0"/>
              <w:rPr/>
            </w:pPr>
            <w:r>
              <w:rPr/>
              <w:t>​</w:t>
            </w:r>
          </w:p>
        </w:tc>
        <w:tc>
          <w:tcPr>
            <w:tcW w:w="5748" w:type="dxa"/>
            <w:gridSpan w:val="3"/>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DOUBLE BROW, LLC</w:t>
            </w:r>
          </w:p>
        </w:tc>
      </w:tr>
      <w:tr>
        <w:trPr/>
        <w:tc>
          <w:tcPr>
            <w:tcW w:w="124" w:type="dxa"/>
            <w:tcBorders/>
            <w:shd w:fill="auto" w:val="clear"/>
            <w:vAlign w:val="center"/>
          </w:tcPr>
          <w:p>
            <w:pPr>
              <w:pStyle w:val="TableContents"/>
              <w:spacing w:before="0" w:after="0"/>
              <w:ind w:left="0" w:right="0" w:hanging="0"/>
              <w:rPr/>
            </w:pPr>
            <w:r>
              <w:rPr/>
              <w:t>​</w:t>
            </w:r>
          </w:p>
        </w:tc>
        <w:tc>
          <w:tcPr>
            <w:tcW w:w="5748" w:type="dxa"/>
            <w:gridSpan w:val="3"/>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 xml:space="preserve">By: </w:t>
            </w:r>
          </w:p>
        </w:tc>
        <w:tc>
          <w:tcPr>
            <w:tcW w:w="4952" w:type="dxa"/>
            <w:gridSpan w:val="2"/>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SCHWAZZE COLORADO, LLC</w:t>
            </w:r>
          </w:p>
        </w:tc>
      </w:tr>
      <w:tr>
        <w:trPr/>
        <w:tc>
          <w:tcPr>
            <w:tcW w:w="124"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rPr/>
            </w:pPr>
            <w:r>
              <w:rPr/>
              <w:t>​</w:t>
            </w:r>
          </w:p>
        </w:tc>
        <w:tc>
          <w:tcPr>
            <w:tcW w:w="45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By:</w:t>
            </w:r>
          </w:p>
        </w:tc>
        <w:tc>
          <w:tcPr>
            <w:tcW w:w="450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MEDICINE MAN TECHNOLOGIES, INC.</w:t>
            </w:r>
          </w:p>
        </w:tc>
      </w:tr>
      <w:tr>
        <w:trPr/>
        <w:tc>
          <w:tcPr>
            <w:tcW w:w="124"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rPr/>
            </w:pPr>
            <w:r>
              <w:rPr/>
              <w:t>​</w:t>
            </w:r>
          </w:p>
        </w:tc>
        <w:tc>
          <w:tcPr>
            <w:tcW w:w="451" w:type="dxa"/>
            <w:tcBorders/>
            <w:shd w:fill="auto" w:val="clear"/>
            <w:vAlign w:val="center"/>
          </w:tcPr>
          <w:p>
            <w:pPr>
              <w:pStyle w:val="TableContents"/>
              <w:spacing w:before="0" w:after="0"/>
              <w:ind w:left="0" w:right="0" w:hanging="0"/>
              <w:rPr/>
            </w:pPr>
            <w:r>
              <w:rPr/>
              <w:t>​</w:t>
            </w:r>
          </w:p>
        </w:tc>
        <w:tc>
          <w:tcPr>
            <w:tcW w:w="450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(d/b/a SCHWAZZE), its sole manager</w:t>
            </w:r>
          </w:p>
        </w:tc>
      </w:tr>
      <w:tr>
        <w:trPr/>
        <w:tc>
          <w:tcPr>
            <w:tcW w:w="124" w:type="dxa"/>
            <w:tcBorders/>
            <w:shd w:fill="auto" w:val="clear"/>
            <w:vAlign w:val="center"/>
          </w:tcPr>
          <w:p>
            <w:pPr>
              <w:pStyle w:val="TableContents"/>
              <w:spacing w:before="0" w:after="0"/>
              <w:ind w:left="0" w:right="0" w:hanging="0"/>
              <w:rPr/>
            </w:pPr>
            <w:r>
              <w:rPr/>
              <w:t>​</w:t>
            </w:r>
          </w:p>
        </w:tc>
        <w:tc>
          <w:tcPr>
            <w:tcW w:w="5748" w:type="dxa"/>
            <w:gridSpan w:val="3"/>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By:</w:t>
            </w:r>
          </w:p>
        </w:tc>
        <w:tc>
          <w:tcPr>
            <w:tcW w:w="4952" w:type="dxa"/>
            <w:gridSpan w:val="2"/>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Dan Pabon</w:t>
            </w:r>
          </w:p>
        </w:tc>
      </w:tr>
      <w:tr>
        <w:trPr/>
        <w:tc>
          <w:tcPr>
            <w:tcW w:w="124"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Name:</w:t>
            </w:r>
          </w:p>
        </w:tc>
        <w:tc>
          <w:tcPr>
            <w:tcW w:w="4952" w:type="dxa"/>
            <w:gridSpan w:val="2"/>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 xml:space="preserve">Dan Pabon </w:t>
            </w:r>
          </w:p>
        </w:tc>
      </w:tr>
      <w:tr>
        <w:trPr/>
        <w:tc>
          <w:tcPr>
            <w:tcW w:w="124"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Title:</w:t>
            </w:r>
          </w:p>
        </w:tc>
        <w:tc>
          <w:tcPr>
            <w:tcW w:w="4952" w:type="dxa"/>
            <w:gridSpan w:val="2"/>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General Counsel</w:t>
            </w:r>
          </w:p>
        </w:tc>
      </w:tr>
      <w:tr>
        <w:trPr/>
        <w:tc>
          <w:tcPr>
            <w:tcW w:w="124"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rPr/>
            </w:pPr>
            <w:r>
              <w:rPr/>
              <w:t>​</w:t>
            </w:r>
          </w:p>
        </w:tc>
        <w:tc>
          <w:tcPr>
            <w:tcW w:w="4952" w:type="dxa"/>
            <w:gridSpan w:val="2"/>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5748" w:type="dxa"/>
            <w:gridSpan w:val="3"/>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PARENT:</w:t>
            </w:r>
          </w:p>
        </w:tc>
      </w:tr>
      <w:tr>
        <w:trPr/>
        <w:tc>
          <w:tcPr>
            <w:tcW w:w="124" w:type="dxa"/>
            <w:tcBorders/>
            <w:shd w:fill="auto" w:val="clear"/>
            <w:vAlign w:val="center"/>
          </w:tcPr>
          <w:p>
            <w:pPr>
              <w:pStyle w:val="TableContents"/>
              <w:spacing w:before="0" w:after="0"/>
              <w:ind w:left="0" w:right="0" w:hanging="0"/>
              <w:rPr/>
            </w:pPr>
            <w:r>
              <w:rPr/>
              <w:t>​</w:t>
            </w:r>
          </w:p>
        </w:tc>
        <w:tc>
          <w:tcPr>
            <w:tcW w:w="5748" w:type="dxa"/>
            <w:gridSpan w:val="3"/>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MEDICINE MAN TECHNOLOGIES, INC.</w:t>
            </w:r>
          </w:p>
        </w:tc>
      </w:tr>
      <w:tr>
        <w:trPr/>
        <w:tc>
          <w:tcPr>
            <w:tcW w:w="124" w:type="dxa"/>
            <w:tcBorders/>
            <w:shd w:fill="auto" w:val="clear"/>
            <w:vAlign w:val="center"/>
          </w:tcPr>
          <w:p>
            <w:pPr>
              <w:pStyle w:val="TableContents"/>
              <w:spacing w:before="0" w:after="0"/>
              <w:ind w:left="0" w:right="0" w:hanging="0"/>
              <w:rPr/>
            </w:pPr>
            <w:r>
              <w:rPr/>
              <w:t>​</w:t>
            </w:r>
          </w:p>
        </w:tc>
        <w:tc>
          <w:tcPr>
            <w:tcW w:w="5748" w:type="dxa"/>
            <w:gridSpan w:val="3"/>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(d/b/a SCHWAZZE)</w:t>
            </w:r>
          </w:p>
        </w:tc>
      </w:tr>
      <w:tr>
        <w:trPr/>
        <w:tc>
          <w:tcPr>
            <w:tcW w:w="124" w:type="dxa"/>
            <w:tcBorders/>
            <w:shd w:fill="auto" w:val="clear"/>
            <w:vAlign w:val="center"/>
          </w:tcPr>
          <w:p>
            <w:pPr>
              <w:pStyle w:val="TableContents"/>
              <w:spacing w:before="0" w:after="0"/>
              <w:ind w:left="0" w:right="0" w:hanging="0"/>
              <w:rPr/>
            </w:pPr>
            <w:r>
              <w:rPr/>
              <w:t>​</w:t>
            </w:r>
          </w:p>
        </w:tc>
        <w:tc>
          <w:tcPr>
            <w:tcW w:w="5748" w:type="dxa"/>
            <w:gridSpan w:val="3"/>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 xml:space="preserve">By: </w:t>
            </w:r>
          </w:p>
        </w:tc>
        <w:tc>
          <w:tcPr>
            <w:tcW w:w="4952" w:type="dxa"/>
            <w:gridSpan w:val="2"/>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Dan Pabon</w:t>
            </w:r>
          </w:p>
        </w:tc>
      </w:tr>
      <w:tr>
        <w:trPr/>
        <w:tc>
          <w:tcPr>
            <w:tcW w:w="124"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 xml:space="preserve">Name: </w:t>
            </w:r>
          </w:p>
        </w:tc>
        <w:tc>
          <w:tcPr>
            <w:tcW w:w="4952" w:type="dxa"/>
            <w:gridSpan w:val="2"/>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Dan Pabon</w:t>
            </w:r>
          </w:p>
        </w:tc>
      </w:tr>
      <w:tr>
        <w:trPr/>
        <w:tc>
          <w:tcPr>
            <w:tcW w:w="124"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Title:</w:t>
            </w:r>
          </w:p>
        </w:tc>
        <w:tc>
          <w:tcPr>
            <w:tcW w:w="4952" w:type="dxa"/>
            <w:gridSpan w:val="2"/>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General Counsel</w:t>
            </w:r>
          </w:p>
        </w:tc>
      </w:tr>
      <w:tr>
        <w:trPr/>
        <w:tc>
          <w:tcPr>
            <w:tcW w:w="124" w:type="dxa"/>
            <w:tcBorders/>
            <w:shd w:fill="auto" w:val="clear"/>
            <w:vAlign w:val="center"/>
          </w:tcPr>
          <w:p>
            <w:pPr>
              <w:pStyle w:val="TableContents"/>
              <w:spacing w:before="0" w:after="0"/>
              <w:ind w:left="0" w:right="0" w:hanging="0"/>
              <w:rPr/>
            </w:pPr>
            <w:r>
              <w:rPr/>
              <w:t>​</w:t>
            </w:r>
          </w:p>
        </w:tc>
        <w:tc>
          <w:tcPr>
            <w:tcW w:w="5748" w:type="dxa"/>
            <w:gridSpan w:val="3"/>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5748" w:type="dxa"/>
            <w:gridSpan w:val="3"/>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SELLER:</w:t>
            </w:r>
          </w:p>
        </w:tc>
      </w:tr>
      <w:tr>
        <w:trPr/>
        <w:tc>
          <w:tcPr>
            <w:tcW w:w="124" w:type="dxa"/>
            <w:tcBorders/>
            <w:shd w:fill="auto" w:val="clear"/>
            <w:vAlign w:val="center"/>
          </w:tcPr>
          <w:p>
            <w:pPr>
              <w:pStyle w:val="TableContents"/>
              <w:spacing w:before="0" w:after="0"/>
              <w:ind w:left="0" w:right="0" w:hanging="0"/>
              <w:rPr/>
            </w:pPr>
            <w:r>
              <w:rPr/>
              <w:t>​</w:t>
            </w:r>
          </w:p>
        </w:tc>
        <w:tc>
          <w:tcPr>
            <w:tcW w:w="5748" w:type="dxa"/>
            <w:gridSpan w:val="3"/>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LIGHTSHADE LABS LLC</w:t>
            </w:r>
          </w:p>
        </w:tc>
      </w:tr>
      <w:tr>
        <w:trPr/>
        <w:tc>
          <w:tcPr>
            <w:tcW w:w="124" w:type="dxa"/>
            <w:tcBorders/>
            <w:shd w:fill="auto" w:val="clear"/>
            <w:vAlign w:val="center"/>
          </w:tcPr>
          <w:p>
            <w:pPr>
              <w:pStyle w:val="TableContents"/>
              <w:spacing w:before="0" w:after="0"/>
              <w:ind w:left="0" w:right="0" w:hanging="0"/>
              <w:rPr/>
            </w:pPr>
            <w:r>
              <w:rPr/>
              <w:t>​</w:t>
            </w:r>
          </w:p>
        </w:tc>
        <w:tc>
          <w:tcPr>
            <w:tcW w:w="5748" w:type="dxa"/>
            <w:gridSpan w:val="3"/>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 xml:space="preserve">By: </w:t>
            </w:r>
          </w:p>
        </w:tc>
        <w:tc>
          <w:tcPr>
            <w:tcW w:w="4952" w:type="dxa"/>
            <w:gridSpan w:val="2"/>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Thomas Van Alsburg</w:t>
            </w:r>
          </w:p>
        </w:tc>
      </w:tr>
      <w:tr>
        <w:trPr/>
        <w:tc>
          <w:tcPr>
            <w:tcW w:w="124"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 xml:space="preserve">Name: </w:t>
            </w:r>
          </w:p>
        </w:tc>
        <w:tc>
          <w:tcPr>
            <w:tcW w:w="4952" w:type="dxa"/>
            <w:gridSpan w:val="2"/>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 xml:space="preserve">Thomas Van Alsburg </w:t>
            </w:r>
          </w:p>
        </w:tc>
      </w:tr>
      <w:tr>
        <w:trPr/>
        <w:tc>
          <w:tcPr>
            <w:tcW w:w="124"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 xml:space="preserve">Title: </w:t>
            </w:r>
          </w:p>
        </w:tc>
        <w:tc>
          <w:tcPr>
            <w:tcW w:w="4952" w:type="dxa"/>
            <w:gridSpan w:val="2"/>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Member</w:t>
            </w:r>
          </w:p>
        </w:tc>
      </w:tr>
      <w:tr>
        <w:trPr/>
        <w:tc>
          <w:tcPr>
            <w:tcW w:w="124" w:type="dxa"/>
            <w:tcBorders/>
            <w:shd w:fill="auto" w:val="clear"/>
            <w:vAlign w:val="center"/>
          </w:tcPr>
          <w:p>
            <w:pPr>
              <w:pStyle w:val="TableContents"/>
              <w:spacing w:before="0" w:after="0"/>
              <w:ind w:left="0" w:right="0" w:hanging="0"/>
              <w:rPr/>
            </w:pPr>
            <w:r>
              <w:rPr/>
              <w:t>​</w:t>
            </w:r>
          </w:p>
        </w:tc>
        <w:tc>
          <w:tcPr>
            <w:tcW w:w="5748" w:type="dxa"/>
            <w:gridSpan w:val="3"/>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 xml:space="preserve">By: </w:t>
            </w:r>
          </w:p>
        </w:tc>
        <w:tc>
          <w:tcPr>
            <w:tcW w:w="4952" w:type="dxa"/>
            <w:gridSpan w:val="2"/>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Steve Brooks</w:t>
            </w:r>
          </w:p>
        </w:tc>
      </w:tr>
      <w:tr>
        <w:trPr/>
        <w:tc>
          <w:tcPr>
            <w:tcW w:w="124"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 xml:space="preserve">Name: </w:t>
            </w:r>
          </w:p>
        </w:tc>
        <w:tc>
          <w:tcPr>
            <w:tcW w:w="4952" w:type="dxa"/>
            <w:gridSpan w:val="2"/>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Steve Brooks</w:t>
            </w:r>
          </w:p>
        </w:tc>
      </w:tr>
      <w:tr>
        <w:trPr/>
        <w:tc>
          <w:tcPr>
            <w:tcW w:w="124"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 xml:space="preserve">Title: </w:t>
            </w:r>
          </w:p>
        </w:tc>
        <w:tc>
          <w:tcPr>
            <w:tcW w:w="4952" w:type="dxa"/>
            <w:gridSpan w:val="2"/>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Member</w:t>
            </w:r>
          </w:p>
        </w:tc>
      </w:tr>
      <w:tr>
        <w:trPr/>
        <w:tc>
          <w:tcPr>
            <w:tcW w:w="124" w:type="dxa"/>
            <w:tcBorders/>
            <w:shd w:fill="auto" w:val="clear"/>
            <w:vAlign w:val="center"/>
          </w:tcPr>
          <w:p>
            <w:pPr>
              <w:pStyle w:val="TableContents"/>
              <w:spacing w:before="0" w:after="0"/>
              <w:ind w:left="0" w:right="0" w:hanging="0"/>
              <w:rPr/>
            </w:pPr>
            <w:r>
              <w:rPr/>
              <w:t>​</w:t>
            </w:r>
          </w:p>
        </w:tc>
        <w:tc>
          <w:tcPr>
            <w:tcW w:w="5748" w:type="dxa"/>
            <w:gridSpan w:val="3"/>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 xml:space="preserve">By: </w:t>
            </w:r>
          </w:p>
        </w:tc>
        <w:tc>
          <w:tcPr>
            <w:tcW w:w="4952" w:type="dxa"/>
            <w:gridSpan w:val="2"/>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John Fritzel</w:t>
            </w:r>
          </w:p>
        </w:tc>
      </w:tr>
      <w:tr>
        <w:trPr/>
        <w:tc>
          <w:tcPr>
            <w:tcW w:w="124"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 xml:space="preserve">Name: </w:t>
            </w:r>
          </w:p>
        </w:tc>
        <w:tc>
          <w:tcPr>
            <w:tcW w:w="4952" w:type="dxa"/>
            <w:gridSpan w:val="2"/>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John Fritzel</w:t>
            </w:r>
          </w:p>
        </w:tc>
      </w:tr>
      <w:tr>
        <w:trPr/>
        <w:tc>
          <w:tcPr>
            <w:tcW w:w="124"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 xml:space="preserve">Title: </w:t>
            </w:r>
          </w:p>
        </w:tc>
        <w:tc>
          <w:tcPr>
            <w:tcW w:w="4952" w:type="dxa"/>
            <w:gridSpan w:val="2"/>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Member</w:t>
            </w:r>
          </w:p>
        </w:tc>
      </w:tr>
    </w:tbl>
    <w:p>
      <w:pPr>
        <w:pStyle w:val="TextBody"/>
        <w:spacing w:before="0" w:after="0"/>
        <w:ind w:left="0" w:right="0" w:hanging="0"/>
        <w:rPr/>
      </w:pPr>
      <w:r>
        <w:rPr/>
        <w:t>​</w:t>
      </w:r>
    </w:p>
    <w:p>
      <w:pPr>
        <w:pStyle w:val="TextBody"/>
        <w:spacing w:before="0" w:after="0"/>
        <w:ind w:left="0" w:right="0" w:hanging="0"/>
        <w:rPr/>
      </w:pPr>
      <w:r>
        <w:rPr/>
        <w:t>​</w:t>
      </w:r>
    </w:p>
    <w:p>
      <w:pPr>
        <w:pStyle w:val="HorizontalLine"/>
        <w:rPr/>
      </w:pPr>
      <w:r>
        <w:rPr/>
      </w:r>
    </w:p>
    <w:p>
      <w:pPr>
        <w:pStyle w:val="TextBody"/>
        <w:spacing w:before="0" w:after="0"/>
        <w:ind w:left="0" w:right="0" w:hanging="0"/>
        <w:rPr/>
      </w:pPr>
      <w:r>
        <w:rPr/>
        <w:t>​</w:t>
      </w:r>
    </w:p>
    <w:tbl>
      <w:tblPr>
        <w:tblW w:w="2600" w:type="dxa"/>
        <w:jc w:val="left"/>
        <w:tblInd w:w="0" w:type="dxa"/>
        <w:tblCellMar>
          <w:top w:w="0" w:type="dxa"/>
          <w:left w:w="0" w:type="dxa"/>
          <w:bottom w:w="0" w:type="dxa"/>
          <w:right w:w="0" w:type="dxa"/>
        </w:tblCellMar>
      </w:tblPr>
      <w:tblGrid>
        <w:gridCol w:w="124"/>
        <w:gridCol w:w="2476"/>
      </w:tblGrid>
      <w:tr>
        <w:trPr/>
        <w:tc>
          <w:tcPr>
            <w:tcW w:w="124" w:type="dxa"/>
            <w:tcBorders/>
            <w:shd w:fill="auto" w:val="clear"/>
            <w:vAlign w:val="center"/>
          </w:tcPr>
          <w:p>
            <w:pPr>
              <w:pStyle w:val="TableContents"/>
              <w:spacing w:before="0" w:after="0"/>
              <w:ind w:left="0" w:right="0" w:hanging="0"/>
              <w:rPr/>
            </w:pPr>
            <w:r>
              <w:rPr/>
              <w:t>​</w:t>
            </w:r>
          </w:p>
        </w:tc>
        <w:tc>
          <w:tcPr>
            <w:tcW w:w="2476" w:type="dxa"/>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EQUITYHOLDERS:</w:t>
            </w:r>
          </w:p>
        </w:tc>
      </w:tr>
      <w:tr>
        <w:trPr/>
        <w:tc>
          <w:tcPr>
            <w:tcW w:w="124" w:type="dxa"/>
            <w:tcBorders/>
            <w:shd w:fill="auto" w:val="clear"/>
            <w:vAlign w:val="center"/>
          </w:tcPr>
          <w:p>
            <w:pPr>
              <w:pStyle w:val="TableContents"/>
              <w:spacing w:before="0" w:after="0"/>
              <w:ind w:left="0" w:right="0" w:hanging="0"/>
              <w:rPr/>
            </w:pPr>
            <w:r>
              <w:rPr/>
              <w:t>​</w:t>
            </w:r>
          </w:p>
        </w:tc>
        <w:tc>
          <w:tcPr>
            <w:tcW w:w="2476"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247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Thomas Van Alsburg</w:t>
            </w:r>
          </w:p>
        </w:tc>
      </w:tr>
      <w:tr>
        <w:trPr/>
        <w:tc>
          <w:tcPr>
            <w:tcW w:w="124" w:type="dxa"/>
            <w:tcBorders/>
            <w:shd w:fill="auto" w:val="clear"/>
            <w:vAlign w:val="center"/>
          </w:tcPr>
          <w:p>
            <w:pPr>
              <w:pStyle w:val="TableContents"/>
              <w:spacing w:before="0" w:after="0"/>
              <w:ind w:left="0" w:right="0" w:hanging="0"/>
              <w:rPr/>
            </w:pPr>
            <w:r>
              <w:rPr/>
              <w:t>​</w:t>
            </w:r>
          </w:p>
        </w:tc>
        <w:tc>
          <w:tcPr>
            <w:tcW w:w="247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Thomas Van Alsburg</w:t>
            </w:r>
          </w:p>
        </w:tc>
      </w:tr>
      <w:tr>
        <w:trPr/>
        <w:tc>
          <w:tcPr>
            <w:tcW w:w="124" w:type="dxa"/>
            <w:tcBorders/>
            <w:shd w:fill="auto" w:val="clear"/>
            <w:vAlign w:val="center"/>
          </w:tcPr>
          <w:p>
            <w:pPr>
              <w:pStyle w:val="TableContents"/>
              <w:spacing w:before="0" w:after="0"/>
              <w:ind w:left="0" w:right="0" w:hanging="0"/>
              <w:rPr/>
            </w:pPr>
            <w:r>
              <w:rPr/>
              <w:t>​</w:t>
            </w:r>
          </w:p>
        </w:tc>
        <w:tc>
          <w:tcPr>
            <w:tcW w:w="2476"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247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Steve Brooks</w:t>
            </w:r>
          </w:p>
        </w:tc>
      </w:tr>
      <w:tr>
        <w:trPr/>
        <w:tc>
          <w:tcPr>
            <w:tcW w:w="124" w:type="dxa"/>
            <w:tcBorders/>
            <w:shd w:fill="auto" w:val="clear"/>
            <w:vAlign w:val="center"/>
          </w:tcPr>
          <w:p>
            <w:pPr>
              <w:pStyle w:val="TableContents"/>
              <w:spacing w:before="0" w:after="0"/>
              <w:ind w:left="0" w:right="0" w:hanging="0"/>
              <w:rPr/>
            </w:pPr>
            <w:r>
              <w:rPr/>
              <w:t>​</w:t>
            </w:r>
          </w:p>
        </w:tc>
        <w:tc>
          <w:tcPr>
            <w:tcW w:w="247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Steve Brooks</w:t>
            </w:r>
          </w:p>
        </w:tc>
      </w:tr>
      <w:tr>
        <w:trPr/>
        <w:tc>
          <w:tcPr>
            <w:tcW w:w="124" w:type="dxa"/>
            <w:tcBorders/>
            <w:shd w:fill="auto" w:val="clear"/>
            <w:vAlign w:val="center"/>
          </w:tcPr>
          <w:p>
            <w:pPr>
              <w:pStyle w:val="TableContents"/>
              <w:spacing w:before="0" w:after="0"/>
              <w:ind w:left="0" w:right="0" w:hanging="0"/>
              <w:rPr/>
            </w:pPr>
            <w:r>
              <w:rPr/>
              <w:t>​</w:t>
            </w:r>
          </w:p>
        </w:tc>
        <w:tc>
          <w:tcPr>
            <w:tcW w:w="2476"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247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John Fritzel</w:t>
            </w:r>
          </w:p>
        </w:tc>
      </w:tr>
      <w:tr>
        <w:trPr/>
        <w:tc>
          <w:tcPr>
            <w:tcW w:w="124" w:type="dxa"/>
            <w:tcBorders/>
            <w:shd w:fill="auto" w:val="clear"/>
            <w:vAlign w:val="center"/>
          </w:tcPr>
          <w:p>
            <w:pPr>
              <w:pStyle w:val="TableContents"/>
              <w:spacing w:before="0" w:after="0"/>
              <w:ind w:left="0" w:right="0" w:hanging="0"/>
              <w:rPr/>
            </w:pPr>
            <w:r>
              <w:rPr/>
              <w:t>​</w:t>
            </w:r>
          </w:p>
        </w:tc>
        <w:tc>
          <w:tcPr>
            <w:tcW w:w="247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John Fritzel</w:t>
            </w:r>
          </w:p>
        </w:tc>
      </w:tr>
    </w:tbl>
    <w:p>
      <w:pPr>
        <w:pStyle w:val="TextBody"/>
        <w:spacing w:before="0" w:after="100"/>
        <w:ind w:left="0" w:right="0" w:hanging="0"/>
        <w:rPr/>
      </w:pPr>
      <w:r>
        <w:rPr/>
        <w:t>​</w:t>
      </w:r>
    </w:p>
    <w:p>
      <w:pPr>
        <w:pStyle w:val="TextBody"/>
        <w:spacing w:before="0" w:after="0"/>
        <w:ind w:left="0" w:right="0" w:hanging="0"/>
        <w:rPr/>
      </w:pPr>
      <w:r>
        <w:rPr/>
        <w:t>​</w:t>
      </w:r>
    </w:p>
    <w:p>
      <w:pPr>
        <w:pStyle w:val="HorizontalLine"/>
        <w:rPr/>
      </w:pPr>
      <w:r>
        <w:rPr/>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Exhibit A</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SCHEDULE 1.1(a)</w:t>
      </w:r>
    </w:p>
    <w:p>
      <w:pPr>
        <w:pStyle w:val="TextBody"/>
        <w:spacing w:before="0" w:after="100"/>
        <w:ind w:left="0" w:right="0" w:hanging="0"/>
        <w:jc w:val="center"/>
        <w:rPr>
          <w:rFonts w:ascii="Times New Roman;Times;serif" w:hAnsi="Times New Roman;Times;serif"/>
          <w:b/>
          <w:sz w:val="24"/>
        </w:rPr>
      </w:pPr>
      <w:r>
        <w:rPr>
          <w:rFonts w:ascii="Times New Roman;Times;serif" w:hAnsi="Times New Roman;Times;serif"/>
          <w:b/>
          <w:sz w:val="24"/>
        </w:rPr>
        <w:t>PURCHASED ASSETS</w:t>
      </w:r>
    </w:p>
    <w:tbl>
      <w:tblPr>
        <w:tblW w:w="2470" w:type="dxa"/>
        <w:jc w:val="left"/>
        <w:tblInd w:w="0" w:type="dxa"/>
        <w:tblCellMar>
          <w:top w:w="0" w:type="dxa"/>
          <w:left w:w="0" w:type="dxa"/>
          <w:bottom w:w="0" w:type="dxa"/>
          <w:right w:w="0" w:type="dxa"/>
        </w:tblCellMar>
      </w:tblPr>
      <w:tblGrid>
        <w:gridCol w:w="230"/>
        <w:gridCol w:w="2240"/>
      </w:tblGrid>
      <w:tr>
        <w:trPr/>
        <w:tc>
          <w:tcPr>
            <w:tcW w:w="230" w:type="dxa"/>
            <w:tcBorders/>
            <w:shd w:fill="auto" w:val="clear"/>
            <w:vAlign w:val="center"/>
          </w:tcPr>
          <w:p>
            <w:pPr>
              <w:pStyle w:val="TableContents"/>
              <w:spacing w:before="0" w:after="120"/>
              <w:jc w:val="both"/>
              <w:rPr>
                <w:rFonts w:ascii="Times New Roman;Times;serif" w:hAnsi="Times New Roman;Times;serif"/>
                <w:sz w:val="24"/>
              </w:rPr>
            </w:pPr>
            <w:r>
              <w:rPr>
                <w:rFonts w:ascii="Times New Roman;Times;serif" w:hAnsi="Times New Roman;Times;serif"/>
                <w:sz w:val="24"/>
              </w:rPr>
              <w:t>(i)</w:t>
            </w:r>
          </w:p>
        </w:tc>
        <w:tc>
          <w:tcPr>
            <w:tcW w:w="2240" w:type="dxa"/>
            <w:tcBorders/>
            <w:shd w:fill="auto" w:val="clear"/>
            <w:vAlign w:val="center"/>
          </w:tcPr>
          <w:p>
            <w:pPr>
              <w:pStyle w:val="TableContents"/>
              <w:spacing w:before="0" w:after="120"/>
              <w:jc w:val="both"/>
              <w:rPr>
                <w:rFonts w:ascii="Times New Roman;Times;serif" w:hAnsi="Times New Roman;Times;serif"/>
                <w:sz w:val="24"/>
              </w:rPr>
            </w:pPr>
            <w:r>
              <w:rPr>
                <w:rFonts w:ascii="Times New Roman;Times;serif" w:hAnsi="Times New Roman;Times;serif"/>
                <w:sz w:val="24"/>
              </w:rPr>
              <w:t>[Intentionally Omitted.]</w:t>
            </w:r>
          </w:p>
        </w:tc>
      </w:tr>
    </w:tbl>
    <w:tbl>
      <w:tblPr>
        <w:tblW w:w="10205" w:type="dxa"/>
        <w:jc w:val="left"/>
        <w:tblInd w:w="0" w:type="dxa"/>
        <w:tblCellMar>
          <w:top w:w="0" w:type="dxa"/>
          <w:left w:w="0" w:type="dxa"/>
          <w:bottom w:w="0" w:type="dxa"/>
          <w:right w:w="0" w:type="dxa"/>
        </w:tblCellMar>
      </w:tblPr>
      <w:tblGrid>
        <w:gridCol w:w="251"/>
        <w:gridCol w:w="9954"/>
      </w:tblGrid>
      <w:tr>
        <w:trPr/>
        <w:tc>
          <w:tcPr>
            <w:tcW w:w="251" w:type="dxa"/>
            <w:tcBorders/>
            <w:shd w:fill="auto" w:val="clear"/>
            <w:vAlign w:val="center"/>
          </w:tcPr>
          <w:p>
            <w:pPr>
              <w:pStyle w:val="TableContents"/>
              <w:spacing w:before="0" w:after="120"/>
              <w:jc w:val="both"/>
              <w:rPr>
                <w:rFonts w:ascii="Times New Roman;Times;serif" w:hAnsi="Times New Roman;Times;serif"/>
                <w:sz w:val="24"/>
              </w:rPr>
            </w:pPr>
            <w:r>
              <w:rPr>
                <w:rFonts w:ascii="Times New Roman;Times;serif" w:hAnsi="Times New Roman;Times;serif"/>
                <w:sz w:val="24"/>
              </w:rPr>
              <w:t>(ii)</w:t>
            </w:r>
          </w:p>
        </w:tc>
        <w:tc>
          <w:tcPr>
            <w:tcW w:w="9954" w:type="dxa"/>
            <w:tcBorders/>
            <w:shd w:fill="auto" w:val="clear"/>
            <w:vAlign w:val="center"/>
          </w:tcPr>
          <w:p>
            <w:pPr>
              <w:pStyle w:val="TableContents"/>
              <w:spacing w:before="0" w:after="120"/>
              <w:jc w:val="both"/>
              <w:rPr>
                <w:rFonts w:ascii="Times New Roman;Times;serif" w:hAnsi="Times New Roman;Times;serif"/>
                <w:sz w:val="24"/>
              </w:rPr>
            </w:pPr>
            <w:r>
              <w:rPr>
                <w:rFonts w:ascii="Times New Roman;Times;serif" w:hAnsi="Times New Roman;Times;serif"/>
                <w:sz w:val="24"/>
              </w:rPr>
              <w:t>All inventory (including Marijuana Inventory, supplies, goods in transit, packaging materials and other consumables of the Business, including inventory in transit from or held by suppliers of the Business).</w:t>
            </w:r>
          </w:p>
        </w:tc>
      </w:tr>
    </w:tbl>
    <w:tbl>
      <w:tblPr>
        <w:tblW w:w="7120" w:type="dxa"/>
        <w:jc w:val="left"/>
        <w:tblInd w:w="0" w:type="dxa"/>
        <w:tblCellMar>
          <w:top w:w="0" w:type="dxa"/>
          <w:left w:w="0" w:type="dxa"/>
          <w:bottom w:w="0" w:type="dxa"/>
          <w:right w:w="0" w:type="dxa"/>
        </w:tblCellMar>
      </w:tblPr>
      <w:tblGrid>
        <w:gridCol w:w="350"/>
        <w:gridCol w:w="6770"/>
      </w:tblGrid>
      <w:tr>
        <w:trPr/>
        <w:tc>
          <w:tcPr>
            <w:tcW w:w="350" w:type="dxa"/>
            <w:tcBorders/>
            <w:shd w:fill="auto" w:val="clear"/>
            <w:vAlign w:val="center"/>
          </w:tcPr>
          <w:p>
            <w:pPr>
              <w:pStyle w:val="TableContents"/>
              <w:spacing w:before="0" w:after="120"/>
              <w:jc w:val="both"/>
              <w:rPr>
                <w:rFonts w:ascii="Times New Roman;Times;serif" w:hAnsi="Times New Roman;Times;serif"/>
                <w:sz w:val="24"/>
              </w:rPr>
            </w:pPr>
            <w:r>
              <w:rPr>
                <w:rFonts w:ascii="Times New Roman;Times;serif" w:hAnsi="Times New Roman;Times;serif"/>
                <w:sz w:val="24"/>
              </w:rPr>
              <w:t>(iii)</w:t>
            </w:r>
          </w:p>
        </w:tc>
        <w:tc>
          <w:tcPr>
            <w:tcW w:w="6770" w:type="dxa"/>
            <w:tcBorders/>
            <w:shd w:fill="auto" w:val="clear"/>
            <w:vAlign w:val="center"/>
          </w:tcPr>
          <w:p>
            <w:pPr>
              <w:pStyle w:val="TableContents"/>
              <w:spacing w:before="0" w:after="120"/>
              <w:jc w:val="both"/>
              <w:rPr>
                <w:rFonts w:ascii="Times New Roman;Times;serif" w:hAnsi="Times New Roman;Times;serif"/>
                <w:sz w:val="24"/>
              </w:rPr>
            </w:pPr>
            <w:r>
              <w:rPr>
                <w:rFonts w:ascii="Times New Roman;Times;serif" w:hAnsi="Times New Roman;Times;serif"/>
                <w:sz w:val="24"/>
              </w:rPr>
              <w:t>The Contracts set forth below, if any, which are related to the Business:</w:t>
            </w:r>
          </w:p>
        </w:tc>
      </w:tr>
    </w:tbl>
    <w:p>
      <w:pPr>
        <w:pStyle w:val="TextBody"/>
        <w:spacing w:before="0" w:after="120"/>
        <w:ind w:left="0" w:right="0" w:firstLine="720"/>
        <w:jc w:val="both"/>
        <w:rPr>
          <w:rFonts w:ascii="Times New Roman;Times;serif" w:hAnsi="Times New Roman;Times;serif"/>
          <w:sz w:val="24"/>
        </w:rPr>
      </w:pPr>
      <w:r>
        <w:rPr>
          <w:rFonts w:ascii="Times New Roman;Times;serif" w:hAnsi="Times New Roman;Times;serif"/>
          <w:sz w:val="24"/>
        </w:rPr>
        <w:t>None.</w:t>
      </w:r>
    </w:p>
    <w:tbl>
      <w:tblPr>
        <w:tblW w:w="10205" w:type="dxa"/>
        <w:jc w:val="left"/>
        <w:tblInd w:w="0" w:type="dxa"/>
        <w:tblCellMar>
          <w:top w:w="0" w:type="dxa"/>
          <w:left w:w="0" w:type="dxa"/>
          <w:bottom w:w="0" w:type="dxa"/>
          <w:right w:w="0" w:type="dxa"/>
        </w:tblCellMar>
      </w:tblPr>
      <w:tblGrid>
        <w:gridCol w:w="300"/>
        <w:gridCol w:w="9905"/>
      </w:tblGrid>
      <w:tr>
        <w:trPr/>
        <w:tc>
          <w:tcPr>
            <w:tcW w:w="300" w:type="dxa"/>
            <w:tcBorders/>
            <w:shd w:fill="auto" w:val="clear"/>
            <w:vAlign w:val="center"/>
          </w:tcPr>
          <w:p>
            <w:pPr>
              <w:pStyle w:val="TableContents"/>
              <w:spacing w:before="0" w:after="120"/>
              <w:jc w:val="both"/>
              <w:rPr>
                <w:rFonts w:ascii="Times New Roman;Times;serif" w:hAnsi="Times New Roman;Times;serif"/>
                <w:sz w:val="24"/>
              </w:rPr>
            </w:pPr>
            <w:r>
              <w:rPr>
                <w:rFonts w:ascii="Times New Roman;Times;serif" w:hAnsi="Times New Roman;Times;serif"/>
                <w:sz w:val="24"/>
              </w:rPr>
              <w:t>(iv)</w:t>
            </w:r>
          </w:p>
        </w:tc>
        <w:tc>
          <w:tcPr>
            <w:tcW w:w="9905" w:type="dxa"/>
            <w:tcBorders/>
            <w:shd w:fill="auto" w:val="clear"/>
            <w:vAlign w:val="center"/>
          </w:tcPr>
          <w:p>
            <w:pPr>
              <w:pStyle w:val="TableContents"/>
              <w:spacing w:before="0" w:after="120"/>
              <w:jc w:val="both"/>
              <w:rPr>
                <w:rFonts w:ascii="Times New Roman;Times;serif" w:hAnsi="Times New Roman;Times;serif"/>
                <w:sz w:val="24"/>
              </w:rPr>
            </w:pPr>
            <w:r>
              <w:rPr>
                <w:rFonts w:ascii="Times New Roman;Times;serif" w:hAnsi="Times New Roman;Times;serif"/>
                <w:sz w:val="24"/>
              </w:rPr>
              <w:t>All machinery, equipment, computers, printers, cameras, furniture, furnishings, fixtures, office supplies, vehicles and all other fixed assets and personal property leased by, owned by, or on order to be delivered to Seller, in each case, used or to be used, as applicable, in the Business.</w:t>
            </w:r>
          </w:p>
        </w:tc>
      </w:tr>
    </w:tbl>
    <w:tbl>
      <w:tblPr>
        <w:tblW w:w="10205" w:type="dxa"/>
        <w:jc w:val="left"/>
        <w:tblInd w:w="0" w:type="dxa"/>
        <w:tblCellMar>
          <w:top w:w="0" w:type="dxa"/>
          <w:left w:w="0" w:type="dxa"/>
          <w:bottom w:w="0" w:type="dxa"/>
          <w:right w:w="0" w:type="dxa"/>
        </w:tblCellMar>
      </w:tblPr>
      <w:tblGrid>
        <w:gridCol w:w="274"/>
        <w:gridCol w:w="9931"/>
      </w:tblGrid>
      <w:tr>
        <w:trPr/>
        <w:tc>
          <w:tcPr>
            <w:tcW w:w="274" w:type="dxa"/>
            <w:tcBorders/>
            <w:shd w:fill="auto" w:val="clear"/>
            <w:vAlign w:val="center"/>
          </w:tcPr>
          <w:p>
            <w:pPr>
              <w:pStyle w:val="TableContents"/>
              <w:spacing w:before="0" w:after="120"/>
              <w:jc w:val="both"/>
              <w:rPr>
                <w:rFonts w:ascii="Times New Roman;Times;serif" w:hAnsi="Times New Roman;Times;serif"/>
                <w:sz w:val="24"/>
              </w:rPr>
            </w:pPr>
            <w:r>
              <w:rPr>
                <w:rFonts w:ascii="Times New Roman;Times;serif" w:hAnsi="Times New Roman;Times;serif"/>
                <w:sz w:val="24"/>
              </w:rPr>
              <w:t>(v)</w:t>
            </w:r>
          </w:p>
        </w:tc>
        <w:tc>
          <w:tcPr>
            <w:tcW w:w="9931" w:type="dxa"/>
            <w:tcBorders/>
            <w:shd w:fill="auto" w:val="clear"/>
            <w:vAlign w:val="center"/>
          </w:tcPr>
          <w:p>
            <w:pPr>
              <w:pStyle w:val="TableContents"/>
              <w:spacing w:before="0" w:after="120"/>
              <w:jc w:val="both"/>
              <w:rPr>
                <w:rFonts w:ascii="Times New Roman;Times;serif" w:hAnsi="Times New Roman;Times;serif"/>
                <w:sz w:val="24"/>
              </w:rPr>
            </w:pPr>
            <w:r>
              <w:rPr>
                <w:rFonts w:ascii="Times New Roman;Times;serif" w:hAnsi="Times New Roman;Times;serif"/>
                <w:sz w:val="24"/>
              </w:rPr>
              <w:t>All deposits and prepaid expenses, including advances, credits and security and other deposits specifically related to the Business.</w:t>
            </w:r>
          </w:p>
        </w:tc>
      </w:tr>
    </w:tbl>
    <w:tbl>
      <w:tblPr>
        <w:tblW w:w="10205" w:type="dxa"/>
        <w:jc w:val="left"/>
        <w:tblInd w:w="0" w:type="dxa"/>
        <w:tblCellMar>
          <w:top w:w="0" w:type="dxa"/>
          <w:left w:w="0" w:type="dxa"/>
          <w:bottom w:w="0" w:type="dxa"/>
          <w:right w:w="0" w:type="dxa"/>
        </w:tblCellMar>
      </w:tblPr>
      <w:tblGrid>
        <w:gridCol w:w="314"/>
        <w:gridCol w:w="9891"/>
      </w:tblGrid>
      <w:tr>
        <w:trPr/>
        <w:tc>
          <w:tcPr>
            <w:tcW w:w="314" w:type="dxa"/>
            <w:tcBorders/>
            <w:shd w:fill="auto" w:val="clear"/>
            <w:vAlign w:val="center"/>
          </w:tcPr>
          <w:p>
            <w:pPr>
              <w:pStyle w:val="TableContents"/>
              <w:spacing w:before="0" w:after="120"/>
              <w:jc w:val="both"/>
              <w:rPr>
                <w:rFonts w:ascii="Times New Roman;Times;serif" w:hAnsi="Times New Roman;Times;serif"/>
                <w:sz w:val="24"/>
              </w:rPr>
            </w:pPr>
            <w:r>
              <w:rPr>
                <w:rFonts w:ascii="Times New Roman;Times;serif" w:hAnsi="Times New Roman;Times;serif"/>
                <w:sz w:val="24"/>
              </w:rPr>
              <w:t>(vi)</w:t>
            </w:r>
          </w:p>
        </w:tc>
        <w:tc>
          <w:tcPr>
            <w:tcW w:w="9891" w:type="dxa"/>
            <w:tcBorders/>
            <w:shd w:fill="auto" w:val="clear"/>
            <w:vAlign w:val="center"/>
          </w:tcPr>
          <w:p>
            <w:pPr>
              <w:pStyle w:val="TableContents"/>
              <w:spacing w:before="0" w:after="120"/>
              <w:jc w:val="both"/>
              <w:rPr>
                <w:rFonts w:ascii="Times New Roman;Times;serif" w:hAnsi="Times New Roman;Times;serif"/>
                <w:sz w:val="24"/>
              </w:rPr>
            </w:pPr>
            <w:r>
              <w:rPr>
                <w:rFonts w:ascii="Times New Roman;Times;serif" w:hAnsi="Times New Roman;Times;serif"/>
                <w:sz w:val="24"/>
              </w:rPr>
              <w:t>All warranties, representations, letters of credit and guarantees made by suppliers (including data providers), manufacturers and contractors of Seller specifically related to the Business.</w:t>
            </w:r>
          </w:p>
        </w:tc>
      </w:tr>
    </w:tbl>
    <w:tbl>
      <w:tblPr>
        <w:tblW w:w="10205" w:type="dxa"/>
        <w:jc w:val="left"/>
        <w:tblInd w:w="0" w:type="dxa"/>
        <w:tblCellMar>
          <w:top w:w="0" w:type="dxa"/>
          <w:left w:w="0" w:type="dxa"/>
          <w:bottom w:w="0" w:type="dxa"/>
          <w:right w:w="0" w:type="dxa"/>
        </w:tblCellMar>
      </w:tblPr>
      <w:tblGrid>
        <w:gridCol w:w="374"/>
        <w:gridCol w:w="9831"/>
      </w:tblGrid>
      <w:tr>
        <w:trPr/>
        <w:tc>
          <w:tcPr>
            <w:tcW w:w="374" w:type="dxa"/>
            <w:tcBorders/>
            <w:shd w:fill="auto" w:val="clear"/>
            <w:vAlign w:val="center"/>
          </w:tcPr>
          <w:p>
            <w:pPr>
              <w:pStyle w:val="TableContents"/>
              <w:spacing w:before="0" w:after="120"/>
              <w:jc w:val="both"/>
              <w:rPr>
                <w:rFonts w:ascii="Times New Roman;Times;serif" w:hAnsi="Times New Roman;Times;serif"/>
                <w:sz w:val="24"/>
              </w:rPr>
            </w:pPr>
            <w:r>
              <w:rPr>
                <w:rFonts w:ascii="Times New Roman;Times;serif" w:hAnsi="Times New Roman;Times;serif"/>
                <w:sz w:val="24"/>
              </w:rPr>
              <w:t>(vii)</w:t>
            </w:r>
          </w:p>
        </w:tc>
        <w:tc>
          <w:tcPr>
            <w:tcW w:w="9831" w:type="dxa"/>
            <w:tcBorders/>
            <w:shd w:fill="auto" w:val="clear"/>
            <w:vAlign w:val="center"/>
          </w:tcPr>
          <w:p>
            <w:pPr>
              <w:pStyle w:val="TableContents"/>
              <w:spacing w:before="0" w:after="120"/>
              <w:jc w:val="both"/>
              <w:rPr>
                <w:rFonts w:ascii="Times New Roman;Times;serif" w:hAnsi="Times New Roman;Times;serif"/>
                <w:sz w:val="24"/>
              </w:rPr>
            </w:pPr>
            <w:r>
              <w:rPr>
                <w:rFonts w:ascii="Times New Roman;Times;serif" w:hAnsi="Times New Roman;Times;serif"/>
                <w:sz w:val="24"/>
              </w:rPr>
              <w:t>Each Purchased License and, to the extent transferable or assignable, all other Permits issued to or otherwise held by Seller relating to the operation of the Business or any Purchased Asset.</w:t>
            </w:r>
          </w:p>
        </w:tc>
      </w:tr>
    </w:tbl>
    <w:tbl>
      <w:tblPr>
        <w:tblW w:w="10205" w:type="dxa"/>
        <w:jc w:val="left"/>
        <w:tblInd w:w="0" w:type="dxa"/>
        <w:tblCellMar>
          <w:top w:w="0" w:type="dxa"/>
          <w:left w:w="0" w:type="dxa"/>
          <w:bottom w:w="0" w:type="dxa"/>
          <w:right w:w="0" w:type="dxa"/>
        </w:tblCellMar>
      </w:tblPr>
      <w:tblGrid>
        <w:gridCol w:w="405"/>
        <w:gridCol w:w="9800"/>
      </w:tblGrid>
      <w:tr>
        <w:trPr/>
        <w:tc>
          <w:tcPr>
            <w:tcW w:w="405" w:type="dxa"/>
            <w:tcBorders/>
            <w:shd w:fill="auto" w:val="clear"/>
            <w:vAlign w:val="center"/>
          </w:tcPr>
          <w:p>
            <w:pPr>
              <w:pStyle w:val="TableContents"/>
              <w:spacing w:before="0" w:after="120"/>
              <w:jc w:val="both"/>
              <w:rPr>
                <w:rFonts w:ascii="Times New Roman;Times;serif" w:hAnsi="Times New Roman;Times;serif"/>
                <w:sz w:val="24"/>
              </w:rPr>
            </w:pPr>
            <w:r>
              <w:rPr>
                <w:rFonts w:ascii="Times New Roman;Times;serif" w:hAnsi="Times New Roman;Times;serif"/>
                <w:sz w:val="24"/>
              </w:rPr>
              <w:t>(viii)</w:t>
            </w:r>
          </w:p>
        </w:tc>
        <w:tc>
          <w:tcPr>
            <w:tcW w:w="9800" w:type="dxa"/>
            <w:tcBorders/>
            <w:shd w:fill="auto" w:val="clear"/>
            <w:vAlign w:val="center"/>
          </w:tcPr>
          <w:p>
            <w:pPr>
              <w:pStyle w:val="TableContents"/>
              <w:spacing w:before="0" w:after="120"/>
              <w:jc w:val="both"/>
              <w:rPr>
                <w:rFonts w:ascii="Times New Roman;Times;serif" w:hAnsi="Times New Roman;Times;serif"/>
                <w:sz w:val="24"/>
              </w:rPr>
            </w:pPr>
            <w:r>
              <w:rPr>
                <w:rFonts w:ascii="Times New Roman;Times;serif" w:hAnsi="Times New Roman;Times;serif"/>
                <w:sz w:val="24"/>
              </w:rPr>
              <w:t>Except to the extent pertaining exclusively to any Excluded Asset or Excluded Liability, all rights in respect of Legal Proceedings, recoveries, refunds (other than Tax refunds with respect to periods (or portions thereof) ending on or prior to the Closing Date), counterclaims, rights of set-off and other claims (including indemnification Contracts in favor of Seller), whether known or unknown, matured or unmatured, accrued or contingent, that Seller may have against any Person, including claims against any Person for compensation or benefits, insurance claims, claims of infringement or past infringement, in each case related specifically to the Business.</w:t>
            </w:r>
          </w:p>
        </w:tc>
      </w:tr>
    </w:tbl>
    <w:tbl>
      <w:tblPr>
        <w:tblW w:w="10205" w:type="dxa"/>
        <w:jc w:val="left"/>
        <w:tblInd w:w="0" w:type="dxa"/>
        <w:tblCellMar>
          <w:top w:w="0" w:type="dxa"/>
          <w:left w:w="0" w:type="dxa"/>
          <w:bottom w:w="0" w:type="dxa"/>
          <w:right w:w="0" w:type="dxa"/>
        </w:tblCellMar>
      </w:tblPr>
      <w:tblGrid>
        <w:gridCol w:w="282"/>
        <w:gridCol w:w="9923"/>
      </w:tblGrid>
      <w:tr>
        <w:trPr/>
        <w:tc>
          <w:tcPr>
            <w:tcW w:w="282" w:type="dxa"/>
            <w:tcBorders/>
            <w:shd w:fill="auto" w:val="clear"/>
            <w:vAlign w:val="center"/>
          </w:tcPr>
          <w:p>
            <w:pPr>
              <w:pStyle w:val="TableContents"/>
              <w:spacing w:before="0" w:after="120"/>
              <w:jc w:val="both"/>
              <w:rPr>
                <w:rFonts w:ascii="Times New Roman;Times;serif" w:hAnsi="Times New Roman;Times;serif"/>
                <w:sz w:val="24"/>
              </w:rPr>
            </w:pPr>
            <w:r>
              <w:rPr>
                <w:rFonts w:ascii="Times New Roman;Times;serif" w:hAnsi="Times New Roman;Times;serif"/>
                <w:sz w:val="24"/>
              </w:rPr>
              <w:t>(ix)</w:t>
            </w:r>
          </w:p>
        </w:tc>
        <w:tc>
          <w:tcPr>
            <w:tcW w:w="9923" w:type="dxa"/>
            <w:tcBorders/>
            <w:shd w:fill="auto" w:val="clear"/>
            <w:vAlign w:val="center"/>
          </w:tcPr>
          <w:p>
            <w:pPr>
              <w:pStyle w:val="TableContents"/>
              <w:spacing w:before="0" w:after="120"/>
              <w:jc w:val="both"/>
              <w:rPr>
                <w:rFonts w:ascii="Times New Roman;Times;serif" w:hAnsi="Times New Roman;Times;serif"/>
                <w:sz w:val="24"/>
              </w:rPr>
            </w:pPr>
            <w:r>
              <w:rPr>
                <w:rFonts w:ascii="Times New Roman;Times;serif" w:hAnsi="Times New Roman;Times;serif"/>
                <w:sz w:val="24"/>
              </w:rPr>
              <w:t>All books and records of Seller relating primarily to the Business, including all operating records, data and other materials maintained by the Business, including all sales and sales promotional data, advertising materials, customer lists and records, research and development reports, credit information, cost and pricing information, supplier lists and records, business plans, catalogs, price lists, correspondence, mailing lists, distribution lists, photographs, production data, service and warranty records, engineering records, personnel and payroll records relating to hired employees, manufacturing and quality control records and procedures, blueprints, accounting records, information relating to any Taxes (other than those that relate solely to Excluded Assets or Excluded Liabilities, plans, specifications, surveys, property records, manuals and other materials related to any of the foregoing items.</w:t>
            </w:r>
          </w:p>
        </w:tc>
      </w:tr>
    </w:tbl>
    <w:tbl>
      <w:tblPr>
        <w:tblW w:w="10205" w:type="dxa"/>
        <w:jc w:val="left"/>
        <w:tblInd w:w="0" w:type="dxa"/>
        <w:tblCellMar>
          <w:top w:w="0" w:type="dxa"/>
          <w:left w:w="0" w:type="dxa"/>
          <w:bottom w:w="0" w:type="dxa"/>
          <w:right w:w="0" w:type="dxa"/>
        </w:tblCellMar>
      </w:tblPr>
      <w:tblGrid>
        <w:gridCol w:w="240"/>
        <w:gridCol w:w="9965"/>
      </w:tblGrid>
      <w:tr>
        <w:trPr/>
        <w:tc>
          <w:tcPr>
            <w:tcW w:w="240" w:type="dxa"/>
            <w:tcBorders/>
            <w:shd w:fill="auto" w:val="clear"/>
            <w:vAlign w:val="center"/>
          </w:tcPr>
          <w:p>
            <w:pPr>
              <w:pStyle w:val="TableContents"/>
              <w:spacing w:before="0" w:after="120"/>
              <w:jc w:val="both"/>
              <w:rPr>
                <w:rFonts w:ascii="Times New Roman;Times;serif" w:hAnsi="Times New Roman;Times;serif"/>
                <w:sz w:val="24"/>
              </w:rPr>
            </w:pPr>
            <w:r>
              <w:rPr>
                <w:rFonts w:ascii="Times New Roman;Times;serif" w:hAnsi="Times New Roman;Times;serif"/>
                <w:sz w:val="24"/>
              </w:rPr>
              <w:t>(x)</w:t>
            </w:r>
          </w:p>
        </w:tc>
        <w:tc>
          <w:tcPr>
            <w:tcW w:w="9965" w:type="dxa"/>
            <w:tcBorders/>
            <w:shd w:fill="auto" w:val="clear"/>
            <w:vAlign w:val="center"/>
          </w:tcPr>
          <w:p>
            <w:pPr>
              <w:pStyle w:val="TableContents"/>
              <w:spacing w:before="0" w:after="120"/>
              <w:jc w:val="both"/>
              <w:rPr>
                <w:rFonts w:ascii="Times New Roman;Times;serif" w:hAnsi="Times New Roman;Times;serif"/>
                <w:sz w:val="24"/>
              </w:rPr>
            </w:pPr>
            <w:r>
              <w:rPr>
                <w:rFonts w:ascii="Times New Roman;Times;serif" w:hAnsi="Times New Roman;Times;serif"/>
                <w:sz w:val="24"/>
              </w:rPr>
              <w:t>All telephone numbers, facsimile numbers and email addresses, and all rights to receive mail and other communications addressed to Seller (except to the extent relating exclusively to any Excluded Asset or Excluded Liability), in each case related specifically to the Business.</w:t>
            </w:r>
          </w:p>
        </w:tc>
      </w:tr>
    </w:tbl>
    <w:tbl>
      <w:tblPr>
        <w:tblW w:w="4690" w:type="dxa"/>
        <w:jc w:val="left"/>
        <w:tblInd w:w="0" w:type="dxa"/>
        <w:tblCellMar>
          <w:top w:w="0" w:type="dxa"/>
          <w:left w:w="0" w:type="dxa"/>
          <w:bottom w:w="0" w:type="dxa"/>
          <w:right w:w="0" w:type="dxa"/>
        </w:tblCellMar>
      </w:tblPr>
      <w:tblGrid>
        <w:gridCol w:w="350"/>
        <w:gridCol w:w="4340"/>
      </w:tblGrid>
      <w:tr>
        <w:trPr/>
        <w:tc>
          <w:tcPr>
            <w:tcW w:w="350" w:type="dxa"/>
            <w:tcBorders/>
            <w:shd w:fill="auto" w:val="clear"/>
            <w:vAlign w:val="center"/>
          </w:tcPr>
          <w:p>
            <w:pPr>
              <w:pStyle w:val="TableContents"/>
              <w:spacing w:before="0" w:after="120"/>
              <w:jc w:val="both"/>
              <w:rPr>
                <w:rFonts w:ascii="Times New Roman;Times;serif" w:hAnsi="Times New Roman;Times;serif"/>
                <w:sz w:val="24"/>
              </w:rPr>
            </w:pPr>
            <w:r>
              <w:rPr>
                <w:rFonts w:ascii="Times New Roman;Times;serif" w:hAnsi="Times New Roman;Times;serif"/>
                <w:sz w:val="24"/>
              </w:rPr>
              <w:t>(xi)</w:t>
            </w:r>
          </w:p>
        </w:tc>
        <w:tc>
          <w:tcPr>
            <w:tcW w:w="4340" w:type="dxa"/>
            <w:tcBorders/>
            <w:shd w:fill="auto" w:val="clear"/>
            <w:vAlign w:val="center"/>
          </w:tcPr>
          <w:p>
            <w:pPr>
              <w:pStyle w:val="TableContents"/>
              <w:spacing w:before="0" w:after="120"/>
              <w:jc w:val="both"/>
              <w:rPr>
                <w:rFonts w:ascii="Times New Roman;Times;serif" w:hAnsi="Times New Roman;Times;serif"/>
                <w:sz w:val="24"/>
              </w:rPr>
            </w:pPr>
            <w:r>
              <w:rPr>
                <w:rFonts w:ascii="Times New Roman;Times;serif" w:hAnsi="Times New Roman;Times;serif"/>
                <w:sz w:val="24"/>
              </w:rPr>
              <w:t>Real Property Lease for the Denver Location.</w:t>
            </w:r>
          </w:p>
        </w:tc>
      </w:tr>
    </w:tbl>
    <w:tbl>
      <w:tblPr>
        <w:tblW w:w="4450" w:type="dxa"/>
        <w:jc w:val="left"/>
        <w:tblInd w:w="0" w:type="dxa"/>
        <w:tblCellMar>
          <w:top w:w="0" w:type="dxa"/>
          <w:left w:w="0" w:type="dxa"/>
          <w:bottom w:w="0" w:type="dxa"/>
          <w:right w:w="0" w:type="dxa"/>
        </w:tblCellMar>
      </w:tblPr>
      <w:tblGrid>
        <w:gridCol w:w="410"/>
        <w:gridCol w:w="4040"/>
      </w:tblGrid>
      <w:tr>
        <w:trPr/>
        <w:tc>
          <w:tcPr>
            <w:tcW w:w="410" w:type="dxa"/>
            <w:tcBorders/>
            <w:shd w:fill="auto" w:val="clear"/>
            <w:vAlign w:val="center"/>
          </w:tcPr>
          <w:p>
            <w:pPr>
              <w:pStyle w:val="TableContents"/>
              <w:spacing w:before="0" w:after="120"/>
              <w:jc w:val="both"/>
              <w:rPr>
                <w:rFonts w:ascii="Times New Roman;Times;serif" w:hAnsi="Times New Roman;Times;serif"/>
                <w:sz w:val="24"/>
              </w:rPr>
            </w:pPr>
            <w:r>
              <w:rPr>
                <w:rFonts w:ascii="Times New Roman;Times;serif" w:hAnsi="Times New Roman;Times;serif"/>
                <w:sz w:val="24"/>
              </w:rPr>
              <w:t>(xii)</w:t>
            </w:r>
          </w:p>
        </w:tc>
        <w:tc>
          <w:tcPr>
            <w:tcW w:w="4040" w:type="dxa"/>
            <w:tcBorders/>
            <w:shd w:fill="auto" w:val="clear"/>
            <w:vAlign w:val="center"/>
          </w:tcPr>
          <w:p>
            <w:pPr>
              <w:pStyle w:val="TableContents"/>
              <w:spacing w:before="0" w:after="120"/>
              <w:jc w:val="both"/>
              <w:rPr>
                <w:rFonts w:ascii="Times New Roman;Times;serif" w:hAnsi="Times New Roman;Times;serif"/>
                <w:sz w:val="24"/>
              </w:rPr>
            </w:pPr>
            <w:r>
              <w:rPr>
                <w:rFonts w:ascii="Times New Roman;Times;serif" w:hAnsi="Times New Roman;Times;serif"/>
                <w:sz w:val="24"/>
              </w:rPr>
              <w:t>Dunbar cash safes at the Denver Location.</w:t>
            </w:r>
          </w:p>
        </w:tc>
      </w:tr>
    </w:tbl>
    <w:p>
      <w:pPr>
        <w:pStyle w:val="TextBody"/>
        <w:pBdr/>
        <w:spacing w:before="0" w:after="120"/>
        <w:ind w:left="576" w:right="0" w:hanging="720"/>
        <w:jc w:val="both"/>
        <w:rPr/>
      </w:pPr>
      <w:r>
        <w:rPr/>
        <w:t>​</w:t>
      </w:r>
    </w:p>
    <w:p>
      <w:pPr>
        <w:pStyle w:val="TextBody"/>
        <w:spacing w:before="0" w:after="0"/>
        <w:ind w:left="0" w:right="0" w:hanging="0"/>
        <w:rPr/>
      </w:pPr>
      <w:r>
        <w:rPr/>
        <w:t>​</w:t>
      </w:r>
    </w:p>
    <w:p>
      <w:pPr>
        <w:pStyle w:val="HorizontalLine"/>
        <w:rPr/>
      </w:pPr>
      <w:r>
        <w:rPr/>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Exhibit B</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SCHEDULE 1.1(b)</w:t>
      </w:r>
    </w:p>
    <w:p>
      <w:pPr>
        <w:pStyle w:val="TextBody"/>
        <w:spacing w:before="0" w:after="100"/>
        <w:ind w:left="0" w:right="0" w:hanging="0"/>
        <w:jc w:val="center"/>
        <w:rPr>
          <w:rFonts w:ascii="Times New Roman;Times;serif" w:hAnsi="Times New Roman;Times;serif"/>
          <w:b/>
          <w:sz w:val="24"/>
        </w:rPr>
      </w:pPr>
      <w:r>
        <w:rPr>
          <w:rFonts w:ascii="Times New Roman;Times;serif" w:hAnsi="Times New Roman;Times;serif"/>
          <w:b/>
          <w:sz w:val="24"/>
        </w:rPr>
        <w:t>EXCLUDED ASSETS</w:t>
      </w:r>
    </w:p>
    <w:tbl>
      <w:tblPr>
        <w:tblW w:w="10205" w:type="dxa"/>
        <w:jc w:val="left"/>
        <w:tblInd w:w="0" w:type="dxa"/>
        <w:tblCellMar>
          <w:top w:w="0" w:type="dxa"/>
          <w:left w:w="0" w:type="dxa"/>
          <w:bottom w:w="0" w:type="dxa"/>
          <w:right w:w="0" w:type="dxa"/>
        </w:tblCellMar>
      </w:tblPr>
      <w:tblGrid>
        <w:gridCol w:w="173"/>
        <w:gridCol w:w="10032"/>
      </w:tblGrid>
      <w:tr>
        <w:trPr/>
        <w:tc>
          <w:tcPr>
            <w:tcW w:w="173"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(i)</w:t>
            </w:r>
          </w:p>
        </w:tc>
        <w:tc>
          <w:tcPr>
            <w:tcW w:w="10032"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All records related to Seller’s organization, maintenance, existence and good standing as a corporation, namely Seller’s certificate of formation, operating agreement, qualifications to conduct business as a foreign entity, taxpayer and other identification numbers, minute books and Tax records (provided that Buyer will be entitled to copies of such Tax records that are related to the Business).</w:t>
            </w:r>
          </w:p>
        </w:tc>
      </w:tr>
    </w:tbl>
    <w:tbl>
      <w:tblPr>
        <w:tblW w:w="7300" w:type="dxa"/>
        <w:jc w:val="left"/>
        <w:tblInd w:w="0" w:type="dxa"/>
        <w:tblCellMar>
          <w:top w:w="0" w:type="dxa"/>
          <w:left w:w="0" w:type="dxa"/>
          <w:bottom w:w="0" w:type="dxa"/>
          <w:right w:w="0" w:type="dxa"/>
        </w:tblCellMar>
      </w:tblPr>
      <w:tblGrid>
        <w:gridCol w:w="290"/>
        <w:gridCol w:w="7010"/>
      </w:tblGrid>
      <w:tr>
        <w:trPr/>
        <w:tc>
          <w:tcPr>
            <w:tcW w:w="290"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(ii)</w:t>
            </w:r>
          </w:p>
        </w:tc>
        <w:tc>
          <w:tcPr>
            <w:tcW w:w="7010"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All rights in connection with and assets under all Employee Benefit Plans.</w:t>
            </w:r>
          </w:p>
        </w:tc>
      </w:tr>
    </w:tbl>
    <w:tbl>
      <w:tblPr>
        <w:tblW w:w="10205" w:type="dxa"/>
        <w:jc w:val="left"/>
        <w:tblInd w:w="0" w:type="dxa"/>
        <w:tblCellMar>
          <w:top w:w="0" w:type="dxa"/>
          <w:left w:w="0" w:type="dxa"/>
          <w:bottom w:w="0" w:type="dxa"/>
          <w:right w:w="0" w:type="dxa"/>
        </w:tblCellMar>
      </w:tblPr>
      <w:tblGrid>
        <w:gridCol w:w="309"/>
        <w:gridCol w:w="9896"/>
      </w:tblGrid>
      <w:tr>
        <w:trPr/>
        <w:tc>
          <w:tcPr>
            <w:tcW w:w="309"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(iii)</w:t>
            </w:r>
          </w:p>
        </w:tc>
        <w:tc>
          <w:tcPr>
            <w:tcW w:w="9896"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All insurance policies and prepayments related thereto (but excluding any rights to recovery under such insurance policies except to the extent pertaining exclusively to any Excluded Asset or Excluded Liability).</w:t>
            </w:r>
          </w:p>
        </w:tc>
      </w:tr>
    </w:tbl>
    <w:tbl>
      <w:tblPr>
        <w:tblW w:w="6940" w:type="dxa"/>
        <w:jc w:val="left"/>
        <w:tblInd w:w="0" w:type="dxa"/>
        <w:tblCellMar>
          <w:top w:w="0" w:type="dxa"/>
          <w:left w:w="0" w:type="dxa"/>
          <w:bottom w:w="0" w:type="dxa"/>
          <w:right w:w="0" w:type="dxa"/>
        </w:tblCellMar>
      </w:tblPr>
      <w:tblGrid>
        <w:gridCol w:w="350"/>
        <w:gridCol w:w="6590"/>
      </w:tblGrid>
      <w:tr>
        <w:trPr/>
        <w:tc>
          <w:tcPr>
            <w:tcW w:w="350"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(iv)</w:t>
            </w:r>
          </w:p>
        </w:tc>
        <w:tc>
          <w:tcPr>
            <w:tcW w:w="6590"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Any rights of Seller under this Agreement or any Related Agreement.</w:t>
            </w:r>
          </w:p>
        </w:tc>
      </w:tr>
    </w:tbl>
    <w:tbl>
      <w:tblPr>
        <w:tblW w:w="5140" w:type="dxa"/>
        <w:jc w:val="left"/>
        <w:tblInd w:w="0" w:type="dxa"/>
        <w:tblCellMar>
          <w:top w:w="0" w:type="dxa"/>
          <w:left w:w="0" w:type="dxa"/>
          <w:bottom w:w="0" w:type="dxa"/>
          <w:right w:w="0" w:type="dxa"/>
        </w:tblCellMar>
      </w:tblPr>
      <w:tblGrid>
        <w:gridCol w:w="290"/>
        <w:gridCol w:w="4850"/>
      </w:tblGrid>
      <w:tr>
        <w:trPr/>
        <w:tc>
          <w:tcPr>
            <w:tcW w:w="290"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(v)</w:t>
            </w:r>
          </w:p>
        </w:tc>
        <w:tc>
          <w:tcPr>
            <w:tcW w:w="4850"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Cash and cash equivalents, other than Target Cash.</w:t>
            </w:r>
          </w:p>
        </w:tc>
      </w:tr>
    </w:tbl>
    <w:tbl>
      <w:tblPr>
        <w:tblW w:w="7915" w:type="dxa"/>
        <w:jc w:val="left"/>
        <w:tblInd w:w="0" w:type="dxa"/>
        <w:tblCellMar>
          <w:top w:w="0" w:type="dxa"/>
          <w:left w:w="0" w:type="dxa"/>
          <w:bottom w:w="0" w:type="dxa"/>
          <w:right w:w="0" w:type="dxa"/>
        </w:tblCellMar>
      </w:tblPr>
      <w:tblGrid>
        <w:gridCol w:w="350"/>
        <w:gridCol w:w="7565"/>
      </w:tblGrid>
      <w:tr>
        <w:trPr/>
        <w:tc>
          <w:tcPr>
            <w:tcW w:w="350"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(vi)</w:t>
            </w:r>
          </w:p>
        </w:tc>
        <w:tc>
          <w:tcPr>
            <w:tcW w:w="7565"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All credit cards, debit cards and similar credit and banking instruments of Seller.</w:t>
            </w:r>
          </w:p>
        </w:tc>
      </w:tr>
    </w:tbl>
    <w:tbl>
      <w:tblPr>
        <w:tblW w:w="10205" w:type="dxa"/>
        <w:jc w:val="left"/>
        <w:tblInd w:w="0" w:type="dxa"/>
        <w:tblCellMar>
          <w:top w:w="0" w:type="dxa"/>
          <w:left w:w="0" w:type="dxa"/>
          <w:bottom w:w="0" w:type="dxa"/>
          <w:right w:w="0" w:type="dxa"/>
        </w:tblCellMar>
      </w:tblPr>
      <w:tblGrid>
        <w:gridCol w:w="390"/>
        <w:gridCol w:w="9815"/>
      </w:tblGrid>
      <w:tr>
        <w:trPr/>
        <w:tc>
          <w:tcPr>
            <w:tcW w:w="390"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(vii)</w:t>
            </w:r>
          </w:p>
        </w:tc>
        <w:tc>
          <w:tcPr>
            <w:tcW w:w="9815"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Any Tax refunds or overpayments of Taxes of Seller with respect to periods (or portions thereof) ending on or prior to the Closing Date.</w:t>
            </w:r>
          </w:p>
        </w:tc>
      </w:tr>
    </w:tbl>
    <w:tbl>
      <w:tblPr>
        <w:tblW w:w="3985" w:type="dxa"/>
        <w:jc w:val="left"/>
        <w:tblInd w:w="0" w:type="dxa"/>
        <w:tblCellMar>
          <w:top w:w="0" w:type="dxa"/>
          <w:left w:w="0" w:type="dxa"/>
          <w:bottom w:w="0" w:type="dxa"/>
          <w:right w:w="0" w:type="dxa"/>
        </w:tblCellMar>
      </w:tblPr>
      <w:tblGrid>
        <w:gridCol w:w="470"/>
        <w:gridCol w:w="3515"/>
      </w:tblGrid>
      <w:tr>
        <w:trPr/>
        <w:tc>
          <w:tcPr>
            <w:tcW w:w="470"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(viii)</w:t>
            </w:r>
          </w:p>
        </w:tc>
        <w:tc>
          <w:tcPr>
            <w:tcW w:w="3515"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Cell phones and cell phone numbers.</w:t>
            </w:r>
          </w:p>
        </w:tc>
      </w:tr>
    </w:tbl>
    <w:tbl>
      <w:tblPr>
        <w:tblW w:w="10205" w:type="dxa"/>
        <w:jc w:val="left"/>
        <w:tblInd w:w="0" w:type="dxa"/>
        <w:tblCellMar>
          <w:top w:w="0" w:type="dxa"/>
          <w:left w:w="0" w:type="dxa"/>
          <w:bottom w:w="0" w:type="dxa"/>
          <w:right w:w="0" w:type="dxa"/>
        </w:tblCellMar>
      </w:tblPr>
      <w:tblGrid>
        <w:gridCol w:w="306"/>
        <w:gridCol w:w="9899"/>
      </w:tblGrid>
      <w:tr>
        <w:trPr/>
        <w:tc>
          <w:tcPr>
            <w:tcW w:w="306"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(ix)</w:t>
            </w:r>
          </w:p>
        </w:tc>
        <w:tc>
          <w:tcPr>
            <w:tcW w:w="9899"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All right, title and interest in and to the use of “Lightshade” and all other trademarks or similar or related names or phrases (and all goodwill relating to the foregoing) and all domain names used in the Business (“Excluded Seller IP”).</w:t>
            </w:r>
          </w:p>
        </w:tc>
      </w:tr>
    </w:tbl>
    <w:tbl>
      <w:tblPr>
        <w:tblW w:w="8830" w:type="dxa"/>
        <w:jc w:val="left"/>
        <w:tblInd w:w="0" w:type="dxa"/>
        <w:tblCellMar>
          <w:top w:w="0" w:type="dxa"/>
          <w:left w:w="0" w:type="dxa"/>
          <w:bottom w:w="0" w:type="dxa"/>
          <w:right w:w="0" w:type="dxa"/>
        </w:tblCellMar>
      </w:tblPr>
      <w:tblGrid>
        <w:gridCol w:w="290"/>
        <w:gridCol w:w="8540"/>
      </w:tblGrid>
      <w:tr>
        <w:trPr/>
        <w:tc>
          <w:tcPr>
            <w:tcW w:w="290"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(x)</w:t>
            </w:r>
          </w:p>
        </w:tc>
        <w:tc>
          <w:tcPr>
            <w:tcW w:w="8540"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All other assets and businesses of Seller except for the Business and the Purchased Assets.</w:t>
            </w:r>
          </w:p>
        </w:tc>
      </w:tr>
    </w:tbl>
    <w:tbl>
      <w:tblPr>
        <w:tblW w:w="5695" w:type="dxa"/>
        <w:jc w:val="left"/>
        <w:tblInd w:w="0" w:type="dxa"/>
        <w:tblCellMar>
          <w:top w:w="0" w:type="dxa"/>
          <w:left w:w="0" w:type="dxa"/>
          <w:bottom w:w="0" w:type="dxa"/>
          <w:right w:w="0" w:type="dxa"/>
        </w:tblCellMar>
      </w:tblPr>
      <w:tblGrid>
        <w:gridCol w:w="350"/>
        <w:gridCol w:w="5345"/>
      </w:tblGrid>
      <w:tr>
        <w:trPr/>
        <w:tc>
          <w:tcPr>
            <w:tcW w:w="350"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(xi)</w:t>
            </w:r>
          </w:p>
        </w:tc>
        <w:tc>
          <w:tcPr>
            <w:tcW w:w="5345"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All Contracts other than the Assigned Contracts (if any).</w:t>
            </w:r>
          </w:p>
        </w:tc>
      </w:tr>
    </w:tbl>
    <w:tbl>
      <w:tblPr>
        <w:tblW w:w="2800" w:type="dxa"/>
        <w:jc w:val="left"/>
        <w:tblInd w:w="0" w:type="dxa"/>
        <w:tblCellMar>
          <w:top w:w="0" w:type="dxa"/>
          <w:left w:w="0" w:type="dxa"/>
          <w:bottom w:w="0" w:type="dxa"/>
          <w:right w:w="0" w:type="dxa"/>
        </w:tblCellMar>
      </w:tblPr>
      <w:tblGrid>
        <w:gridCol w:w="410"/>
        <w:gridCol w:w="2390"/>
      </w:tblGrid>
      <w:tr>
        <w:trPr/>
        <w:tc>
          <w:tcPr>
            <w:tcW w:w="410"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(xii)</w:t>
            </w:r>
          </w:p>
        </w:tc>
        <w:tc>
          <w:tcPr>
            <w:tcW w:w="2390"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USCGP Fee Agreement.</w:t>
            </w:r>
          </w:p>
        </w:tc>
      </w:tr>
    </w:tbl>
    <w:p>
      <w:pPr>
        <w:pStyle w:val="TextBody"/>
        <w:pBdr/>
        <w:spacing w:before="0" w:after="100"/>
        <w:ind w:left="0" w:right="0" w:hanging="720"/>
        <w:jc w:val="both"/>
        <w:rPr/>
      </w:pPr>
      <w:r>
        <w:rPr/>
        <w:t>​</w:t>
      </w:r>
    </w:p>
    <w:p>
      <w:pPr>
        <w:pStyle w:val="TextBody"/>
        <w:spacing w:before="0" w:after="0"/>
        <w:ind w:left="0" w:right="0" w:hanging="0"/>
        <w:rPr/>
      </w:pPr>
      <w:r>
        <w:rPr/>
        <w:t>​</w:t>
      </w:r>
    </w:p>
    <w:p>
      <w:pPr>
        <w:pStyle w:val="HorizontalLine"/>
        <w:rPr/>
      </w:pPr>
      <w:r>
        <w:rPr/>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Exhibit C</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SCHEDULE 1.2(b)</w:t>
      </w:r>
    </w:p>
    <w:p>
      <w:pPr>
        <w:pStyle w:val="TextBody"/>
        <w:spacing w:before="0" w:after="100"/>
        <w:ind w:left="0" w:right="0" w:hanging="0"/>
        <w:jc w:val="center"/>
        <w:rPr>
          <w:rFonts w:ascii="Times New Roman;Times;serif" w:hAnsi="Times New Roman;Times;serif"/>
          <w:b/>
          <w:sz w:val="24"/>
        </w:rPr>
      </w:pPr>
      <w:r>
        <w:rPr>
          <w:rFonts w:ascii="Times New Roman;Times;serif" w:hAnsi="Times New Roman;Times;serif"/>
          <w:b/>
          <w:sz w:val="24"/>
        </w:rPr>
        <w:t>EXCLUDED LIABILITIES</w:t>
      </w:r>
    </w:p>
    <w:p>
      <w:pPr>
        <w:pStyle w:val="TextBody"/>
        <w:spacing w:before="0" w:after="1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Any Liability of Seller (including any Indebtedness of Seller).</w:t>
      </w:r>
    </w:p>
    <w:tbl>
      <w:tblPr>
        <w:tblW w:w="10205" w:type="dxa"/>
        <w:jc w:val="left"/>
        <w:tblInd w:w="0" w:type="dxa"/>
        <w:tblCellMar>
          <w:top w:w="0" w:type="dxa"/>
          <w:left w:w="0" w:type="dxa"/>
          <w:bottom w:w="0" w:type="dxa"/>
          <w:right w:w="0" w:type="dxa"/>
        </w:tblCellMar>
      </w:tblPr>
      <w:tblGrid>
        <w:gridCol w:w="234"/>
        <w:gridCol w:w="9971"/>
      </w:tblGrid>
      <w:tr>
        <w:trPr/>
        <w:tc>
          <w:tcPr>
            <w:tcW w:w="234"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(ii)</w:t>
            </w:r>
          </w:p>
        </w:tc>
        <w:tc>
          <w:tcPr>
            <w:tcW w:w="9971"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Any Liability of any Person, directly or indirectly related to, accruing or arising out of, caused by or resulting from the operation or conduct of the Business or the ownership of the Purchased Assets prior to the Closing, whether or not recorded on the books and records of any Person (including any accounts payable to third parties that remain outstanding as of the Closing).</w:t>
            </w:r>
          </w:p>
        </w:tc>
      </w:tr>
    </w:tbl>
    <w:p>
      <w:pPr>
        <w:pStyle w:val="TextBody"/>
        <w:spacing w:before="0" w:after="1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(iii)</w:t>
      </w:r>
      <w:r>
        <w:rPr>
          <w:rFonts w:ascii="Times New Roman;Times;serif" w:hAnsi="Times New Roman;Times;serif"/>
          <w:sz w:val="24"/>
        </w:rPr>
        <w:t>Any Liability arising under or in any way related to the Employee Benefit Plans.</w:t>
      </w:r>
    </w:p>
    <w:tbl>
      <w:tblPr>
        <w:tblW w:w="10205" w:type="dxa"/>
        <w:jc w:val="left"/>
        <w:tblInd w:w="0" w:type="dxa"/>
        <w:tblCellMar>
          <w:top w:w="0" w:type="dxa"/>
          <w:left w:w="0" w:type="dxa"/>
          <w:bottom w:w="0" w:type="dxa"/>
          <w:right w:w="0" w:type="dxa"/>
        </w:tblCellMar>
      </w:tblPr>
      <w:tblGrid>
        <w:gridCol w:w="308"/>
        <w:gridCol w:w="9897"/>
      </w:tblGrid>
      <w:tr>
        <w:trPr/>
        <w:tc>
          <w:tcPr>
            <w:tcW w:w="308"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(iv)</w:t>
            </w:r>
          </w:p>
        </w:tc>
        <w:tc>
          <w:tcPr>
            <w:tcW w:w="9897"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Any Liability that would become a Liability of Buyer as a matter of Law in connection with this Agreement, agreement executed or delivered in connection herewith, or the transactions contemplated hereby or thereby.</w:t>
            </w:r>
          </w:p>
        </w:tc>
      </w:tr>
    </w:tbl>
    <w:tbl>
      <w:tblPr>
        <w:tblW w:w="10205" w:type="dxa"/>
        <w:jc w:val="left"/>
        <w:tblInd w:w="0" w:type="dxa"/>
        <w:tblCellMar>
          <w:top w:w="0" w:type="dxa"/>
          <w:left w:w="0" w:type="dxa"/>
          <w:bottom w:w="0" w:type="dxa"/>
          <w:right w:w="0" w:type="dxa"/>
        </w:tblCellMar>
      </w:tblPr>
      <w:tblGrid>
        <w:gridCol w:w="237"/>
        <w:gridCol w:w="9968"/>
      </w:tblGrid>
      <w:tr>
        <w:trPr/>
        <w:tc>
          <w:tcPr>
            <w:tcW w:w="237"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(v)</w:t>
            </w:r>
          </w:p>
        </w:tc>
        <w:tc>
          <w:tcPr>
            <w:tcW w:w="9968"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Any Liability in respect of Taxes of Seller (or any successor or Affiliate), or any Liability in respect of any Taxes arising from or relating to the Business or the Purchased Assets or ownership or operation thereof for or accruing or arising at any time in respect of any period (or portion thereof) ending on or prior to the Closing.</w:t>
            </w:r>
          </w:p>
        </w:tc>
      </w:tr>
    </w:tbl>
    <w:tbl>
      <w:tblPr>
        <w:tblW w:w="10205" w:type="dxa"/>
        <w:jc w:val="left"/>
        <w:tblInd w:w="0" w:type="dxa"/>
        <w:tblCellMar>
          <w:top w:w="0" w:type="dxa"/>
          <w:left w:w="0" w:type="dxa"/>
          <w:bottom w:w="0" w:type="dxa"/>
          <w:right w:w="0" w:type="dxa"/>
        </w:tblCellMar>
      </w:tblPr>
      <w:tblGrid>
        <w:gridCol w:w="325"/>
        <w:gridCol w:w="9880"/>
      </w:tblGrid>
      <w:tr>
        <w:trPr/>
        <w:tc>
          <w:tcPr>
            <w:tcW w:w="325"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(vi)</w:t>
            </w:r>
          </w:p>
        </w:tc>
        <w:tc>
          <w:tcPr>
            <w:tcW w:w="9880"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Any Liability directly or indirectly related to, accruing or arising out of, caused by or resulting from the operation or ownership of the Excluded Assets.</w:t>
            </w:r>
          </w:p>
        </w:tc>
      </w:tr>
    </w:tbl>
    <w:tbl>
      <w:tblPr>
        <w:tblW w:w="10205" w:type="dxa"/>
        <w:jc w:val="left"/>
        <w:tblInd w:w="0" w:type="dxa"/>
        <w:tblCellMar>
          <w:top w:w="0" w:type="dxa"/>
          <w:left w:w="0" w:type="dxa"/>
          <w:bottom w:w="0" w:type="dxa"/>
          <w:right w:w="0" w:type="dxa"/>
        </w:tblCellMar>
      </w:tblPr>
      <w:tblGrid>
        <w:gridCol w:w="377"/>
        <w:gridCol w:w="9828"/>
      </w:tblGrid>
      <w:tr>
        <w:trPr/>
        <w:tc>
          <w:tcPr>
            <w:tcW w:w="377"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(vii)</w:t>
            </w:r>
          </w:p>
        </w:tc>
        <w:tc>
          <w:tcPr>
            <w:tcW w:w="9828"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Any Liability relating to the Transferred Employees or any other employees of the Business prior to the Closing, and any accrued but unused vacation of any such employees.</w:t>
            </w:r>
          </w:p>
        </w:tc>
      </w:tr>
    </w:tbl>
    <w:p>
      <w:pPr>
        <w:pStyle w:val="TextBody"/>
        <w:spacing w:before="0" w:after="1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(viii)</w:t>
      </w:r>
      <w:r>
        <w:rPr>
          <w:rFonts w:ascii="Times New Roman;Times;serif" w:hAnsi="Times New Roman;Times;serif"/>
          <w:sz w:val="24"/>
        </w:rPr>
        <w:t>Any Excluded Employees.</w:t>
      </w:r>
    </w:p>
    <w:tbl>
      <w:tblPr>
        <w:tblW w:w="10205" w:type="dxa"/>
        <w:jc w:val="left"/>
        <w:tblInd w:w="0" w:type="dxa"/>
        <w:tblCellMar>
          <w:top w:w="0" w:type="dxa"/>
          <w:left w:w="0" w:type="dxa"/>
          <w:bottom w:w="0" w:type="dxa"/>
          <w:right w:w="0" w:type="dxa"/>
        </w:tblCellMar>
      </w:tblPr>
      <w:tblGrid>
        <w:gridCol w:w="315"/>
        <w:gridCol w:w="9890"/>
      </w:tblGrid>
      <w:tr>
        <w:trPr/>
        <w:tc>
          <w:tcPr>
            <w:tcW w:w="315"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(ix)</w:t>
            </w:r>
          </w:p>
        </w:tc>
        <w:tc>
          <w:tcPr>
            <w:tcW w:w="9890"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Any Liability relating to any breach or default by Seller under any Real Property Lease and any Liability of Seller relating to or arising from any Real Property Lease prior to the Closing.</w:t>
            </w:r>
          </w:p>
        </w:tc>
      </w:tr>
    </w:tbl>
    <w:tbl>
      <w:tblPr>
        <w:tblW w:w="10205" w:type="dxa"/>
        <w:jc w:val="left"/>
        <w:tblInd w:w="0" w:type="dxa"/>
        <w:tblCellMar>
          <w:top w:w="0" w:type="dxa"/>
          <w:left w:w="0" w:type="dxa"/>
          <w:bottom w:w="0" w:type="dxa"/>
          <w:right w:w="0" w:type="dxa"/>
        </w:tblCellMar>
      </w:tblPr>
      <w:tblGrid>
        <w:gridCol w:w="260"/>
        <w:gridCol w:w="9945"/>
      </w:tblGrid>
      <w:tr>
        <w:trPr/>
        <w:tc>
          <w:tcPr>
            <w:tcW w:w="260"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(x)</w:t>
            </w:r>
          </w:p>
        </w:tc>
        <w:tc>
          <w:tcPr>
            <w:tcW w:w="9945"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Any Liability arising from or relating to the USCGP Fee Agreement, including, without limitation, any breach or default by Seller under the USCGP Fee Agreement.</w:t>
            </w:r>
          </w:p>
        </w:tc>
      </w:tr>
    </w:tbl>
    <w:tbl>
      <w:tblPr>
        <w:tblW w:w="9790" w:type="dxa"/>
        <w:jc w:val="left"/>
        <w:tblInd w:w="0" w:type="dxa"/>
        <w:tblCellMar>
          <w:top w:w="0" w:type="dxa"/>
          <w:left w:w="0" w:type="dxa"/>
          <w:bottom w:w="0" w:type="dxa"/>
          <w:right w:w="0" w:type="dxa"/>
        </w:tblCellMar>
      </w:tblPr>
      <w:tblGrid>
        <w:gridCol w:w="350"/>
        <w:gridCol w:w="9440"/>
      </w:tblGrid>
      <w:tr>
        <w:trPr/>
        <w:tc>
          <w:tcPr>
            <w:tcW w:w="350"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(xi)</w:t>
            </w:r>
          </w:p>
        </w:tc>
        <w:tc>
          <w:tcPr>
            <w:tcW w:w="9440" w:type="dxa"/>
            <w:tcBorders/>
            <w:shd w:fill="auto" w:val="clear"/>
            <w:vAlign w:val="center"/>
          </w:tcPr>
          <w:p>
            <w:pPr>
              <w:pStyle w:val="TableContents"/>
              <w:spacing w:before="0" w:after="100"/>
              <w:jc w:val="both"/>
              <w:rPr>
                <w:rFonts w:ascii="Times New Roman;Times;serif" w:hAnsi="Times New Roman;Times;serif"/>
                <w:sz w:val="24"/>
              </w:rPr>
            </w:pPr>
            <w:r>
              <w:rPr>
                <w:rFonts w:ascii="Times New Roman;Times;serif" w:hAnsi="Times New Roman;Times;serif"/>
                <w:sz w:val="24"/>
              </w:rPr>
              <w:t>Any Liability arising from or relating to the USCGP Lien, whether prior to, on, or after the Closing.</w:t>
            </w:r>
          </w:p>
        </w:tc>
      </w:tr>
    </w:tbl>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1250" w:name="shwz-20221231xex4d1.htm"/>
      <w:bookmarkStart w:id="1251" w:name="ksshwz20221231xex4d1"/>
      <w:bookmarkEnd w:id="1250"/>
      <w:bookmarkEnd w:id="1251"/>
      <w:r>
        <w:rPr>
          <w:rFonts w:ascii="Times New Roman;Times;serif" w:hAnsi="Times New Roman;Times;serif"/>
          <w:b/>
          <w:sz w:val="20"/>
        </w:rPr>
        <w:t>Exhibit 4.1</w:t>
      </w:r>
    </w:p>
    <w:p>
      <w:pPr>
        <w:pStyle w:val="TextBody"/>
        <w:spacing w:before="0" w:after="0"/>
        <w:ind w:left="0" w:right="0" w:hanging="0"/>
        <w:jc w:val="right"/>
        <w:rPr/>
      </w:pPr>
      <w:r>
        <w:rPr/>
        <w:t>​</w:t>
      </w:r>
    </w:p>
    <w:p>
      <w:pPr>
        <w:pStyle w:val="TextBody"/>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Description of Securities of Medicine Man Technologies, Inc.</w:t>
      </w:r>
    </w:p>
    <w:p>
      <w:pPr>
        <w:pStyle w:val="TextBody"/>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Registered Pursuant to Section 12 of the Securities Exchange Act of 1934</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General</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following is a summary of information concerning the capital stock of Medicine Man Technologies, Inc. (hereinafter referred to as the “Company”, “our” and “we”). The summaries and descriptions below do not purport to be complete and are subject to and qualified in their entirety by reference to our Articles of Incorporation, as amended (the “Articles of Incorporation”), and our Amended and Restated Bylaws (the “Bylaws”), each of which are incorporated by reference as an exhibit to the Annual Report on Form 10-K of which this Exhibit 4.1 is a part. We encourage you to read our Articles of Incorporation, including the Certificate of Designation (as defined below), our Bylaws and any applicable provisions of relevant law, including the Nevada Revised Statutes. Our Common Stock (as defined below) is our only security registered pursuant to Section 12 of the Securities Exchange Act of 1934, as amended.</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Cannabis Law Compliance and Unsuitability Redemption Provision in Bylaws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Company holds various licenses from the Colorado Marijuana Enforcement Division and the New Mexico Cannabis Control Division to operate its cannabis businesses in Colorado and New Mexico. As a result, depending on the jurisdiction, beneficial owners with a 10% or greater interest, directors, executive officers, and other controlling owners are required to make filings with, and to be found suitable to be equity owners of a cannabis business in Colorado, by the Colorado Marijuana Enforcement Division, and in New Mexico, by the New Mexico Cannabis Control Division. The Bylaws provide that for as long as the Company holds (directly or indirectly) a license for a governmental agency to conduct its business, which license is conditioned upon some or all of the Company’s stockholders possessing certain qualifications, the Company may redeem any and all of the shares of capital stock to the extent necessary to prevent loss of such license or to reinstate such license. Under the Bylaws, the Company may redeem shares in this manner for cash, property or rights, on not less than five days’ notice to the holder(s) thereof at a redemption price equal to the average closing price of such shares as reported on the exchange on which shares of Common Stock are quoted or traded for the 45 trading days immediately preceding the date of the redemption notice, or if such shares are not so traded or quoted, the Company’s board of directors will determine the redemption price in good faith.</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Bylaws provide that it shall be unlawful for any stockholder who does not meet certain qualifications to (i) receive any dividend, payment, distribution or interest with regard to such stockholder’s shares, (ii) exercise, directly or indirectly or through any proxy, trustee, or nominee, any voting or other right conferred by such shares, and such shares shall not for any purposes be included in the shares of the Company entitled to vote, or (iii) receive any remuneration that may be due to such stockholder, accruing after the date of such notice of determination of unsuitability or disqualification by the Colorado Marijuana Enforcement Division, in any form from the Company for services rendered or otherwise.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Common Stock</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u w:val="single"/>
        </w:rPr>
        <w:t>Authorized Shares</w:t>
      </w:r>
      <w:r>
        <w:rPr>
          <w:rFonts w:ascii="Times New Roman;Times;serif" w:hAnsi="Times New Roman;Times;serif"/>
          <w:sz w:val="20"/>
        </w:rPr>
        <w:t>. The Company is authorized to issue up to 250,000,000 shares of common stock, par value $0.001 per share (the “Common Stock”).</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u w:val="single"/>
        </w:rPr>
        <w:t>Dividends</w:t>
      </w:r>
      <w:r>
        <w:rPr>
          <w:rFonts w:ascii="Times New Roman;Times;serif" w:hAnsi="Times New Roman;Times;serif"/>
          <w:sz w:val="20"/>
        </w:rPr>
        <w:t>. Holders of shares of Common Stock are entitled to receive dividends when, as and if declared by the Company’s Board of Directors (the “Board”) out of funds legally available for that purpose, subject to the rights of holders of any class or series of preferred stock, including our Series A Preferred Stock (as defined below), which may then be outstanding. The Company has not declared or paid any cash dividends on its Common Stock, and the Company does not anticipate doing so in the foreseeable future.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u w:val="single"/>
        </w:rPr>
        <w:t>Voting Rights</w:t>
      </w:r>
      <w:r>
        <w:rPr>
          <w:rFonts w:ascii="Times New Roman;Times;serif" w:hAnsi="Times New Roman;Times;serif"/>
          <w:sz w:val="20"/>
        </w:rPr>
        <w:t>. Each share of Common Stock is entitled to one vote on all matters submitted to a vote of the Company’s stockholders, including as to the election of directors to the Board. Unless otherwise required by the Articles of Incorporation, the Bylaws or applicable law, the affirmative vote of a majority of the shares of each class of capital stock present in person or electronically or represented by proxy at a meeting of stockholders at which a quorum is present and entitled to vote on the subject matter (including, but not limited to, the election of directors to the Board) shall be the act of the stockholders with respect to the matter voted upon. Stockholders are prohibited from cumulating their votes in any election of directors of the Company.</w:t>
      </w:r>
    </w:p>
    <w:p>
      <w:pPr>
        <w:pStyle w:val="TextBody"/>
        <w:spacing w:before="0" w:after="0"/>
        <w:ind w:left="0" w:right="0" w:hanging="0"/>
        <w:rPr/>
      </w:pPr>
      <w:r>
        <w:rPr/>
        <w:t>​</w:t>
      </w:r>
    </w:p>
    <w:p>
      <w:pPr>
        <w:pStyle w:val="HorizontalLine"/>
        <w:rPr/>
      </w:pPr>
      <w:r>
        <w:rPr/>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u w:val="single"/>
        </w:rPr>
        <w:t>Liquidation Rights.</w:t>
      </w:r>
      <w:r>
        <w:rPr>
          <w:rFonts w:ascii="Times New Roman;Times;serif" w:hAnsi="Times New Roman;Times;serif"/>
          <w:sz w:val="20"/>
        </w:rPr>
        <w:t> In the event of any liquidation, dissolution, or winding up of the Company, subject to the rights of creditors and the holders of any outstanding shares of preferred stock having a preference, including our Series A Preferred Stock, holders of shares of Common Stock are entitled to ratable distribution of the remaining assets available for distribution to stockholders.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u w:val="single"/>
        </w:rPr>
        <w:t>Redemption</w:t>
      </w:r>
      <w:r>
        <w:rPr>
          <w:rFonts w:ascii="Times New Roman;Times;serif" w:hAnsi="Times New Roman;Times;serif"/>
          <w:sz w:val="20"/>
        </w:rPr>
        <w:t>. The shares of Common Stock are generally not subject to redemption by operation of a sinking fund or otherwise; provided, however, so long as the Company holds (directly or indirectly) a license from a governmental agency to conduct its business, if such license is conditioned upon some or all of the holders of the Company possessing certain qualifications, then, the Company, in its sole option and sole discretion, may redeem the shares of Common Stock held by a holder that is deemed unsuitable or disqualified to own a direct or indirect interest in the Company by such license granting governmental agency.</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u w:val="single"/>
        </w:rPr>
        <w:t>Preemptive Rights</w:t>
      </w:r>
      <w:r>
        <w:rPr>
          <w:rFonts w:ascii="Times New Roman;Times;serif" w:hAnsi="Times New Roman;Times;serif"/>
          <w:sz w:val="20"/>
        </w:rPr>
        <w:t>. Holders of shares of Common Stock are not currently entitled to preemptive rights.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u w:val="single"/>
        </w:rPr>
        <w:t>Fully Paid</w:t>
      </w:r>
      <w:r>
        <w:rPr>
          <w:rFonts w:ascii="Times New Roman;Times;serif" w:hAnsi="Times New Roman;Times;serif"/>
          <w:sz w:val="20"/>
        </w:rPr>
        <w:t>. The issued and outstanding shares of Common Stock are fully paid and non-assessable. This means the full purchase price for the outstanding shares of Common Stock has been paid and the holders of such shares will not be assessed any additional amounts for such shares. Any additional shares of Common Stock that the Company may issue in the future will also be fully paid and non-assessable.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u w:val="single"/>
        </w:rPr>
        <w:t>Listing and Ticker Symbol</w:t>
      </w:r>
      <w:r>
        <w:rPr>
          <w:rFonts w:ascii="Times New Roman;Times;serif" w:hAnsi="Times New Roman;Times;serif"/>
          <w:sz w:val="20"/>
        </w:rPr>
        <w:t>. The Common Stock is currently quoted on the OTCQX and listed for trading on the NEO exchange, a tier one Canadian stock exchange based in Toronto, Ontario, under the ticker symbol “SHWZ.”</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Preferred Stock</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u w:val="single"/>
        </w:rPr>
        <w:t>Authority to Designate and Issue Shares of Preferred Stock</w:t>
      </w:r>
      <w:r>
        <w:rPr>
          <w:rFonts w:ascii="Times New Roman;Times;serif" w:hAnsi="Times New Roman;Times;serif"/>
          <w:sz w:val="20"/>
        </w:rPr>
        <w:t>. Subject to limitations prescribed by Nevada law, without vote or action by our stockholders, the Board is authorized to determine and alter the right, preferences, privileges and restrictions granted and imposed upon any wholly unissued series of preferred stock, and to fix the number and designation of shares of any series of preferred stock. The Board also may increase or decrease the number of shares of any series of preferred stock, but not below the number of shares of that series then outstanding, without any further vote or action by our stockholders. The Board may authorize the issuance of preferred stock with rights, such as voting or conversion rights, that could adversely affect the rights of the holders of the Common Stock. The issuance of preferred stock, while providing flexibility in connection with possible acquisitions and other corporate purposes, could, among other things, have the effect of delaying, deferring or preventing a change in control of our company.</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u w:val="single"/>
        </w:rPr>
        <w:t>Authorized Shares</w:t>
      </w:r>
      <w:r>
        <w:rPr>
          <w:rFonts w:ascii="Times New Roman;Times;serif" w:hAnsi="Times New Roman;Times;serif"/>
          <w:sz w:val="20"/>
        </w:rPr>
        <w:t>. The Company is authorized to issue up to 10,000,000 shares of preferred stock, par value $0.001 per shares. The Company has designated 110,000 shares of preferred stock as Series A Cumulative Convertible Preferred Stock (the “Series A Preferred Stock”) pursuant to the Certificate of Designation of Series A Cumulative Convertible Preferred Stock filed with the Nevada Secretary of State on December 16, 2020 and amended on March 1, 2021 (the “Certificate of Designation”).</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u w:val="single"/>
        </w:rPr>
        <w:t>Dividends</w:t>
      </w:r>
      <w:r>
        <w:rPr>
          <w:rFonts w:ascii="Times New Roman;Times;serif" w:hAnsi="Times New Roman;Times;serif"/>
          <w:sz w:val="20"/>
        </w:rPr>
        <w:t>. Holders of Series A Preferred Stock are entitled to receive cumulative dividends at the rate of 8% per annum on the “Preference Amount,” which initially is equal to $1,000 per share and subject to increase, payable annually on each anniversary of the date of the first issuance of any shares of Series A Preferred Stock to holders of record on each such payment date, by having such dividends automatically accrete as of each dividend payment date to, and increase, the outstanding Preference Amount.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u w:val="single"/>
        </w:rPr>
        <w:t>Liquidation Preference</w:t>
      </w:r>
      <w:r>
        <w:rPr>
          <w:rFonts w:ascii="Times New Roman;Times;serif" w:hAnsi="Times New Roman;Times;serif"/>
          <w:sz w:val="20"/>
        </w:rPr>
        <w:t xml:space="preserve">. In the event of any voluntary or involuntary liquidation, dissolution or winding-up of the Company, holders of Series A Preferred Stock are entitled to be paid out of the Company’s assets available for distributions to its stockholders, before any payment shall be made to the holders of any junior securities, such as the Common Stock, an amount in cash equal to the Preference Amount (plus the pro rata portion of the next dividend, if any), for each share of Series A Preferred Stock. In connection with a Change of Control Transaction (as defined in the Certificate of Designation), either the Company or holders of Series A Preferred Stock holding no less than a majority of the then-issued and outstanding shares of Series A Preferred Stock may elect to treat such Change of Control Transaction as a liquidation and to receive the cash or the value of the property, rights or securities paid or distributed to holders of Series A Preferred Stock in such Change of Control Transaction. Generally, a Change of </w:t>
      </w:r>
    </w:p>
    <w:p>
      <w:pPr>
        <w:pStyle w:val="TextBody"/>
        <w:spacing w:before="0" w:after="0"/>
        <w:ind w:left="0" w:right="0" w:hanging="0"/>
        <w:rPr/>
      </w:pPr>
      <w:r>
        <w:rPr/>
        <w:t>​</w:t>
      </w:r>
    </w:p>
    <w:p>
      <w:pPr>
        <w:pStyle w:val="HorizontalLine"/>
        <w:rPr/>
      </w:pPr>
      <w:r>
        <w:rPr/>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Control Transaction means the occurrence of any of: (i) the acquisition by a person or group through a purchase, merger or other acquisition transaction or series or related transactions, in which such transaction or transactions are with the Company or approved by the Board, entitling that person or group to exercise more than a majority of the total voting power of all shares of the Company entitled to vote generally in the election of directors (including all securities such person has the right to acquire), (ii) a merger or consolidation involving the Company and, after giving effect to such transaction, the Company’s stockholders immediately before such transaction own less than a majority of the Company’s aggregate voting power the successor entity of such transaction immediately after such transaction, (iii) a sale, lease or transfer of all or substantially all of the Company’s assets and the Company’s stockholders immediately before such transaction own less than a majority of the aggregate voting power of the acquiring entity immediately after such transaction, or (iv) the Common Stock ceases to be listed on a Trading Market (as defined in the Certificate of Designation).</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u w:val="single"/>
        </w:rPr>
        <w:t>Conversion by Holders</w:t>
      </w:r>
      <w:r>
        <w:rPr>
          <w:rFonts w:ascii="Times New Roman;Times;serif" w:hAnsi="Times New Roman;Times;serif"/>
          <w:sz w:val="20"/>
        </w:rPr>
        <w:t>. Each share of Series A Preferred Stock will be convertible at the option of the holder thereof (i) for 90 days after the occurrence of a Listing Event (as defined in the Certificate of Designation), (ii) on the date of the consummation of a Change of Control Transaction if requested within 14 days after delivery to holders of a notice of an anticipated Change of Control Transaction, (iii) for 10 days after the receipt by the holders of a notice of forced redemption by the Company, and (iv) at any time after the first anniversary of the date of the first issuance of any shares of Series A Preferred Stock, in each case, into that number of shares of Common Stock determined by dividing the Preference Amount (plus the pro rata portion of the next dividend, if any) of such share of Series A Preferred Stock by $1.20. Generally, a Listing Event involves the listing of the Common Stock on the Nasdaq Capital Market, the Nasdaq Global Market, the Nasdaq Global Select Market or the New York Stock Exchange followed within 90 days thereafter by a public offering of Common Stock that generates gross proceeds to the Company of no less than $100,000,000.</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u w:val="single"/>
        </w:rPr>
        <w:t>Conversion by the Company</w:t>
      </w:r>
      <w:r>
        <w:rPr>
          <w:rFonts w:ascii="Times New Roman;Times;serif" w:hAnsi="Times New Roman;Times;serif"/>
          <w:sz w:val="20"/>
        </w:rPr>
        <w:t>. The Company may force conversion of the Series A Preferred Stock (i) within 90 days after the occurrence of a Listing Event, and (ii) on the date of the consummation of a Change of Control Transaction if requested within 14 days after delivery to holders of a notice of an anticipated Change of Control Transaction, other than a Change of Control Transaction as a result of the Common Stock ceasing to be listed on any Trading Market.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u w:val="single"/>
        </w:rPr>
        <w:t>Redemption Rights</w:t>
      </w:r>
      <w:r>
        <w:rPr>
          <w:rFonts w:ascii="Times New Roman;Times;serif" w:hAnsi="Times New Roman;Times;serif"/>
          <w:sz w:val="20"/>
        </w:rPr>
        <w:t>. Each share of Series A Preferred Stock will be redeemable at the option of the holder thereof (i) for 90 days after the occurrence of a Listing Event, (ii) at any time after the fifth anniversary of the date of the first issuance of any shares of Series A Preferred Stock, (iii) on the date of the consummation of a Change of Control Transaction if requested within 14 days after delivery to holders of a notice of an anticipated Change of Control Transaction, or (iv) for five days after the receipt by the holder of a notice of forced conversion by the Company. In each case, a holder of Series A Preferred Stock may elect to have the Company redeem all or any portion of the shares of Series A Preferred Stock held for a redemption price per share equal to the Preference Amount (plus the pro rata portion of the next dividend, if any). The Company has a right to defer such redemption one or more times until no later than the one-year anniversary of the redemption date originally requested by the holder, provided that the dividend rate would be increased from 8% to 10% per annum during the first six months of such deferral period and 15% thereafter, if applicable. In addition, the Company may redeem all or any portion of the Series A Preferred Stock within 90 days after the occurrence of a Listing Event.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u w:val="single"/>
        </w:rPr>
        <w:t>Cannabis Law Compliance and Unsuitability Redemption for Series A Preferred</w:t>
      </w:r>
      <w:r>
        <w:rPr>
          <w:rFonts w:ascii="Times New Roman;Times;serif" w:hAnsi="Times New Roman;Times;serif"/>
          <w:sz w:val="20"/>
        </w:rPr>
        <w:t>. Each holder of Series A Preferred Stock must take all action reasonably required by such holder to comply with applicable state cannabis laws and regulations, including, without limitation, making all requisite filings under such laws and regulations as and when required. The Company has the right but not the obligation to redeem all or any portion of the shares of Series A Preferred Stock held by any holder that is determined to be unsuitable or disqualified to own a direct or indirect interest in the Company by a state governmental authority, including, without limitation, the Colorado Marijuana Enforcement Division.</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u w:val="single"/>
        </w:rPr>
        <w:t>Ranking</w:t>
      </w:r>
      <w:r>
        <w:rPr>
          <w:rFonts w:ascii="Times New Roman;Times;serif" w:hAnsi="Times New Roman;Times;serif"/>
          <w:sz w:val="20"/>
        </w:rPr>
        <w:t>. With respect to conversion rights, redemption payments and rights upon the Company’s liquidation, dissolution or winding-up or a Change of Control Transaction, the Series A Preferred Stock rank junior to the Company’s indebtedness and any securities the Company issues in the future the terms of which expressly make such securities senior to the Series A Preferred Stock, on a parity with any securities the Company issues in the future the terms of which expressly make such securities on a parity with any or all of the Series A Preferred Stock,</w:t>
      </w:r>
    </w:p>
    <w:p>
      <w:pPr>
        <w:pStyle w:val="TextBody"/>
        <w:spacing w:before="0" w:after="0"/>
        <w:ind w:left="0" w:right="0" w:hanging="0"/>
        <w:rPr/>
      </w:pPr>
      <w:r>
        <w:rPr/>
        <w:t>​</w:t>
      </w:r>
    </w:p>
    <w:p>
      <w:pPr>
        <w:pStyle w:val="HorizontalLine"/>
        <w:rPr/>
      </w:pPr>
      <w:r>
        <w:rPr/>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but senior to the Common Stock and any securities the Company issues in the future that are not expressly made on a parity or senior to the Series A Preferred Stock.</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u w:val="single"/>
        </w:rPr>
        <w:t>Voting Rights</w:t>
      </w:r>
      <w:r>
        <w:rPr>
          <w:rFonts w:ascii="Times New Roman;Times;serif" w:hAnsi="Times New Roman;Times;serif"/>
          <w:sz w:val="20"/>
        </w:rPr>
        <w:t>. Each holder of Series A Preferred Stock will be entitled to cast the number of votes equal to the number of whole shares of Common Stock into which the shares of Series A Preferred Stock held would convert into as of the record date for determining stockholders entitled to vote on any matter presented to the Company’s stockholders for their action or consideration at any meeting (or by written consent in lieu of meeting) voting together with the holder of Common Stock as a single class as if such shares of Series A Preferred Stock were convertible as of such date.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Convertible Notes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u w:val="single"/>
        </w:rPr>
        <w:t>General</w:t>
      </w:r>
      <w:r>
        <w:rPr>
          <w:rFonts w:ascii="Times New Roman;Times;serif" w:hAnsi="Times New Roman;Times;serif"/>
          <w:sz w:val="20"/>
        </w:rPr>
        <w:t>. On December 7, 2021, the Company issued and sold an aggregate principal amount of $95,000,000 of 13% senior secured convertible notes due five years after issuance (the “Notes”) governed by an Indenture, dated December 7, 2021, among the Company, the Subsidiary Guarantors (as defined therein), Ankura Trust Company, LLC as trustee and Chicago Atlantic Admin, LLC as collateral agent for the Note holders (the “Indenture”). The Notes will mature on December 7, 2026 unless earlier repurchased, redeemed, or converted. The Notes bear interest at 13% per year paid quarterly commencing March 31, 2022 in cash for an amount equal to the amount payable on such date as if the Notes were subject to an annual interest rate of 9%, with the remainder of the accrued interest payable as an increase to the principal amount of the Notes.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u w:val="single"/>
        </w:rPr>
        <w:t>Prohibition on Dividends</w:t>
      </w:r>
      <w:r>
        <w:rPr>
          <w:rFonts w:ascii="Times New Roman;Times;serif" w:hAnsi="Times New Roman;Times;serif"/>
          <w:sz w:val="20"/>
        </w:rPr>
        <w:t>. The Indenture prohibits the Company from paying dividends and to repurchase, redeem, retire, or otherwise acquire any equity interest, option, or warrant of the Company or any Subsidiary Guarantor, subject to some exceptions. For example, the Company may declare and pay dividends (i) if payable solely in its own equity, (ii) in an amount or amounts not to exceed $500,000 until discharge of the Indenture, or (iii) after December 7, 2024, so long as the Company’s Consolidated Leverage Ratio (as defined in the Indenture) is between 1.00 and 2.25 for the applicable reference period at the time of payment.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u w:val="single"/>
        </w:rPr>
        <w:t>Conversion by Holders</w:t>
      </w:r>
      <w:r>
        <w:rPr>
          <w:rFonts w:ascii="Times New Roman;Times;serif" w:hAnsi="Times New Roman;Times;serif"/>
          <w:sz w:val="20"/>
        </w:rPr>
        <w:t>. Each Note is convertible at the option of the holder thereof (i) upon receipt by the holders of a notice of forced redemption by the Company, and (ii) at any time until the close of business on the business day immediately preceding the maturity date of the Notes, in each case, into that number of shares of Common Stock determined by dividing the principal amount of the Note (plus accrued interest) by $2.24. The conversion price will be adjusted in the event of any change in the outstanding Common Stock by way of stock subdivision (including a stock split), stock combination, issuance of stock or cash dividends, distributions of other securities or assets and other corporate actions.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u w:val="single"/>
        </w:rPr>
        <w:t>Conversion by Company</w:t>
      </w:r>
      <w:r>
        <w:rPr>
          <w:rFonts w:ascii="Times New Roman;Times;serif" w:hAnsi="Times New Roman;Times;serif"/>
          <w:sz w:val="20"/>
        </w:rPr>
        <w:t>. On and after the second anniversary of the date of first issuance of the Notes, the Company may force conversion of up to 12.5% of the outstanding Notes each quarter if (i) the last reported sale price of the Common Stock exceeds 150% of the applicable conversion price, (ii) either (a) the Common Stock is listed on a permitted exchange or (b) the Company’s daily volume weighted average price for the Common Stock exceeds $2,500,000, in each case for at least 20 trading days (whether or not consecutive) during any 30 consecutive trading day period, and (iii) there is an effective registration statement covering the resale by the holders of the Notes of all Common Stock to be received in such conversion.</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u w:val="single"/>
        </w:rPr>
        <w:t>Limitation on Conversion</w:t>
      </w:r>
      <w:r>
        <w:rPr>
          <w:rFonts w:ascii="Times New Roman;Times;serif" w:hAnsi="Times New Roman;Times;serif"/>
          <w:sz w:val="20"/>
        </w:rPr>
        <w:t>. A holder of a Note may not convert a Note, and the Company may not issue shares of Common Stock under such Note if, after giving effect to the conversion and issuance, the holder, together with its affiliates, would beneficially own in excess of 4.9% of the outstanding shares of the Common Stock, subject to exceptions.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u w:val="single"/>
        </w:rPr>
        <w:t>Redemption by Holders</w:t>
      </w:r>
      <w:r>
        <w:rPr>
          <w:rFonts w:ascii="Times New Roman;Times;serif" w:hAnsi="Times New Roman;Times;serif"/>
          <w:sz w:val="20"/>
        </w:rPr>
        <w:t>. On the fourth anniversary of the date of the first issuance of the Notes, Note holders will have the right, at their option, to require the Company to repurchase some or all of their Notes for cash in an amount equal to the principal amount of the Notes being repurchased plus accrued and unpaid interest up to the date of repurchase. Further, upon the occurrence of a Change of Control (as defined in the Indenture), subject to certain conditions, a Note holder may require the Company to repurchase for cash all or any portion of the Note at a repurchase price equal to the principal amount of the Note to be repurchased, plus accrued and unpaid interest</w:t>
      </w:r>
    </w:p>
    <w:p>
      <w:pPr>
        <w:pStyle w:val="TextBody"/>
        <w:spacing w:before="0" w:after="0"/>
        <w:ind w:left="0" w:right="0" w:hanging="0"/>
        <w:rPr/>
      </w:pPr>
      <w:r>
        <w:rPr/>
        <w:t>​</w:t>
      </w:r>
    </w:p>
    <w:p>
      <w:pPr>
        <w:pStyle w:val="HorizontalLine"/>
        <w:rPr/>
      </w:pPr>
      <w:r>
        <w:rPr/>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thereon, plus the lesser of: (i) the present value of one year of additional interest on such Note, commencing on the date the repurchase price is payable, and (ii) the sum of the present values or the remaining scheduled interest payments that would have been paid on such Note from the repurchase date to the maturity date.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u w:val="single"/>
        </w:rPr>
        <w:t>Redemption by Company</w:t>
      </w:r>
      <w:r>
        <w:rPr>
          <w:rFonts w:ascii="Times New Roman;Times;serif" w:hAnsi="Times New Roman;Times;serif"/>
          <w:sz w:val="20"/>
        </w:rPr>
        <w:t>. The Company may, at its option, elect to redeem all, but not less than all, of the Notes for cash, subject to certain conditions, at a repurchase price equal to the principal amount of the Notes plus accrued and unpaid interest thereon on such date, plus the greater of: (i) the sum of the present values or the remaining scheduled interest payments that would have been paid on the Notes from the repurchase date to the third anniversary of the date of the first issuance of the Notes, or (ii) the lesser of (a) the sum of the present values of the scheduled interest payments that would have been paid (assuming such payments are made in cash) on the Notes from the redemption date through the one-year anniversary of the redemption date or (y) the sum of the present values of the scheduled interest payments that would have been paid (assuming such payments are made in cash) on the Notes from the redemption date through the maturity date.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u w:val="single"/>
        </w:rPr>
        <w:t>Cannabis Law Compliance and Unsuitability Redemption for Notes</w:t>
      </w:r>
      <w:r>
        <w:rPr>
          <w:rFonts w:ascii="Times New Roman;Times;serif" w:hAnsi="Times New Roman;Times;serif"/>
          <w:sz w:val="20"/>
        </w:rPr>
        <w:t>. Upon conversion of a Note, each Note holder, in such Note holder’s capacity as a holder of Common Stock, must (i) take all action reasonably required by such holder to comply with applicable state cannabis laws and regulations, including, without limitation, making all requisite filings under such laws and regulations as and when required, and (ii) upon the Corporation’s reasonable request, at the Company’s sole cost and expense, reasonably cooperate with the Company regarding any Company report, filing, notification or other communication with or to any governmental authority related to the Company’s licenses, approvals, consents or obligations under state cannabis laws and regulations related to such holder’s capacity as a holder of Common Stock issued upon conversion of the Notes, including, without limitation, any investigation or inquiry by a state governmental authority related to any of the foregoing. The Company has the right but not the obligation to redeem all or any shares of Common Stock held by a Note holder issued upon conversion of the Notes who is (or whose affiliate is) determined to be unsuitable or disqualified to own a direct or indirect interest in the Company by a state governmental authority, including, without limitation, the Colorado Marijuana Enforcement Division; </w:t>
      </w:r>
      <w:r>
        <w:rPr>
          <w:rFonts w:ascii="Times New Roman;Times;serif" w:hAnsi="Times New Roman;Times;serif"/>
          <w:i/>
          <w:sz w:val="20"/>
        </w:rPr>
        <w:t>provided</w:t>
      </w:r>
      <w:r>
        <w:rPr>
          <w:rFonts w:ascii="Times New Roman;Times;serif" w:hAnsi="Times New Roman;Times;serif"/>
          <w:sz w:val="20"/>
        </w:rPr>
        <w:t> that the Company is only permitted to redeem such shares of Common Stock to the extent necessary to comply with applicable state cannabis laws and regulations.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Action by Written Consent.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Bylaws provide that any action required or permitted to be taken at a meeting of stockholders may be taken without a meeting if, before or after the action, a written consent to the action is signed by stockholders holding a majority of the voting power of each class of capital stock of the Company, or, if different, the proportion of voting power required to take such action at a meeting of stockholders.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Certain Anti-Takeover Measures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Under our Articles of Incorporation, the Board, without further vote by our stockholders, has the authority to issue shares of preferred stock and to determine the rights and preferences, price and restrictions, including but not limited to voting and dividend rights, of any such shares of preferred stock. The issuance of preferred stock, while providing flexibility in connection with possible acquisitions and other corporate purposes, could, among other things, have the effect of delaying, deferring or preventing a change in control of our company.</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Bylaws contain provisions that may be deemed to have an anti-takeover effect and may del, defer or prevent a change of control. These provisions include: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u w:val="single"/>
        </w:rPr>
        <w:t>Staggered Board of Directors</w:t>
      </w:r>
      <w:r>
        <w:rPr>
          <w:rFonts w:ascii="Times New Roman;Times;serif" w:hAnsi="Times New Roman;Times;serif"/>
          <w:sz w:val="20"/>
        </w:rPr>
        <w:t>. The Bylaws provide for a “staggered” or “classified” Board, whereby the directors of the Board are divided into two classes - Class A Directors consisting of one-half of the members of the Board, and Class B Directors consisting of one-half of the members of the Board. Each class shall be elected for two-year terms, in alternating years.</w:t>
      </w:r>
    </w:p>
    <w:p>
      <w:pPr>
        <w:pStyle w:val="TextBody"/>
        <w:spacing w:before="0" w:after="0"/>
        <w:ind w:left="0" w:right="0" w:firstLine="72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u w:val="single"/>
        </w:rPr>
        <w:t>Change in the Number of Directors</w:t>
      </w:r>
      <w:r>
        <w:rPr>
          <w:rFonts w:ascii="Times New Roman;Times;serif" w:hAnsi="Times New Roman;Times;serif"/>
          <w:sz w:val="20"/>
        </w:rPr>
        <w:t>. The Bylaws provide that approval by a majority of the Board is required to change the total number of directors comprising the Board.</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Transfer Agent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Company’s Transfer Agent is Globex Transfer, LLC.</w:t>
      </w:r>
    </w:p>
    <w:p>
      <w:pPr>
        <w:pStyle w:val="HorizontalLine"/>
        <w:rPr/>
      </w:pPr>
      <w:r>
        <w:rPr/>
      </w:r>
      <w:r>
        <w:br w:type="page"/>
      </w:r>
    </w:p>
    <w:p>
      <w:pPr>
        <w:pStyle w:val="TextBody"/>
        <w:spacing w:before="0" w:after="0"/>
        <w:ind w:left="0" w:right="0" w:hanging="0"/>
        <w:rPr/>
      </w:pPr>
      <w:bookmarkStart w:id="1252" w:name="shwz-20221231xex10d28.htm"/>
      <w:bookmarkStart w:id="1253" w:name="ksshwz20221231xex10d28"/>
      <w:bookmarkEnd w:id="1252"/>
      <w:bookmarkEnd w:id="1253"/>
      <w:r>
        <w:rPr/>
        <w:t>​</w:t>
      </w:r>
    </w:p>
    <w:p>
      <w:pPr>
        <w:pStyle w:val="TextBody"/>
        <w:spacing w:before="0" w:after="0"/>
        <w:ind w:left="0" w:right="0" w:hanging="0"/>
        <w:jc w:val="right"/>
        <w:rPr>
          <w:rFonts w:ascii="Times New Roman;Times;serif" w:hAnsi="Times New Roman;Times;serif"/>
          <w:b/>
          <w:sz w:val="24"/>
        </w:rPr>
      </w:pPr>
      <w:r>
        <w:rPr>
          <w:rFonts w:ascii="Times New Roman;Times;serif" w:hAnsi="Times New Roman;Times;serif"/>
          <w:b/>
          <w:sz w:val="24"/>
        </w:rPr>
        <w:t>Exhibit 10.28</w:t>
      </w:r>
    </w:p>
    <w:p>
      <w:pPr>
        <w:pStyle w:val="TextBody"/>
        <w:spacing w:before="0" w:after="0"/>
        <w:ind w:left="0" w:right="0" w:hanging="0"/>
        <w:rPr/>
      </w:pPr>
      <w:r>
        <w:rPr/>
        <w:t>​</w:t>
      </w:r>
    </w:p>
    <w:p>
      <w:pPr>
        <w:pStyle w:val="TextBody"/>
        <w:spacing w:before="0" w:after="240"/>
        <w:ind w:left="0" w:right="0" w:hanging="0"/>
        <w:jc w:val="center"/>
        <w:rPr>
          <w:rFonts w:ascii="Times New Roman;Times;serif" w:hAnsi="Times New Roman;Times;serif"/>
          <w:b/>
          <w:sz w:val="24"/>
        </w:rPr>
      </w:pPr>
      <w:r>
        <w:rPr>
          <w:rFonts w:ascii="Times New Roman;Times;serif" w:hAnsi="Times New Roman;Times;serif"/>
          <w:b/>
          <w:sz w:val="24"/>
        </w:rPr>
        <w:t>LICENSE AGREEMENT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4"/>
        </w:rPr>
        <w:t>THIS LICENSE AGREEMENT (this “</w:t>
      </w:r>
      <w:r>
        <w:rPr>
          <w:rFonts w:ascii="Times New Roman;Times;serif" w:hAnsi="Times New Roman;Times;serif"/>
          <w:b/>
          <w:sz w:val="24"/>
        </w:rPr>
        <w:t>Agreement</w:t>
      </w:r>
      <w:r>
        <w:rPr>
          <w:rFonts w:ascii="Times New Roman;Times;serif" w:hAnsi="Times New Roman;Times;serif"/>
          <w:sz w:val="20"/>
        </w:rPr>
        <w:t>”</w:t>
      </w:r>
      <w:r>
        <w:rPr>
          <w:rFonts w:ascii="Times New Roman;Times;serif" w:hAnsi="Times New Roman;Times;serif"/>
          <w:sz w:val="24"/>
        </w:rPr>
        <w:t>) is entered into as of May 10, 2022 (the “</w:t>
      </w:r>
      <w:r>
        <w:rPr>
          <w:rFonts w:ascii="Times New Roman;Times;serif" w:hAnsi="Times New Roman;Times;serif"/>
          <w:b/>
          <w:sz w:val="24"/>
        </w:rPr>
        <w:t>Effective Date</w:t>
      </w:r>
      <w:r>
        <w:rPr>
          <w:rFonts w:ascii="Times New Roman;Times;serif" w:hAnsi="Times New Roman;Times;serif"/>
          <w:sz w:val="20"/>
        </w:rPr>
        <w:t>”</w:t>
      </w:r>
      <w:r>
        <w:rPr>
          <w:rFonts w:ascii="Times New Roman;Times;serif" w:hAnsi="Times New Roman;Times;serif"/>
          <w:sz w:val="24"/>
        </w:rPr>
        <w:t>) by and between Indus LF LLC, a California limited liability company with its principal place of business located at [</w:t>
      </w:r>
      <w:r>
        <w:rPr>
          <w:rFonts w:ascii="Times New Roman;Times;serif" w:hAnsi="Times New Roman;Times;serif"/>
          <w:i/>
          <w:sz w:val="24"/>
        </w:rPr>
        <w:t>omitted</w:t>
      </w:r>
      <w:r>
        <w:rPr>
          <w:rFonts w:ascii="Times New Roman;Times;serif" w:hAnsi="Times New Roman;Times;serif"/>
          <w:sz w:val="24"/>
        </w:rPr>
        <w:t>] (“</w:t>
      </w:r>
      <w:r>
        <w:rPr>
          <w:rFonts w:ascii="Times New Roman;Times;serif" w:hAnsi="Times New Roman;Times;serif"/>
          <w:b/>
          <w:sz w:val="24"/>
        </w:rPr>
        <w:t>Licensor</w:t>
      </w:r>
      <w:r>
        <w:rPr>
          <w:rFonts w:ascii="Times New Roman;Times;serif" w:hAnsi="Times New Roman;Times;serif"/>
          <w:sz w:val="20"/>
        </w:rPr>
        <w:t>”</w:t>
      </w:r>
      <w:r>
        <w:rPr>
          <w:rFonts w:ascii="Times New Roman;Times;serif" w:hAnsi="Times New Roman;Times;serif"/>
          <w:sz w:val="24"/>
        </w:rPr>
        <w:t>), and Medicine Man Technologies, Inc. d/b/a Schwazze, a Nevada corporation with its principal place of business located at 4880 Havana St. Suite 201, Denver, CO, 80239 (“</w:t>
      </w:r>
      <w:r>
        <w:rPr>
          <w:rFonts w:ascii="Times New Roman;Times;serif" w:hAnsi="Times New Roman;Times;serif"/>
          <w:b/>
          <w:sz w:val="24"/>
        </w:rPr>
        <w:t>Licensee</w:t>
      </w:r>
      <w:r>
        <w:rPr>
          <w:rFonts w:ascii="Times New Roman;Times;serif" w:hAnsi="Times New Roman;Times;serif"/>
          <w:sz w:val="20"/>
        </w:rPr>
        <w:t>”</w:t>
      </w:r>
      <w:r>
        <w:rPr>
          <w:rFonts w:ascii="Times New Roman;Times;serif" w:hAnsi="Times New Roman;Times;serif"/>
          <w:sz w:val="24"/>
        </w:rPr>
        <w:t>). Licensor and Licensee are each a “</w:t>
      </w:r>
      <w:r>
        <w:rPr>
          <w:rFonts w:ascii="Times New Roman;Times;serif" w:hAnsi="Times New Roman;Times;serif"/>
          <w:b/>
          <w:sz w:val="24"/>
        </w:rPr>
        <w:t>Party</w:t>
      </w:r>
      <w:r>
        <w:rPr>
          <w:rFonts w:ascii="Times New Roman;Times;serif" w:hAnsi="Times New Roman;Times;serif"/>
          <w:sz w:val="20"/>
        </w:rPr>
        <w:t xml:space="preserve">” </w:t>
      </w:r>
      <w:r>
        <w:rPr>
          <w:rFonts w:ascii="Times New Roman;Times;serif" w:hAnsi="Times New Roman;Times;serif"/>
          <w:sz w:val="24"/>
        </w:rPr>
        <w:t>and together the “</w:t>
      </w:r>
      <w:r>
        <w:rPr>
          <w:rFonts w:ascii="Times New Roman;Times;serif" w:hAnsi="Times New Roman;Times;serif"/>
          <w:b/>
          <w:sz w:val="24"/>
        </w:rPr>
        <w:t>Parties</w:t>
      </w:r>
      <w:r>
        <w:rPr>
          <w:rFonts w:ascii="Times New Roman;Times;serif" w:hAnsi="Times New Roman;Times;serif"/>
          <w:sz w:val="20"/>
        </w:rPr>
        <w:t>”</w:t>
      </w:r>
      <w:r>
        <w:rPr>
          <w:rFonts w:ascii="Times New Roman;Times;serif" w:hAnsi="Times New Roman;Times;serif"/>
          <w:sz w:val="24"/>
        </w:rPr>
        <w:t>.</w:t>
      </w:r>
    </w:p>
    <w:p>
      <w:pPr>
        <w:pStyle w:val="TextBody"/>
        <w:spacing w:before="0" w:after="240"/>
        <w:ind w:left="0" w:right="0" w:hanging="0"/>
        <w:jc w:val="center"/>
        <w:rPr>
          <w:rFonts w:ascii="Times New Roman;Times;serif" w:hAnsi="Times New Roman;Times;serif"/>
          <w:i/>
          <w:sz w:val="24"/>
        </w:rPr>
      </w:pPr>
      <w:r>
        <w:rPr>
          <w:rFonts w:ascii="Times New Roman;Times;serif" w:hAnsi="Times New Roman;Times;serif"/>
          <w:i/>
          <w:sz w:val="24"/>
        </w:rPr>
        <w:t>Recitals</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 xml:space="preserve">Licensor is engaged in the business of developing, marketing, selling and distributing certain cannabis products identified on </w:t>
      </w:r>
      <w:r>
        <w:rPr>
          <w:rFonts w:ascii="Times New Roman;Times;serif" w:hAnsi="Times New Roman;Times;serif"/>
          <w:b/>
          <w:sz w:val="24"/>
        </w:rPr>
        <w:t>Schedule 1</w:t>
      </w:r>
      <w:r>
        <w:rPr>
          <w:rFonts w:ascii="Times New Roman;Times;serif" w:hAnsi="Times New Roman;Times;serif"/>
          <w:sz w:val="20"/>
        </w:rPr>
        <w:t xml:space="preserve"> </w:t>
      </w:r>
      <w:r>
        <w:rPr>
          <w:rFonts w:ascii="Times New Roman;Times;serif" w:hAnsi="Times New Roman;Times;serif"/>
          <w:sz w:val="24"/>
        </w:rPr>
        <w:t>hereto (the “</w:t>
      </w:r>
      <w:r>
        <w:rPr>
          <w:rFonts w:ascii="Times New Roman;Times;serif" w:hAnsi="Times New Roman;Times;serif"/>
          <w:b/>
          <w:sz w:val="24"/>
        </w:rPr>
        <w:t>Products</w:t>
      </w:r>
      <w:r>
        <w:rPr>
          <w:rFonts w:ascii="Times New Roman;Times;serif" w:hAnsi="Times New Roman;Times;serif"/>
          <w:sz w:val="20"/>
        </w:rPr>
        <w:t>”</w:t>
      </w:r>
      <w:r>
        <w:rPr>
          <w:rFonts w:ascii="Times New Roman;Times;serif" w:hAnsi="Times New Roman;Times;serif"/>
          <w:sz w:val="24"/>
        </w:rPr>
        <w:t>);</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Licensor is the owner of trademarks, trade names, additional intellectual property and associated goodwill, including the names “Lowell Herb Co.” and “Lowell Smokes” and associated logos, that distinguish the Products, and the distinctive trade dress, other design devices and packaging elements associated with the Products (collectively, including any additional trade names, trademarks, logos, designs and other intellectual property that the Licensor may adopt from time to time to distinguish the Products, and the intellectual property specified in Section 1 below;</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Licensee is a licensed manufacturer and distributor of cannabis products in the State of Colorado and the State of New Mexico (the “</w:t>
      </w:r>
      <w:r>
        <w:rPr>
          <w:rFonts w:ascii="Times New Roman;Times;serif" w:hAnsi="Times New Roman;Times;serif"/>
          <w:b/>
          <w:sz w:val="24"/>
        </w:rPr>
        <w:t>Territories</w:t>
      </w:r>
      <w:r>
        <w:rPr>
          <w:rFonts w:ascii="Times New Roman;Times;serif" w:hAnsi="Times New Roman;Times;serif"/>
          <w:sz w:val="20"/>
        </w:rPr>
        <w:t>”</w:t>
      </w:r>
      <w:r>
        <w:rPr>
          <w:rFonts w:ascii="Times New Roman;Times;serif" w:hAnsi="Times New Roman;Times;serif"/>
          <w:sz w:val="24"/>
        </w:rPr>
        <w:t>).</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Licensee desires to obtain the right to prepare, package, distribute, market and sell the Products in and throughout the Territories, and use the Company IP in connection with such activities, and the Licensor desires to grant such rights to Licensee, all according to the terms and conditions set forth herein.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b/>
          <w:sz w:val="24"/>
        </w:rPr>
        <w:t>NOW, THEREFORE</w:t>
      </w:r>
      <w:r>
        <w:rPr>
          <w:rFonts w:ascii="Times New Roman;Times;serif" w:hAnsi="Times New Roman;Times;serif"/>
          <w:sz w:val="24"/>
        </w:rPr>
        <w:t>, in consideration of the agreements and covenants contained herein, the receipt and sufficiency of which are hereby acknowledged, the Parties, intending to be legally bound hereby agree as follows:</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w:t>
      </w:r>
      <w:r>
        <w:rPr>
          <w:rFonts w:ascii="Times New Roman;Times;serif" w:hAnsi="Times New Roman;Times;serif"/>
          <w:sz w:val="24"/>
          <w:u w:val="single"/>
        </w:rPr>
        <w:t>Grant of License</w:t>
      </w:r>
      <w:r>
        <w:rPr>
          <w:rFonts w:ascii="Times New Roman;Times;serif" w:hAnsi="Times New Roman;Times;serif"/>
          <w:sz w:val="24"/>
        </w:rPr>
        <w:t>. Licensor hereby grants to Licensee, subject to the terms and conditions of this Agreement, a limited exclusive (as provided in Section 7(a)(iv) below), nontransferable (except in accordance with the provisions of Section 13(e) below) right (the “</w:t>
      </w:r>
      <w:r>
        <w:rPr>
          <w:rFonts w:ascii="Times New Roman;Times;serif" w:hAnsi="Times New Roman;Times;serif"/>
          <w:b/>
          <w:sz w:val="24"/>
        </w:rPr>
        <w:t>License</w:t>
      </w:r>
      <w:r>
        <w:rPr>
          <w:rFonts w:ascii="Times New Roman;Times;serif" w:hAnsi="Times New Roman;Times;serif"/>
          <w:sz w:val="20"/>
        </w:rPr>
        <w:t>”</w:t>
      </w:r>
      <w:r>
        <w:rPr>
          <w:rFonts w:ascii="Times New Roman;Times;serif" w:hAnsi="Times New Roman;Times;serif"/>
          <w:sz w:val="24"/>
        </w:rPr>
        <w:t>) to prepare and package the Products (as further defined below, collectively, referred to herein as the “</w:t>
      </w:r>
      <w:r>
        <w:rPr>
          <w:rFonts w:ascii="Times New Roman;Times;serif" w:hAnsi="Times New Roman;Times;serif"/>
          <w:b/>
          <w:sz w:val="24"/>
        </w:rPr>
        <w:t>Licensed Products</w:t>
      </w:r>
      <w:r>
        <w:rPr>
          <w:rFonts w:ascii="Times New Roman;Times;serif" w:hAnsi="Times New Roman;Times;serif"/>
          <w:sz w:val="20"/>
        </w:rPr>
        <w:t>”</w:t>
      </w:r>
      <w:r>
        <w:rPr>
          <w:rFonts w:ascii="Times New Roman;Times;serif" w:hAnsi="Times New Roman;Times;serif"/>
          <w:sz w:val="24"/>
        </w:rPr>
        <w:t>) using packaging supplied by Licensor under this Agreement, and distribute and sell the same using the Company IP in the Territories during the Term and the post termination sell-off period provided in Section 6(f) below. The term “</w:t>
      </w:r>
      <w:r>
        <w:rPr>
          <w:rFonts w:ascii="Times New Roman;Times;serif" w:hAnsi="Times New Roman;Times;serif"/>
          <w:b/>
          <w:sz w:val="24"/>
        </w:rPr>
        <w:t>Company IP</w:t>
      </w:r>
      <w:r>
        <w:rPr>
          <w:rFonts w:ascii="Times New Roman;Times;serif" w:hAnsi="Times New Roman;Times;serif"/>
          <w:sz w:val="20"/>
        </w:rPr>
        <w:t xml:space="preserve">” </w:t>
      </w:r>
      <w:r>
        <w:rPr>
          <w:rFonts w:ascii="Times New Roman;Times;serif" w:hAnsi="Times New Roman;Times;serif"/>
          <w:sz w:val="24"/>
        </w:rPr>
        <w:t xml:space="preserve">shall include Licensor’s: (a) standard operating procedures, manufacturing and other methodologies and processes, formulations, production technology, packaging methodologies, information and skills recipes as set forth on </w:t>
      </w:r>
      <w:r>
        <w:rPr>
          <w:rFonts w:ascii="Times New Roman;Times;serif" w:hAnsi="Times New Roman;Times;serif"/>
          <w:sz w:val="24"/>
          <w:u w:val="single"/>
        </w:rPr>
        <w:t>Exhibit A</w:t>
      </w:r>
      <w:r>
        <w:rPr>
          <w:rFonts w:ascii="Times New Roman;Times;serif" w:hAnsi="Times New Roman;Times;serif"/>
          <w:sz w:val="20"/>
        </w:rPr>
        <w:t xml:space="preserve"> </w:t>
      </w:r>
      <w:r>
        <w:rPr>
          <w:rFonts w:ascii="Times New Roman;Times;serif" w:hAnsi="Times New Roman;Times;serif"/>
          <w:sz w:val="24"/>
        </w:rPr>
        <w:t>(which may be amended by Licensor from time to time), and (b) brands, brand indicators, logos, trademarks, packaging, trade dress and service marks, whether registered or unregistered (collectively, “</w:t>
      </w:r>
      <w:r>
        <w:rPr>
          <w:rFonts w:ascii="Times New Roman;Times;serif" w:hAnsi="Times New Roman;Times;serif"/>
          <w:b/>
          <w:sz w:val="24"/>
        </w:rPr>
        <w:t>Marks</w:t>
      </w:r>
      <w:r>
        <w:rPr>
          <w:rFonts w:ascii="Times New Roman;Times;serif" w:hAnsi="Times New Roman;Times;serif"/>
          <w:sz w:val="20"/>
        </w:rPr>
        <w:t>”</w:t>
      </w:r>
      <w:r>
        <w:rPr>
          <w:rFonts w:ascii="Times New Roman;Times;serif" w:hAnsi="Times New Roman;Times;serif"/>
          <w:sz w:val="24"/>
        </w:rPr>
        <w:t>), in each case used in connection with the Licensed Products. Licensee agrees that any and all common law trademark rights obtained by Licensee within the Territories through use of the Marks shall immediately inure to the benefit of Licensor and that Licensee shall have no claim to any common law or state trademark rights in</w:t>
      </w:r>
    </w:p>
    <w:p>
      <w:pPr>
        <w:pStyle w:val="TextBody"/>
        <w:spacing w:before="0" w:after="160"/>
        <w:ind w:left="0" w:right="0" w:hanging="0"/>
        <w:rPr/>
      </w:pPr>
      <w:r>
        <w:rPr/>
        <w:t>​</w:t>
      </w:r>
    </w:p>
    <w:p>
      <w:pPr>
        <w:pStyle w:val="TextBody"/>
        <w:spacing w:before="0" w:after="0"/>
        <w:ind w:left="0" w:right="0" w:hanging="0"/>
        <w:rPr/>
      </w:pPr>
      <w:r>
        <w:rPr/>
        <w:t>​</w:t>
      </w:r>
    </w:p>
    <w:p>
      <w:pPr>
        <w:pStyle w:val="HorizontalLine"/>
        <w:rPr/>
      </w:pPr>
      <w:r>
        <w:rPr/>
      </w:r>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4"/>
        </w:rPr>
        <w:t>respect of Licensor’s Marks within (or outside) the Territories. Upon Licensee’s first use of Marks in commerce in the Territories, the benefit of which shall inure to Licensor, Licensor may file a State of Colorado and/or State of New Mexico trademark registration applications for each of the Marks. Licensee agrees not to assert any superior trademark rights against Licensor’s registration and/or use of the Marks as provided in this Agreement.</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2.</w:t>
      </w:r>
      <w:r>
        <w:rPr>
          <w:rFonts w:ascii="Times New Roman;Times;serif" w:hAnsi="Times New Roman;Times;serif"/>
          <w:sz w:val="24"/>
          <w:u w:val="single"/>
        </w:rPr>
        <w:t>Product Packaging</w:t>
      </w:r>
      <w:r>
        <w:rPr>
          <w:rFonts w:ascii="Times New Roman;Times;serif" w:hAnsi="Times New Roman;Times;serif"/>
          <w:sz w:val="24"/>
        </w:rPr>
        <w:t>.</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u w:val="single"/>
        </w:rPr>
        <w:t xml:space="preserve">Packaging. </w:t>
      </w:r>
      <w:r>
        <w:rPr>
          <w:rFonts w:ascii="Times New Roman;Times;serif" w:hAnsi="Times New Roman;Times;serif"/>
          <w:sz w:val="24"/>
        </w:rPr>
        <w:t>Subject to Section 2(g), Licensee shall purchase all Product packaging materials (the “</w:t>
      </w:r>
      <w:r>
        <w:rPr>
          <w:rFonts w:ascii="Times New Roman;Times;serif" w:hAnsi="Times New Roman;Times;serif"/>
          <w:b/>
          <w:sz w:val="24"/>
        </w:rPr>
        <w:t>Packaging</w:t>
      </w:r>
      <w:r>
        <w:rPr>
          <w:rFonts w:ascii="Times New Roman;Times;serif" w:hAnsi="Times New Roman;Times;serif"/>
          <w:sz w:val="20"/>
        </w:rPr>
        <w:t>”</w:t>
      </w:r>
      <w:r>
        <w:rPr>
          <w:rFonts w:ascii="Times New Roman;Times;serif" w:hAnsi="Times New Roman;Times;serif"/>
          <w:sz w:val="24"/>
        </w:rPr>
        <w:t xml:space="preserve">), necessary to manufacture and sell the Product from Licensor unless otherwise agreed to in advance by Licensor in writing. </w:t>
      </w:r>
      <w:r>
        <w:rPr>
          <w:rFonts w:ascii="Times New Roman;Times;serif" w:hAnsi="Times New Roman;Times;serif"/>
          <w:b/>
          <w:sz w:val="24"/>
        </w:rPr>
        <w:t>Exhibit A</w:t>
      </w:r>
      <w:r>
        <w:rPr>
          <w:rFonts w:ascii="Times New Roman;Times;serif" w:hAnsi="Times New Roman;Times;serif"/>
          <w:sz w:val="20"/>
        </w:rPr>
        <w:t xml:space="preserve"> </w:t>
      </w:r>
      <w:r>
        <w:rPr>
          <w:rFonts w:ascii="Times New Roman;Times;serif" w:hAnsi="Times New Roman;Times;serif"/>
          <w:sz w:val="24"/>
        </w:rPr>
        <w:t>contains: (i) a description of the Packaging to be sold hereunder; (ii) the estimated purchase price for the Packaging (the “</w:t>
      </w:r>
      <w:r>
        <w:rPr>
          <w:rFonts w:ascii="Times New Roman;Times;serif" w:hAnsi="Times New Roman;Times;serif"/>
          <w:b/>
          <w:sz w:val="24"/>
        </w:rPr>
        <w:t>Estimated Packaging Price</w:t>
      </w:r>
      <w:r>
        <w:rPr>
          <w:rFonts w:ascii="Times New Roman;Times;serif" w:hAnsi="Times New Roman;Times;serif"/>
          <w:sz w:val="20"/>
        </w:rPr>
        <w:t>”</w:t>
      </w:r>
      <w:r>
        <w:rPr>
          <w:rFonts w:ascii="Times New Roman;Times;serif" w:hAnsi="Times New Roman;Times;serif"/>
          <w:sz w:val="24"/>
        </w:rPr>
        <w:t>); (iii) the specifications for the Packaging (the “</w:t>
      </w:r>
      <w:r>
        <w:rPr>
          <w:rFonts w:ascii="Times New Roman;Times;serif" w:hAnsi="Times New Roman;Times;serif"/>
          <w:b/>
          <w:sz w:val="24"/>
        </w:rPr>
        <w:t>Packaging Specifications</w:t>
      </w:r>
      <w:r>
        <w:rPr>
          <w:rFonts w:ascii="Times New Roman;Times;serif" w:hAnsi="Times New Roman;Times;serif"/>
          <w:sz w:val="20"/>
        </w:rPr>
        <w:t>”</w:t>
      </w:r>
      <w:r>
        <w:rPr>
          <w:rFonts w:ascii="Times New Roman;Times;serif" w:hAnsi="Times New Roman;Times;serif"/>
          <w:sz w:val="24"/>
        </w:rPr>
        <w:t>); and (iv) the specifications required for compliance with Applicable Law provided by Licensee, as amended (the “</w:t>
      </w:r>
      <w:r>
        <w:rPr>
          <w:rFonts w:ascii="Times New Roman;Times;serif" w:hAnsi="Times New Roman;Times;serif"/>
          <w:b/>
          <w:sz w:val="24"/>
        </w:rPr>
        <w:t>Regulatory Specifications</w:t>
      </w:r>
      <w:r>
        <w:rPr>
          <w:rFonts w:ascii="Times New Roman;Times;serif" w:hAnsi="Times New Roman;Times;serif"/>
          <w:sz w:val="20"/>
        </w:rPr>
        <w:t>”</w:t>
      </w:r>
      <w:r>
        <w:rPr>
          <w:rFonts w:ascii="Times New Roman;Times;serif" w:hAnsi="Times New Roman;Times;serif"/>
          <w:sz w:val="24"/>
        </w:rPr>
        <w:t xml:space="preserve">). The Parties shall mutually agree upon the form and content of the packaging used for the Licensed Products, and Licensee will be responsible for identification of packaging elements including required labeling necessary to ensure compliance with Applicable Law. The Parties shall, from time to time, amend </w:t>
      </w:r>
      <w:r>
        <w:rPr>
          <w:rFonts w:ascii="Times New Roman;Times;serif" w:hAnsi="Times New Roman;Times;serif"/>
          <w:b/>
          <w:sz w:val="24"/>
        </w:rPr>
        <w:t>Exhibit A</w:t>
      </w:r>
      <w:r>
        <w:rPr>
          <w:rFonts w:ascii="Times New Roman;Times;serif" w:hAnsi="Times New Roman;Times;serif"/>
          <w:sz w:val="20"/>
        </w:rPr>
        <w:t xml:space="preserve"> </w:t>
      </w:r>
      <w:r>
        <w:rPr>
          <w:rFonts w:ascii="Times New Roman;Times;serif" w:hAnsi="Times New Roman;Times;serif"/>
          <w:sz w:val="24"/>
        </w:rPr>
        <w:t>to reflect any agreed revisions to any of the terms described in the foregoing clauses (i)-(iv); provided that no such revisions will modify this Agreement or be binding on the Parties unless such revisions have been fully approved in a signed writing by authorized representatives of both Parties. Licensee covenants to only use Packaging supplied or expressly approved in writing by Licensor in producing the Licensed Products. Licensee agrees not to resell any such Packaging to third parties without prior written consent of Licensor, subject to the sell-off provisions in Section 6(f).</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u w:val="single"/>
        </w:rPr>
        <w:t>Ordering Procedure</w:t>
      </w:r>
      <w:r>
        <w:rPr>
          <w:rFonts w:ascii="Times New Roman;Times;serif" w:hAnsi="Times New Roman;Times;serif"/>
          <w:sz w:val="24"/>
        </w:rPr>
        <w:t>. Licensor and Licensee shall cooperate in good faith and using commercially reasonable efforts to arrange for Licensee to purchase Packaging through Licensor hereunder. Licensee shall issue to Licensor purchase orders in written form via facsimile, e-mail or US mail containing Licensee’s estimated Packaging requirements at least ninety (90) days in advance of the requested delivery date (the “</w:t>
      </w:r>
      <w:r>
        <w:rPr>
          <w:rFonts w:ascii="Times New Roman;Times;serif" w:hAnsi="Times New Roman;Times;serif"/>
          <w:b/>
          <w:sz w:val="24"/>
        </w:rPr>
        <w:t>Requested Delivery Date</w:t>
      </w:r>
      <w:r>
        <w:rPr>
          <w:rFonts w:ascii="Times New Roman;Times;serif" w:hAnsi="Times New Roman;Times;serif"/>
          <w:sz w:val="20"/>
        </w:rPr>
        <w:t>”</w:t>
      </w:r>
      <w:r>
        <w:rPr>
          <w:rFonts w:ascii="Times New Roman;Times;serif" w:hAnsi="Times New Roman;Times;serif"/>
          <w:sz w:val="24"/>
        </w:rPr>
        <w:t>) (each order, a “</w:t>
      </w:r>
      <w:r>
        <w:rPr>
          <w:rFonts w:ascii="Times New Roman;Times;serif" w:hAnsi="Times New Roman;Times;serif"/>
          <w:b/>
          <w:sz w:val="24"/>
        </w:rPr>
        <w:t>Purchase Order</w:t>
      </w:r>
      <w:r>
        <w:rPr>
          <w:rFonts w:ascii="Times New Roman;Times;serif" w:hAnsi="Times New Roman;Times;serif"/>
          <w:sz w:val="20"/>
        </w:rPr>
        <w:t>”</w:t>
      </w:r>
      <w:r>
        <w:rPr>
          <w:rFonts w:ascii="Times New Roman;Times;serif" w:hAnsi="Times New Roman;Times;serif"/>
          <w:sz w:val="24"/>
        </w:rPr>
        <w:t>). By issuing a Purchase Order to Licensor, Licensee makes an offer to purchase the Packaging pursuant to the terms and conditions of this Agreement and on no other terms. Subject to Section 2(g), Licensee shall be obligated to purchase from Licensor the quantities of Packaging specified in each applicable Purchase Order (the “</w:t>
      </w:r>
      <w:r>
        <w:rPr>
          <w:rFonts w:ascii="Times New Roman;Times;serif" w:hAnsi="Times New Roman;Times;serif"/>
          <w:b/>
          <w:sz w:val="24"/>
        </w:rPr>
        <w:t>Order Quantity</w:t>
      </w:r>
      <w:r>
        <w:rPr>
          <w:rFonts w:ascii="Times New Roman;Times;serif" w:hAnsi="Times New Roman;Times;serif"/>
          <w:sz w:val="20"/>
        </w:rPr>
        <w:t>”</w:t>
      </w:r>
      <w:r>
        <w:rPr>
          <w:rFonts w:ascii="Times New Roman;Times;serif" w:hAnsi="Times New Roman;Times;serif"/>
          <w:sz w:val="24"/>
        </w:rPr>
        <w:t>). Licensor accepts a Purchase Order by confirming the order in writing (each such order, an “</w:t>
      </w:r>
      <w:r>
        <w:rPr>
          <w:rFonts w:ascii="Times New Roman;Times;serif" w:hAnsi="Times New Roman;Times;serif"/>
          <w:b/>
          <w:sz w:val="24"/>
        </w:rPr>
        <w:t>Accepted Purchase Order</w:t>
      </w:r>
      <w:r>
        <w:rPr>
          <w:rFonts w:ascii="Times New Roman;Times;serif" w:hAnsi="Times New Roman;Times;serif"/>
          <w:sz w:val="20"/>
        </w:rPr>
        <w:t>”</w:t>
      </w:r>
      <w:r>
        <w:rPr>
          <w:rFonts w:ascii="Times New Roman;Times;serif" w:hAnsi="Times New Roman;Times;serif"/>
          <w:sz w:val="24"/>
        </w:rPr>
        <w:t>) to rob.piziali@schwazze.com in accordance with Section 13(a) (the “</w:t>
      </w:r>
      <w:r>
        <w:rPr>
          <w:rFonts w:ascii="Times New Roman;Times;serif" w:hAnsi="Times New Roman;Times;serif"/>
          <w:b/>
          <w:sz w:val="24"/>
        </w:rPr>
        <w:t>Acceptance Notice</w:t>
      </w:r>
      <w:r>
        <w:rPr>
          <w:rFonts w:ascii="Times New Roman;Times;serif" w:hAnsi="Times New Roman;Times;serif"/>
          <w:sz w:val="20"/>
        </w:rPr>
        <w:t>”</w:t>
      </w:r>
      <w:r>
        <w:rPr>
          <w:rFonts w:ascii="Times New Roman;Times;serif" w:hAnsi="Times New Roman;Times;serif"/>
          <w:sz w:val="24"/>
        </w:rPr>
        <w:t>).</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u w:val="single"/>
        </w:rPr>
        <w:t>Initial Payment</w:t>
      </w:r>
      <w:r>
        <w:rPr>
          <w:rFonts w:ascii="Times New Roman;Times;serif" w:hAnsi="Times New Roman;Times;serif"/>
          <w:sz w:val="24"/>
        </w:rPr>
        <w:t>. Licensee agrees pay to Licensor the Initial Payment for the Accepted Purchase Order within fifteen (15) days of receipt of the Acceptance Notice. The Initial Payment shall be made in accordance with Section 5(c). For purposes of this Agreement, the “</w:t>
      </w:r>
      <w:r>
        <w:rPr>
          <w:rFonts w:ascii="Times New Roman;Times;serif" w:hAnsi="Times New Roman;Times;serif"/>
          <w:b/>
          <w:sz w:val="24"/>
        </w:rPr>
        <w:t>Initial Payment</w:t>
      </w:r>
      <w:r>
        <w:rPr>
          <w:rFonts w:ascii="Times New Roman;Times;serif" w:hAnsi="Times New Roman;Times;serif"/>
          <w:sz w:val="20"/>
        </w:rPr>
        <w:t xml:space="preserve">” </w:t>
      </w:r>
      <w:r>
        <w:rPr>
          <w:rFonts w:ascii="Times New Roman;Times;serif" w:hAnsi="Times New Roman;Times;serif"/>
          <w:sz w:val="24"/>
        </w:rPr>
        <w:t>means the product of the units of Packaging to be purchased under the Accepted Purchase Order and the Estimated Packaging Price for such Packaging, divided by two.</w:t>
      </w:r>
    </w:p>
    <w:p>
      <w:pPr>
        <w:pStyle w:val="TextBody"/>
        <w:spacing w:before="0" w:after="16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rPr/>
      </w:pPr>
      <w:r>
        <w:rPr/>
      </w:r>
    </w:p>
    <w:p>
      <w:pPr>
        <w:pStyle w:val="TextBody"/>
        <w:spacing w:before="0" w:after="0"/>
        <w:ind w:left="0" w:right="0" w:hanging="0"/>
        <w:rPr/>
      </w:pPr>
      <w:r>
        <w:rPr/>
        <w:t>​</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u w:val="single"/>
        </w:rPr>
        <w:t>Licensor Obligations</w:t>
      </w:r>
      <w:r>
        <w:rPr>
          <w:rFonts w:ascii="Times New Roman;Times;serif" w:hAnsi="Times New Roman;Times;serif"/>
          <w:sz w:val="24"/>
        </w:rPr>
        <w:t>. Licensor shall use commercially reasonable efforts to cause each accepted Purchase Order to be fulfilled by the Requested Delivery Date and at the Estimated Packaging Price. In the event that Licensor does not reasonably believe it can fulfill the Purchase Order on or before the Requested Delivery Date, Licensor shall provide Licensee with prompt written notice thereof. The calendar date on which the Packaging is actually delivered to Licensee’s Facility for each Accepted Purchase Order in accordance with this Section 3 is referred to herein as the “</w:t>
      </w:r>
      <w:r>
        <w:rPr>
          <w:rFonts w:ascii="Times New Roman;Times;serif" w:hAnsi="Times New Roman;Times;serif"/>
          <w:b/>
          <w:sz w:val="24"/>
        </w:rPr>
        <w:t>Delivery Date</w:t>
      </w:r>
      <w:r>
        <w:rPr>
          <w:rFonts w:ascii="Times New Roman;Times;serif" w:hAnsi="Times New Roman;Times;serif"/>
          <w:sz w:val="20"/>
        </w:rPr>
        <w:t xml:space="preserve">” </w:t>
      </w:r>
      <w:r>
        <w:rPr>
          <w:rFonts w:ascii="Times New Roman;Times;serif" w:hAnsi="Times New Roman;Times;serif"/>
          <w:sz w:val="24"/>
        </w:rPr>
        <w:t>and each such delivered Purchaser Order is referred to as a “</w:t>
      </w:r>
      <w:r>
        <w:rPr>
          <w:rFonts w:ascii="Times New Roman;Times;serif" w:hAnsi="Times New Roman;Times;serif"/>
          <w:b/>
          <w:sz w:val="24"/>
        </w:rPr>
        <w:t>Delivered Order</w:t>
      </w:r>
      <w:r>
        <w:rPr>
          <w:rFonts w:ascii="Times New Roman;Times;serif" w:hAnsi="Times New Roman;Times;serif"/>
          <w:sz w:val="24"/>
        </w:rPr>
        <w:t>.” On each applicable Delivery Date, Licensor shall submit itemized invoices to Licensee (each, a “</w:t>
      </w:r>
      <w:r>
        <w:rPr>
          <w:rFonts w:ascii="Times New Roman;Times;serif" w:hAnsi="Times New Roman;Times;serif"/>
          <w:b/>
          <w:sz w:val="24"/>
        </w:rPr>
        <w:t>Delivery Invoice</w:t>
      </w:r>
      <w:r>
        <w:rPr>
          <w:rFonts w:ascii="Times New Roman;Times;serif" w:hAnsi="Times New Roman;Times;serif"/>
          <w:sz w:val="20"/>
        </w:rPr>
        <w:t>”</w:t>
      </w:r>
      <w:r>
        <w:rPr>
          <w:rFonts w:ascii="Times New Roman;Times;serif" w:hAnsi="Times New Roman;Times;serif"/>
          <w:sz w:val="24"/>
        </w:rPr>
        <w:t>) to rob.piziali@schwazze.com in accordance with Section 13(a) identifying (i) the actual cost of the Packaging delivered under the Accepted Purchase Order (the “</w:t>
      </w:r>
      <w:r>
        <w:rPr>
          <w:rFonts w:ascii="Times New Roman;Times;serif" w:hAnsi="Times New Roman;Times;serif"/>
          <w:b/>
          <w:sz w:val="24"/>
        </w:rPr>
        <w:t>Actual Packaging Price</w:t>
      </w:r>
      <w:r>
        <w:rPr>
          <w:rFonts w:ascii="Times New Roman;Times;serif" w:hAnsi="Times New Roman;Times;serif"/>
          <w:sz w:val="20"/>
        </w:rPr>
        <w:t>”</w:t>
      </w:r>
      <w:r>
        <w:rPr>
          <w:rFonts w:ascii="Times New Roman;Times;serif" w:hAnsi="Times New Roman;Times;serif"/>
          <w:sz w:val="24"/>
        </w:rPr>
        <w:t>) and (ii) the freight and delivery charges (the “</w:t>
      </w:r>
      <w:r>
        <w:rPr>
          <w:rFonts w:ascii="Times New Roman;Times;serif" w:hAnsi="Times New Roman;Times;serif"/>
          <w:b/>
          <w:sz w:val="24"/>
        </w:rPr>
        <w:t>Delivery Fee</w:t>
      </w:r>
      <w:r>
        <w:rPr>
          <w:rFonts w:ascii="Times New Roman;Times;serif" w:hAnsi="Times New Roman;Times;serif"/>
          <w:sz w:val="20"/>
        </w:rPr>
        <w:t>”</w:t>
      </w:r>
      <w:r>
        <w:rPr>
          <w:rFonts w:ascii="Times New Roman;Times;serif" w:hAnsi="Times New Roman;Times;serif"/>
          <w:sz w:val="24"/>
        </w:rPr>
        <w:t>).</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sz w:val="24"/>
          <w:u w:val="single"/>
        </w:rPr>
        <w:t>Remaining Payment</w:t>
      </w:r>
      <w:r>
        <w:rPr>
          <w:rFonts w:ascii="Times New Roman;Times;serif" w:hAnsi="Times New Roman;Times;serif"/>
          <w:sz w:val="24"/>
        </w:rPr>
        <w:t>. Licensee agrees pay to Licensor the Remaining Payment for each Delivered Order within thirty (30) days after receipt of the applicable Delivery Invoice. For purposes of this Agreement, the “</w:t>
      </w:r>
      <w:r>
        <w:rPr>
          <w:rFonts w:ascii="Times New Roman;Times;serif" w:hAnsi="Times New Roman;Times;serif"/>
          <w:b/>
          <w:sz w:val="24"/>
        </w:rPr>
        <w:t>Remaining Payment</w:t>
      </w:r>
      <w:r>
        <w:rPr>
          <w:rFonts w:ascii="Times New Roman;Times;serif" w:hAnsi="Times New Roman;Times;serif"/>
          <w:sz w:val="20"/>
        </w:rPr>
        <w:t xml:space="preserve">” </w:t>
      </w:r>
      <w:r>
        <w:rPr>
          <w:rFonts w:ascii="Times New Roman;Times;serif" w:hAnsi="Times New Roman;Times;serif"/>
          <w:sz w:val="24"/>
        </w:rPr>
        <w:t xml:space="preserve">for each Accepted Purchase Order shall be comprised of the Actual Packaging Price, </w:t>
      </w:r>
      <w:r>
        <w:rPr>
          <w:rFonts w:ascii="Times New Roman;Times;serif" w:hAnsi="Times New Roman;Times;serif"/>
          <w:i/>
          <w:sz w:val="24"/>
        </w:rPr>
        <w:t>plus</w:t>
      </w:r>
      <w:r>
        <w:rPr>
          <w:rFonts w:ascii="Times New Roman;Times;serif" w:hAnsi="Times New Roman;Times;serif"/>
          <w:sz w:val="20"/>
        </w:rPr>
        <w:t xml:space="preserve"> </w:t>
      </w:r>
      <w:r>
        <w:rPr>
          <w:rFonts w:ascii="Times New Roman;Times;serif" w:hAnsi="Times New Roman;Times;serif"/>
          <w:sz w:val="24"/>
        </w:rPr>
        <w:t>the Delivery Fee,</w:t>
      </w:r>
      <w:r>
        <w:rPr>
          <w:rFonts w:ascii="Times New Roman;Times;serif" w:hAnsi="Times New Roman;Times;serif"/>
          <w:sz w:val="20"/>
        </w:rPr>
        <w:t xml:space="preserve"> </w:t>
      </w:r>
      <w:r>
        <w:rPr>
          <w:rFonts w:ascii="Times New Roman;Times;serif" w:hAnsi="Times New Roman;Times;serif"/>
          <w:i/>
          <w:sz w:val="24"/>
        </w:rPr>
        <w:t>plus</w:t>
      </w:r>
      <w:r>
        <w:rPr>
          <w:rFonts w:ascii="Times New Roman;Times;serif" w:hAnsi="Times New Roman;Times;serif"/>
          <w:sz w:val="20"/>
        </w:rPr>
        <w:t xml:space="preserve"> </w:t>
      </w:r>
      <w:r>
        <w:rPr>
          <w:rFonts w:ascii="Times New Roman;Times;serif" w:hAnsi="Times New Roman;Times;serif"/>
          <w:sz w:val="24"/>
        </w:rPr>
        <w:t>five percent (5%) of the Actual Packaging Price (the “</w:t>
      </w:r>
      <w:r>
        <w:rPr>
          <w:rFonts w:ascii="Times New Roman;Times;serif" w:hAnsi="Times New Roman;Times;serif"/>
          <w:b/>
          <w:sz w:val="24"/>
        </w:rPr>
        <w:t>Licensor’s Fee</w:t>
      </w:r>
      <w:r>
        <w:rPr>
          <w:rFonts w:ascii="Times New Roman;Times;serif" w:hAnsi="Times New Roman;Times;serif"/>
          <w:sz w:val="20"/>
        </w:rPr>
        <w:t>”</w:t>
      </w:r>
      <w:r>
        <w:rPr>
          <w:rFonts w:ascii="Times New Roman;Times;serif" w:hAnsi="Times New Roman;Times;serif"/>
          <w:sz w:val="24"/>
        </w:rPr>
        <w:t xml:space="preserve">), </w:t>
      </w:r>
      <w:r>
        <w:rPr>
          <w:rFonts w:ascii="Times New Roman;Times;serif" w:hAnsi="Times New Roman;Times;serif"/>
          <w:i/>
          <w:sz w:val="24"/>
        </w:rPr>
        <w:t>less</w:t>
      </w:r>
      <w:r>
        <w:rPr>
          <w:rFonts w:ascii="Times New Roman;Times;serif" w:hAnsi="Times New Roman;Times;serif"/>
          <w:sz w:val="20"/>
        </w:rPr>
        <w:t xml:space="preserve"> </w:t>
      </w:r>
      <w:r>
        <w:rPr>
          <w:rFonts w:ascii="Times New Roman;Times;serif" w:hAnsi="Times New Roman;Times;serif"/>
          <w:sz w:val="24"/>
        </w:rPr>
        <w:t>the Initial Payment. The Remaining Payment shall be made in accordance with Section 5(d).</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f.</w:t>
      </w:r>
      <w:r>
        <w:rPr>
          <w:rFonts w:ascii="Times New Roman;Times;serif" w:hAnsi="Times New Roman;Times;serif"/>
          <w:sz w:val="24"/>
          <w:u w:val="single"/>
        </w:rPr>
        <w:t>Licensee Obligations</w:t>
      </w:r>
      <w:r>
        <w:rPr>
          <w:rFonts w:ascii="Times New Roman;Times;serif" w:hAnsi="Times New Roman;Times;serif"/>
          <w:sz w:val="24"/>
        </w:rPr>
        <w:t>. Subject to Section 2(g), Licensee covenants and agrees to buy packaging for the Licensed Products solely from Licensor and Licensee will use the Packaging purchased from Licensor exclusively for the Licensed Products produced hereunder and will not sell or resell such Packaging except as otherwise permitted hereunder without the prior written consent of Licensor.</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g.</w:t>
      </w:r>
      <w:r>
        <w:rPr>
          <w:rFonts w:ascii="Times New Roman;Times;serif" w:hAnsi="Times New Roman;Times;serif"/>
          <w:sz w:val="24"/>
          <w:u w:val="single"/>
        </w:rPr>
        <w:t>Inability to Fulfill</w:t>
      </w:r>
      <w:r>
        <w:rPr>
          <w:rFonts w:ascii="Times New Roman;Times;serif" w:hAnsi="Times New Roman;Times;serif"/>
          <w:sz w:val="24"/>
        </w:rPr>
        <w:t>. In the event that Licensor is unable to satisfy the Order Quantity in the applicable Accepted Purchase Order (each event, a “</w:t>
      </w:r>
      <w:r>
        <w:rPr>
          <w:rFonts w:ascii="Times New Roman;Times;serif" w:hAnsi="Times New Roman;Times;serif"/>
          <w:b/>
          <w:sz w:val="24"/>
        </w:rPr>
        <w:t>Nonfulfillment Event</w:t>
      </w:r>
      <w:r>
        <w:rPr>
          <w:rFonts w:ascii="Times New Roman;Times;serif" w:hAnsi="Times New Roman;Times;serif"/>
          <w:sz w:val="20"/>
        </w:rPr>
        <w:t>”</w:t>
      </w:r>
      <w:r>
        <w:rPr>
          <w:rFonts w:ascii="Times New Roman;Times;serif" w:hAnsi="Times New Roman;Times;serif"/>
          <w:sz w:val="24"/>
        </w:rPr>
        <w:t>), Licensor shall provide Licensee with reasonable notice thereof (“</w:t>
      </w:r>
      <w:r>
        <w:rPr>
          <w:rFonts w:ascii="Times New Roman;Times;serif" w:hAnsi="Times New Roman;Times;serif"/>
          <w:b/>
          <w:sz w:val="24"/>
        </w:rPr>
        <w:t>Nonfulfillment Notice</w:t>
      </w:r>
      <w:r>
        <w:rPr>
          <w:rFonts w:ascii="Times New Roman;Times;serif" w:hAnsi="Times New Roman;Times;serif"/>
          <w:sz w:val="20"/>
        </w:rPr>
        <w:t>”</w:t>
      </w:r>
      <w:r>
        <w:rPr>
          <w:rFonts w:ascii="Times New Roman;Times;serif" w:hAnsi="Times New Roman;Times;serif"/>
          <w:sz w:val="24"/>
        </w:rPr>
        <w:t>). If a Nonfulfillment Event occurs, Licensor and Licensee shall communicate promptly and use good faith and commercially reasonable efforts for a period not to exceed thirty (30) days after receipt of the Nonfulfillment Notice to arrange alternative means for Licensee to obtain access to alternate packaging on as economical terms as shall reasonably be available in the circumstances (such arrangement, an “</w:t>
      </w:r>
      <w:r>
        <w:rPr>
          <w:rFonts w:ascii="Times New Roman;Times;serif" w:hAnsi="Times New Roman;Times;serif"/>
          <w:b/>
          <w:sz w:val="24"/>
        </w:rPr>
        <w:t>Alternate Arrangement</w:t>
      </w:r>
      <w:r>
        <w:rPr>
          <w:rFonts w:ascii="Times New Roman;Times;serif" w:hAnsi="Times New Roman;Times;serif"/>
          <w:sz w:val="20"/>
        </w:rPr>
        <w:t>”</w:t>
      </w:r>
      <w:r>
        <w:rPr>
          <w:rFonts w:ascii="Times New Roman;Times;serif" w:hAnsi="Times New Roman;Times;serif"/>
          <w:sz w:val="24"/>
        </w:rPr>
        <w:t>), subject to Licensee’s sole and absolute discretion. Licensor shall cooperate with Licensee and use commercially reasonable efforts to pursue such recourse as may be available from any Packaging vendors in connection with any Nonfulfillment Event, for the benefit of Licensee. In the event Licensee approves of any such Alternate Arrangement, Licensor shall deliver the packaging under the Alternate Arrangement to Licensor as promptly as possible in accordance with the terms of this Agreement and Licensee shall be entitled to credit the Initial Payment towards any amounts owed to Licensor upon delivery thereof. Upon completion of the Alternate Arrangement (including delivery of the packaging purchased thereunder), Licensor shall submit an itemized invoice to Licensee (each, an “</w:t>
      </w:r>
      <w:r>
        <w:rPr>
          <w:rFonts w:ascii="Times New Roman;Times;serif" w:hAnsi="Times New Roman;Times;serif"/>
          <w:b/>
          <w:sz w:val="24"/>
        </w:rPr>
        <w:t>Alternate Arrangement Invoice</w:t>
      </w:r>
      <w:r>
        <w:rPr>
          <w:rFonts w:ascii="Times New Roman;Times;serif" w:hAnsi="Times New Roman;Times;serif"/>
          <w:sz w:val="20"/>
        </w:rPr>
        <w:t>”</w:t>
      </w:r>
      <w:r>
        <w:rPr>
          <w:rFonts w:ascii="Times New Roman;Times;serif" w:hAnsi="Times New Roman;Times;serif"/>
          <w:sz w:val="24"/>
        </w:rPr>
        <w:t>) to rob.piziali@schwazze.com in accordance with Section 13(a) identifying (i) the actual cost of the packaging delivered thereunder, (ii) the Licensor’s Fee, if applicable thereto, and (iii) the Delivery Fee (the “</w:t>
      </w:r>
      <w:r>
        <w:rPr>
          <w:rFonts w:ascii="Times New Roman;Times;serif" w:hAnsi="Times New Roman;Times;serif"/>
          <w:b/>
          <w:sz w:val="24"/>
        </w:rPr>
        <w:t>Alternate</w:t>
      </w:r>
    </w:p>
    <w:p>
      <w:pPr>
        <w:pStyle w:val="TextBody"/>
        <w:spacing w:before="0" w:after="16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rPr/>
      </w:pPr>
      <w:r>
        <w:rPr/>
      </w:r>
    </w:p>
    <w:p>
      <w:pPr>
        <w:pStyle w:val="TextBody"/>
        <w:spacing w:before="0" w:after="0"/>
        <w:ind w:left="0" w:right="0" w:hanging="0"/>
        <w:rPr/>
      </w:pPr>
      <w:r>
        <w:rPr/>
        <w:t>​</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b/>
          <w:sz w:val="24"/>
        </w:rPr>
        <w:t>Arrangement Fee</w:t>
      </w:r>
      <w:r>
        <w:rPr>
          <w:rFonts w:ascii="Times New Roman;Times;serif" w:hAnsi="Times New Roman;Times;serif"/>
          <w:sz w:val="20"/>
        </w:rPr>
        <w:t>”</w:t>
      </w:r>
      <w:r>
        <w:rPr>
          <w:rFonts w:ascii="Times New Roman;Times;serif" w:hAnsi="Times New Roman;Times;serif"/>
          <w:sz w:val="24"/>
        </w:rPr>
        <w:t xml:space="preserve">). Licensee shall pay Licensor the Alternate Arrangement Fee, </w:t>
      </w:r>
      <w:r>
        <w:rPr>
          <w:rFonts w:ascii="Times New Roman;Times;serif" w:hAnsi="Times New Roman;Times;serif"/>
          <w:i/>
          <w:sz w:val="24"/>
        </w:rPr>
        <w:t>less</w:t>
      </w:r>
      <w:r>
        <w:rPr>
          <w:rFonts w:ascii="Times New Roman;Times;serif" w:hAnsi="Times New Roman;Times;serif"/>
          <w:sz w:val="20"/>
        </w:rPr>
        <w:t xml:space="preserve"> </w:t>
      </w:r>
      <w:r>
        <w:rPr>
          <w:rFonts w:ascii="Times New Roman;Times;serif" w:hAnsi="Times New Roman;Times;serif"/>
          <w:sz w:val="24"/>
        </w:rPr>
        <w:t>the Initial Payment (the “</w:t>
      </w:r>
      <w:r>
        <w:rPr>
          <w:rFonts w:ascii="Times New Roman;Times;serif" w:hAnsi="Times New Roman;Times;serif"/>
          <w:b/>
          <w:sz w:val="24"/>
        </w:rPr>
        <w:t>Alternate Arrangement Balance</w:t>
      </w:r>
      <w:r>
        <w:rPr>
          <w:rFonts w:ascii="Times New Roman;Times;serif" w:hAnsi="Times New Roman;Times;serif"/>
          <w:sz w:val="20"/>
        </w:rPr>
        <w:t>”</w:t>
      </w:r>
      <w:r>
        <w:rPr>
          <w:rFonts w:ascii="Times New Roman;Times;serif" w:hAnsi="Times New Roman;Times;serif"/>
          <w:sz w:val="24"/>
        </w:rPr>
        <w:t>), in accordance with Section 5(e). For the avoidance of doubt, the parties acknowledge and agree that a Nonfulfillment Event and any related failure to meet a contractual obligation by Licensee as a result of a Nonfulfillment Event shall not be considered a breach of this Agreement.</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h.</w:t>
      </w:r>
      <w:r>
        <w:rPr>
          <w:rFonts w:ascii="Times New Roman;Times;serif" w:hAnsi="Times New Roman;Times;serif"/>
          <w:sz w:val="24"/>
          <w:u w:val="single"/>
        </w:rPr>
        <w:t>Acceptance and Inspection.</w:t>
      </w:r>
      <w:r>
        <w:rPr>
          <w:rFonts w:ascii="Times New Roman;Times;serif" w:hAnsi="Times New Roman;Times;serif"/>
          <w:sz w:val="20"/>
        </w:rPr>
        <w:t xml:space="preserve"> </w:t>
      </w:r>
      <w:r>
        <w:rPr>
          <w:rFonts w:ascii="Times New Roman;Times;serif" w:hAnsi="Times New Roman;Times;serif"/>
          <w:sz w:val="24"/>
        </w:rPr>
        <w:t>Unless otherwise expressly agreed by the Parties in writing, Licensor shall deliver the Packaging EXW (Incoterms 2010) at 4715 N. Colorado Blvd., Denver, CO 80216 (“</w:t>
      </w:r>
      <w:r>
        <w:rPr>
          <w:rFonts w:ascii="Times New Roman;Times;serif" w:hAnsi="Times New Roman;Times;serif"/>
          <w:b/>
          <w:sz w:val="24"/>
        </w:rPr>
        <w:t>Licensee’s Facility</w:t>
      </w:r>
      <w:r>
        <w:rPr>
          <w:rFonts w:ascii="Times New Roman;Times;serif" w:hAnsi="Times New Roman;Times;serif"/>
          <w:sz w:val="20"/>
        </w:rPr>
        <w:t>”</w:t>
      </w:r>
      <w:r>
        <w:rPr>
          <w:rFonts w:ascii="Times New Roman;Times;serif" w:hAnsi="Times New Roman;Times;serif"/>
          <w:sz w:val="24"/>
        </w:rPr>
        <w:t>). Any time quoted for delivery is an estimate only; provided, however, that Licensor shall use commercially reasonable efforts to deliver the Packaging on or before the Requested Delivery Date. Licensee shall inspect the Packaging within ten (10) days of receipt of such Packaging (“</w:t>
      </w:r>
      <w:r>
        <w:rPr>
          <w:rFonts w:ascii="Times New Roman;Times;serif" w:hAnsi="Times New Roman;Times;serif"/>
          <w:b/>
          <w:sz w:val="24"/>
        </w:rPr>
        <w:t>Inspection Period</w:t>
      </w:r>
      <w:r>
        <w:rPr>
          <w:rFonts w:ascii="Times New Roman;Times;serif" w:hAnsi="Times New Roman;Times;serif"/>
          <w:sz w:val="20"/>
        </w:rPr>
        <w:t>”</w:t>
      </w:r>
      <w:r>
        <w:rPr>
          <w:rFonts w:ascii="Times New Roman;Times;serif" w:hAnsi="Times New Roman;Times;serif"/>
          <w:sz w:val="24"/>
        </w:rPr>
        <w:t>) and either accept or, only if any such Packaging fails to conform to the approved artwork and specifications listed in the applicable Purchase Order including, but not limited to, failure to comply with the Packaging Specifications or Regulatory Specifications (“</w:t>
      </w:r>
      <w:r>
        <w:rPr>
          <w:rFonts w:ascii="Times New Roman;Times;serif" w:hAnsi="Times New Roman;Times;serif"/>
          <w:b/>
          <w:sz w:val="24"/>
        </w:rPr>
        <w:t>Nonconforming Packaging</w:t>
      </w:r>
      <w:r>
        <w:rPr>
          <w:rFonts w:ascii="Times New Roman;Times;serif" w:hAnsi="Times New Roman;Times;serif"/>
          <w:sz w:val="20"/>
        </w:rPr>
        <w:t>”</w:t>
      </w:r>
      <w:r>
        <w:rPr>
          <w:rFonts w:ascii="Times New Roman;Times;serif" w:hAnsi="Times New Roman;Times;serif"/>
          <w:sz w:val="24"/>
        </w:rPr>
        <w:t>), reject such Packaging. Licensee shall be deemed to have accepted such Packaging unless it provides Licensor with written Notice of any Nonconforming Packaging prior to the expiration of the Inspection Period, stating with specificity all defects and nonconformities, and furnishing such other written evidence or other documentation as may be reasonably required by Licensor. If Licensee timely notifies Licensor of any Nonconforming Packaging, Licensor shall use commercially reasonable efforts to accept for return and credit any Nonconforming Packaging per terms with the applicable packaging vendors. Licensee shall use only those items which Licensee has determined comply with both the Regulatory Specifications and the Packaging Specifications. For the avoidance of doubt, in the event of a conflict between the Regulatory Specifications and the Packaging Specifications, the Regulatory Specifications shall control.</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3.</w:t>
      </w:r>
      <w:r>
        <w:rPr>
          <w:rFonts w:ascii="Times New Roman;Times;serif" w:hAnsi="Times New Roman;Times;serif"/>
          <w:sz w:val="24"/>
          <w:u w:val="single"/>
        </w:rPr>
        <w:t>Sales Matters</w:t>
      </w:r>
      <w:r>
        <w:rPr>
          <w:rFonts w:ascii="Times New Roman;Times;serif" w:hAnsi="Times New Roman;Times;serif"/>
          <w:sz w:val="24"/>
        </w:rPr>
        <w:t>.</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Licensee shall (i) sell the Products throughout the Territories by developing sales and marketing programs, sales targets and projections for the Products in the Territories, (ii) install, operate and maintain within the Territories manufacturing facilities and equipment, and distribution, delivery and transportation assets necessary for Licensee, in its discretion, to comply with its obligations under this Agreement, (iii) deliver to Licensor each six (6) months (or more frequently if agreed to by the Parties) a program or plan, in writing, in accordance with Licensee’s obligations under this Agreement, showing in reasonable detail the activities of Licensee contemplated for the ensuing six (6) month period, (iv) report to Licensor accurate and current information on production, distribution and sales of the Licensed Products at such intervals, in such detail and in such form as may reasonably be requested by Licensor, but in any event not more than once a fiscal quarter, (v) maintain accurate books, accounts and records relating to the marketing and sale of the Products, and (vii) not sell and/or distribute the Licensed Products outside the Territories or to anyone who Licensee knows or should reasonably know intends to resell the Licensed Products outside the Territories, without the prior written consent of Licensor. Licensor shall provide support and assistance as reasonably requested by Licensee in connection with the foregoing activities, all subject to applicable legal restrictions. Licensor and</w:t>
      </w:r>
    </w:p>
    <w:p>
      <w:pPr>
        <w:pStyle w:val="TextBody"/>
        <w:spacing w:before="0" w:after="16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HorizontalLine"/>
        <w:rPr/>
      </w:pPr>
      <w:r>
        <w:rPr/>
      </w:r>
    </w:p>
    <w:p>
      <w:pPr>
        <w:pStyle w:val="TextBody"/>
        <w:spacing w:before="0" w:after="0"/>
        <w:ind w:left="0" w:right="0" w:hanging="0"/>
        <w:rPr/>
      </w:pPr>
      <w:r>
        <w:rPr/>
        <w:t>​</w:t>
      </w:r>
    </w:p>
    <w:p>
      <w:pPr>
        <w:pStyle w:val="TextBody"/>
        <w:spacing w:before="0" w:after="240"/>
        <w:ind w:left="720" w:right="0" w:hanging="0"/>
        <w:jc w:val="both"/>
        <w:rPr>
          <w:rFonts w:ascii="Times New Roman;Times;serif" w:hAnsi="Times New Roman;Times;serif"/>
          <w:sz w:val="24"/>
        </w:rPr>
      </w:pPr>
      <w:r>
        <w:rPr>
          <w:rFonts w:ascii="Times New Roman;Times;serif" w:hAnsi="Times New Roman;Times;serif"/>
          <w:sz w:val="24"/>
        </w:rPr>
        <w:t>Licensee shall also create a joint and mutually agreeable press release and marketing campaign. Neither Party shall issue or distribute any press releases or make any announcements relating to the other Party or this Agreement without the prior written consent of the other Party unless required by Applicable Law.</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Licensor may, in its discretion, agree from time to time and subject to such terms and conditions as it shall determine contribute financially to Licensee’s marketing programs. Licensor may also undertake, at its own expense and independently from Licensee, any additional advertising or sales promotion activities in the Territories it deems useful or appropriate with prior written notice to and in coordination with Licensee; provided, however, that such Licensor activities shall be in accordance with Applicable Law. Notwithstanding anything in this Agreement to the contrary, Licensor shall seek prior written approval from Licensee on all marketing and advertising and related activity undertaken in the Territories in order to comply with all Colorado and New Mexico rules and regulations.</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Licensor shall provide to, or cause to be provided to, Licensee, at 100% of Licensor’s expense and in amounts to be determined reasonably by Licensor, all marketing and advertising materials and services, generally provided by Licensor to retail locations in which the Products are sold as reasonably requested by Licensee, including but not limited to non-semipermanent retail items such as coasters, posters, and stickers and other low-cost in-store giveaway merchandise. Cost of branded semi-permanent items furnished by Licensor, such as display stands, will be shared 50/50 between Licensor and Licensee as mutually agreed by the Parties.</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Licensee shall submit proposals for all advertising, marketing and promotional projects relating to the Company IP or the Licensed Products to Licensor for its prior approval, and shall use, publish, maintain or distribute only such advertising, marketing or promotional materials relating to the Company IP or the Licensed Products as Licensor shall approve and authorize. Licensor will, within five (5) business days of receipt of a proposal, either approve or reject such proposal. If Licensor rejects the proposal, Licensor will detail with reasonably particularity the reasons for the rejection, and provide a plan of correction that, if followed by Licensee, will result in approval. After approval of the same, Licensee will not materially deviate therefrom without the prior written approval of Licensor. All approval rights shall be exercised reasonably and in good faith, and Licensor may revoke or rescind any prior approval at any time on notice to Licensee and any approval for advertising, marketing or promotions shall not constitute a standing approval unless specified by Licensor in writing. All advertising, marketing, packaging and similar materials (including websites and online materials) used or distributed by Licensee in connection with the Company IP and the Licensed Products must display the applicable copyright, trademark, patent, and other legal and proprietary notices, legends, and symbols as Licensor may indicate to Licensee from time-to-time.</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sz w:val="24"/>
        </w:rPr>
        <w:t>The Parties will confer regarding the wholesale and suggested retail prices for the Licensed Products from time to time; provided, however, that Licensee shall have no obligation to abide by Licensor’s suggested wholesale and retail suggestions.</w:t>
      </w:r>
    </w:p>
    <w:p>
      <w:pPr>
        <w:pStyle w:val="TextBody"/>
        <w:spacing w:before="0" w:after="16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5</w:t>
      </w:r>
    </w:p>
    <w:p>
      <w:pPr>
        <w:pStyle w:val="HorizontalLine"/>
        <w:rPr/>
      </w:pPr>
      <w:r>
        <w:rPr/>
      </w:r>
    </w:p>
    <w:p>
      <w:pPr>
        <w:pStyle w:val="TextBody"/>
        <w:spacing w:before="0" w:after="0"/>
        <w:ind w:left="0" w:right="0" w:hanging="0"/>
        <w:rPr/>
      </w:pPr>
      <w:r>
        <w:rPr/>
        <w:t>​</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f.</w:t>
      </w:r>
      <w:r>
        <w:rPr>
          <w:rFonts w:ascii="Times New Roman;Times;serif" w:hAnsi="Times New Roman;Times;serif"/>
          <w:sz w:val="24"/>
        </w:rPr>
        <w:t>Notwithstanding anything in this Agreement to the contrary, Licensee’s reporting requirements in this Agreement shall apply to wholesale sales by Licensee only and shall include the following information: by account, SKU, volume, time period, frequency of order and any other metrics mutually agreed by the parties from time to time. In addition, Licensee shall report and substantiate to the reasonable satisfaction of Licensor Licensee’s third-party advertising and marketing expenditures for the Products for each calendar quarter during the Term of this Agreement, not later than thirty (30) days following the end of each such calendar quarter.</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4.</w:t>
      </w:r>
      <w:r>
        <w:rPr>
          <w:rFonts w:ascii="Times New Roman;Times;serif" w:hAnsi="Times New Roman;Times;serif"/>
          <w:sz w:val="24"/>
          <w:u w:val="single"/>
        </w:rPr>
        <w:t>Production</w:t>
      </w:r>
      <w:r>
        <w:rPr>
          <w:rFonts w:ascii="Times New Roman;Times;serif" w:hAnsi="Times New Roman;Times;serif"/>
          <w:sz w:val="24"/>
        </w:rPr>
        <w:t>.</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u w:val="single"/>
        </w:rPr>
        <w:t>Product Manufacturing</w:t>
      </w:r>
      <w:r>
        <w:rPr>
          <w:rFonts w:ascii="Times New Roman;Times;serif" w:hAnsi="Times New Roman;Times;serif"/>
          <w:sz w:val="24"/>
        </w:rPr>
        <w:t>. The Licensee shall manufacture, fill, package and warehouse the Licensed Products in conformity with the Packaging Specifications and Regulatory Specifications (collectively, the “</w:t>
      </w:r>
      <w:r>
        <w:rPr>
          <w:rFonts w:ascii="Times New Roman;Times;serif" w:hAnsi="Times New Roman;Times;serif"/>
          <w:b/>
          <w:sz w:val="24"/>
        </w:rPr>
        <w:t>Specifications</w:t>
      </w:r>
      <w:r>
        <w:rPr>
          <w:rFonts w:ascii="Times New Roman;Times;serif" w:hAnsi="Times New Roman;Times;serif"/>
          <w:sz w:val="20"/>
        </w:rPr>
        <w:t>”</w:t>
      </w:r>
      <w:r>
        <w:rPr>
          <w:rFonts w:ascii="Times New Roman;Times;serif" w:hAnsi="Times New Roman;Times;serif"/>
          <w:sz w:val="24"/>
        </w:rPr>
        <w:t xml:space="preserve">) set forth on </w:t>
      </w:r>
      <w:r>
        <w:rPr>
          <w:rFonts w:ascii="Times New Roman;Times;serif" w:hAnsi="Times New Roman;Times;serif"/>
          <w:b/>
          <w:sz w:val="24"/>
        </w:rPr>
        <w:t>Exhibit A</w:t>
      </w:r>
      <w:r>
        <w:rPr>
          <w:rFonts w:ascii="Times New Roman;Times;serif" w:hAnsi="Times New Roman;Times;serif"/>
          <w:sz w:val="24"/>
        </w:rPr>
        <w:t>, all Applicable Laws, and the terms of this Agreement. Licensee shall maintain all information and records relating to the production of the Licensed Products as shall be required by Applicable Law.</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u w:val="single"/>
        </w:rPr>
        <w:t>Facilities</w:t>
      </w:r>
      <w:r>
        <w:rPr>
          <w:rFonts w:ascii="Times New Roman;Times;serif" w:hAnsi="Times New Roman;Times;serif"/>
          <w:sz w:val="24"/>
        </w:rPr>
        <w:t>. The Licensee shall manufacture the Licensed Products only at Licensee’s Facility in accordance with Applicable Law and shall not utilize third parties to manufacture the Licensed Products except as expressly agreed in writing by Licensor.</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u w:val="single"/>
        </w:rPr>
        <w:t>Inspection</w:t>
      </w:r>
      <w:r>
        <w:rPr>
          <w:rFonts w:ascii="Times New Roman;Times;serif" w:hAnsi="Times New Roman;Times;serif"/>
          <w:sz w:val="24"/>
        </w:rPr>
        <w:t>. Licensor has the right to inspect the manufacturing and storage sites and premises of the Licensee subject to all Applicable Law. This right of inspection can be exercised subject to a written notice to the Licensee, at least two (2) business days prior to the inspection.</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u w:val="single"/>
        </w:rPr>
        <w:t>Supplies</w:t>
      </w:r>
      <w:r>
        <w:rPr>
          <w:rFonts w:ascii="Times New Roman;Times;serif" w:hAnsi="Times New Roman;Times;serif"/>
          <w:sz w:val="24"/>
        </w:rPr>
        <w:t>. The Licensee will purchase at its own cost and expense (including through the purchase of Packaging from Licensor) and supply all the raw materials necessary to manufacture the Licensed Products in accordance with the terms of this Agreement and in such amounts as Licensee believes reasonably necessary to fill the purchase orders placed by customers and to satisfy the obligations of Licensee under this Agreement, as determined in Licensee’s reasonable discretion</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5.</w:t>
      </w:r>
      <w:r>
        <w:rPr>
          <w:rFonts w:ascii="Times New Roman;Times;serif" w:hAnsi="Times New Roman;Times;serif"/>
          <w:sz w:val="24"/>
          <w:u w:val="single"/>
        </w:rPr>
        <w:t>Royalties and Payment Terms</w:t>
      </w:r>
      <w:r>
        <w:rPr>
          <w:rFonts w:ascii="Times New Roman;Times;serif" w:hAnsi="Times New Roman;Times;serif"/>
          <w:sz w:val="24"/>
        </w:rPr>
        <w:t>.</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u w:val="single"/>
        </w:rPr>
        <w:t>Royalties</w:t>
      </w:r>
      <w:r>
        <w:rPr>
          <w:rFonts w:ascii="Times New Roman;Times;serif" w:hAnsi="Times New Roman;Times;serif"/>
          <w:sz w:val="24"/>
        </w:rPr>
        <w:t>. In consideration for the License, Licensee shall pay to Licensor a royalty (the “</w:t>
      </w:r>
      <w:r>
        <w:rPr>
          <w:rFonts w:ascii="Times New Roman;Times;serif" w:hAnsi="Times New Roman;Times;serif"/>
          <w:b/>
          <w:sz w:val="24"/>
        </w:rPr>
        <w:t>License Fee</w:t>
      </w:r>
      <w:r>
        <w:rPr>
          <w:rFonts w:ascii="Times New Roman;Times;serif" w:hAnsi="Times New Roman;Times;serif"/>
          <w:sz w:val="20"/>
        </w:rPr>
        <w:t>”</w:t>
      </w:r>
      <w:r>
        <w:rPr>
          <w:rFonts w:ascii="Times New Roman;Times;serif" w:hAnsi="Times New Roman;Times;serif"/>
          <w:sz w:val="24"/>
        </w:rPr>
        <w:t>) equal twelve percent (12%) of Net Wholesale Sales to both retailers owned by Licensee and its affiliates and to non-affiliated retailers. Licensee shall use commercially reasonable efforts to spend at least 1.5% of the Net Wholesale Sales calculated for the preceding calendar quarter on third-party advertising and marketing expenses for the Products during the following calendar quarter. The term “</w:t>
      </w:r>
      <w:r>
        <w:rPr>
          <w:rFonts w:ascii="Times New Roman;Times;serif" w:hAnsi="Times New Roman;Times;serif"/>
          <w:b/>
          <w:sz w:val="24"/>
        </w:rPr>
        <w:t>Net Wholesale Sales</w:t>
      </w:r>
      <w:r>
        <w:rPr>
          <w:rFonts w:ascii="Times New Roman;Times;serif" w:hAnsi="Times New Roman;Times;serif"/>
          <w:sz w:val="20"/>
        </w:rPr>
        <w:t xml:space="preserve">” </w:t>
      </w:r>
      <w:r>
        <w:rPr>
          <w:rFonts w:ascii="Times New Roman;Times;serif" w:hAnsi="Times New Roman;Times;serif"/>
          <w:sz w:val="24"/>
        </w:rPr>
        <w:t>means the gross amount of wholesale sales by Licensee from the sale or other commercial disposition of any Licensed Products (including any transfers to affiliated entities, which shall be priced on arms-length terms and for any retail sales directly by Licensee, the License Fee shall be computed based on the arms-length wholesale price of the applicable Licensed Products), less the following deductions actually incurred,</w:t>
      </w:r>
    </w:p>
    <w:p>
      <w:pPr>
        <w:pStyle w:val="TextBody"/>
        <w:spacing w:before="0" w:after="16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6</w:t>
      </w:r>
    </w:p>
    <w:p>
      <w:pPr>
        <w:pStyle w:val="HorizontalLine"/>
        <w:rPr/>
      </w:pPr>
      <w:r>
        <w:rPr/>
      </w:r>
    </w:p>
    <w:p>
      <w:pPr>
        <w:pStyle w:val="TextBody"/>
        <w:spacing w:before="0" w:after="0"/>
        <w:ind w:left="0" w:right="0" w:hanging="0"/>
        <w:rPr/>
      </w:pPr>
      <w:r>
        <w:rPr/>
        <w:t>​</w:t>
      </w:r>
    </w:p>
    <w:p>
      <w:pPr>
        <w:pStyle w:val="TextBody"/>
        <w:spacing w:before="0" w:after="240"/>
        <w:ind w:left="720" w:right="0" w:hanging="0"/>
        <w:jc w:val="both"/>
        <w:rPr>
          <w:rFonts w:ascii="Times New Roman;Times;serif" w:hAnsi="Times New Roman;Times;serif"/>
          <w:sz w:val="24"/>
        </w:rPr>
      </w:pPr>
      <w:r>
        <w:rPr>
          <w:rFonts w:ascii="Times New Roman;Times;serif" w:hAnsi="Times New Roman;Times;serif"/>
          <w:sz w:val="24"/>
        </w:rPr>
        <w:t>allowed, paid, accrued, or otherwise allocated to the sale of the relevant unit of such Licensed Product (if not previously deducted in calculating the amount invoiced): (a) normal and customary trade, quantity, and cash discounts; (b) credits or chargebacks for rejections or returns of any Licensed Product; (c) freight, insurance, and other transportation charges for shipping of Licensed Products to the extent separately stated in the applicable invoice; (d) sales and other taxes separately stated on the applicable invoice; and (e) any promotional discounts.</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u w:val="single"/>
        </w:rPr>
        <w:t>Royalty Payments</w:t>
      </w:r>
      <w:r>
        <w:rPr>
          <w:rFonts w:ascii="Times New Roman;Times;serif" w:hAnsi="Times New Roman;Times;serif"/>
          <w:sz w:val="24"/>
        </w:rPr>
        <w:t>. No later than the fifteenth (15th) day of each calendar month, Licensee shall provide a calculation of the License Fee earned by Licensor for the previous calendar month by product and channel, including individual wholesale account, together with such other information as may reasonably be requested by Licensor. No later than the last day of each calendar month, Licensee shall pay to Licensor the License Fee earned by Licensor for the previous calendar month.</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u w:val="single"/>
        </w:rPr>
        <w:t>Initial Payment</w:t>
      </w:r>
      <w:r>
        <w:rPr>
          <w:rFonts w:ascii="Times New Roman;Times;serif" w:hAnsi="Times New Roman;Times;serif"/>
          <w:sz w:val="24"/>
        </w:rPr>
        <w:t>. Licensee shall pay Licensor the Initial Payment for each Accepted Purchase Order, by check, ACH, or wire transfer in the name of Licensor within fifteen (15) days of receipt of the applicable Acceptance Notice.</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u w:val="single"/>
        </w:rPr>
        <w:t>Remaining Payment</w:t>
      </w:r>
      <w:r>
        <w:rPr>
          <w:rFonts w:ascii="Times New Roman;Times;serif" w:hAnsi="Times New Roman;Times;serif"/>
          <w:sz w:val="24"/>
        </w:rPr>
        <w:t>. Licensee shall pay Licensor the Remaining Payment for each Delivered Order, by check, ACH, or wire transfer in the name of Licensor within thirty (30) days of receipt of the applicable Delivery Invoice.</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sz w:val="24"/>
          <w:u w:val="single"/>
        </w:rPr>
        <w:t>Payment of Alternate Arrangement Balance</w:t>
      </w:r>
      <w:r>
        <w:rPr>
          <w:rFonts w:ascii="Times New Roman;Times;serif" w:hAnsi="Times New Roman;Times;serif"/>
          <w:sz w:val="24"/>
        </w:rPr>
        <w:t>. Licensee shall pay Licensor the Alternate Arrangement Balance, by check, ACH, or wire transfer in the name of Licensor within thirty (30) days of receipt of the applicable Alternate Arrangement Invoice.</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f.</w:t>
      </w:r>
      <w:r>
        <w:rPr>
          <w:rFonts w:ascii="Times New Roman;Times;serif" w:hAnsi="Times New Roman;Times;serif"/>
          <w:sz w:val="24"/>
          <w:u w:val="single"/>
        </w:rPr>
        <w:t>Payment of Reimbursement Expenses</w:t>
      </w:r>
      <w:r>
        <w:rPr>
          <w:rFonts w:ascii="Times New Roman;Times;serif" w:hAnsi="Times New Roman;Times;serif"/>
          <w:sz w:val="24"/>
        </w:rPr>
        <w:t>. Licensee shall pay Licensor any Reimbursement Expenses incurred under Section 7(a)(viii) by check, ACH, or wire transfer in the name of Licensor within thirty (30) days of receipt of the applicable Reimbursement Invoice.</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g.</w:t>
      </w:r>
      <w:r>
        <w:rPr>
          <w:rFonts w:ascii="Times New Roman;Times;serif" w:hAnsi="Times New Roman;Times;serif"/>
          <w:sz w:val="24"/>
          <w:u w:val="single"/>
        </w:rPr>
        <w:t xml:space="preserve">Late Payments. </w:t>
      </w:r>
      <w:r>
        <w:rPr>
          <w:rFonts w:ascii="Times New Roman;Times;serif" w:hAnsi="Times New Roman;Times;serif"/>
          <w:sz w:val="24"/>
        </w:rPr>
        <w:t>In the event Licensee fails to pay any amounts due under this Agreement within five (5) business days of the due date thereof, Licensee shall be obligated to pay to Licensor late fees on such undisputed amount, computed at the rate of 18% per annum on the unpaid amount, compounded at the end of each calendar month, until paid in full.</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h.</w:t>
      </w:r>
      <w:r>
        <w:rPr>
          <w:rFonts w:ascii="Times New Roman;Times;serif" w:hAnsi="Times New Roman;Times;serif"/>
          <w:sz w:val="24"/>
          <w:u w:val="single"/>
        </w:rPr>
        <w:t>Inspection and Audit</w:t>
      </w:r>
      <w:r>
        <w:rPr>
          <w:rFonts w:ascii="Times New Roman;Times;serif" w:hAnsi="Times New Roman;Times;serif"/>
          <w:sz w:val="24"/>
        </w:rPr>
        <w:t>. Licensor or its designee shall have the right, at reasonable times and upon reasonable advance notice to have an independent auditor mutually agreed on by the parties (the “</w:t>
      </w:r>
      <w:r>
        <w:rPr>
          <w:rFonts w:ascii="Times New Roman;Times;serif" w:hAnsi="Times New Roman;Times;serif"/>
          <w:b/>
          <w:sz w:val="24"/>
        </w:rPr>
        <w:t>Auditor</w:t>
      </w:r>
      <w:r>
        <w:rPr>
          <w:rFonts w:ascii="Times New Roman;Times;serif" w:hAnsi="Times New Roman;Times;serif"/>
          <w:sz w:val="20"/>
        </w:rPr>
        <w:t>”</w:t>
      </w:r>
      <w:r>
        <w:rPr>
          <w:rFonts w:ascii="Times New Roman;Times;serif" w:hAnsi="Times New Roman;Times;serif"/>
          <w:sz w:val="24"/>
        </w:rPr>
        <w:t>) to conduct an inspection and audit of the records of Licensee relating to the sales of Licensed Products from time to time, during regular business hours and upon reasonable notice, to assure compliance with the provisions of this Agreement, not more frequently than annually (or every six (6) months if within one year of an audit revealing a material underpayment). If any audit reveals an underpayment, Licensee will promptly pay the underreported amounts within ten (10) days of the date the Auditor has delivered its report of the audit. If the underpayment is greater</w:t>
      </w:r>
    </w:p>
    <w:p>
      <w:pPr>
        <w:pStyle w:val="TextBody"/>
        <w:spacing w:before="0" w:after="16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7</w:t>
      </w:r>
    </w:p>
    <w:p>
      <w:pPr>
        <w:pStyle w:val="HorizontalLine"/>
        <w:rPr/>
      </w:pPr>
      <w:r>
        <w:rPr/>
      </w:r>
    </w:p>
    <w:p>
      <w:pPr>
        <w:pStyle w:val="TextBody"/>
        <w:spacing w:before="0" w:after="0"/>
        <w:ind w:left="0" w:right="0" w:hanging="0"/>
        <w:rPr/>
      </w:pPr>
      <w:r>
        <w:rPr/>
        <w:t>​</w:t>
      </w:r>
    </w:p>
    <w:p>
      <w:pPr>
        <w:pStyle w:val="TextBody"/>
        <w:spacing w:before="0" w:after="240"/>
        <w:ind w:left="720" w:right="0" w:hanging="0"/>
        <w:jc w:val="both"/>
        <w:rPr>
          <w:rFonts w:ascii="Times New Roman;Times;serif" w:hAnsi="Times New Roman;Times;serif"/>
          <w:sz w:val="24"/>
        </w:rPr>
      </w:pPr>
      <w:r>
        <w:rPr>
          <w:rFonts w:ascii="Times New Roman;Times;serif" w:hAnsi="Times New Roman;Times;serif"/>
          <w:sz w:val="24"/>
        </w:rPr>
        <w:t>than five (5%) percent of the total License Fees being audited, then Licensee will also reimburse Licensor for the reasonable costs of the Audit within ten (10) days of the date the Auditor has delivered its final report of the audit.</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6.</w:t>
      </w:r>
      <w:r>
        <w:rPr>
          <w:rFonts w:ascii="Times New Roman;Times;serif" w:hAnsi="Times New Roman;Times;serif"/>
          <w:sz w:val="24"/>
          <w:u w:val="single"/>
        </w:rPr>
        <w:t>Term and Termination</w:t>
      </w:r>
      <w:r>
        <w:rPr>
          <w:rFonts w:ascii="Times New Roman;Times;serif" w:hAnsi="Times New Roman;Times;serif"/>
          <w:sz w:val="24"/>
        </w:rPr>
        <w:t>.</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u w:val="single"/>
        </w:rPr>
        <w:t>Term</w:t>
      </w:r>
      <w:r>
        <w:rPr>
          <w:rFonts w:ascii="Times New Roman;Times;serif" w:hAnsi="Times New Roman;Times;serif"/>
          <w:sz w:val="24"/>
        </w:rPr>
        <w:t>. The initial term of this Agreement shall be two (2) years, commencing on the Effective Date (“</w:t>
      </w:r>
      <w:r>
        <w:rPr>
          <w:rFonts w:ascii="Times New Roman;Times;serif" w:hAnsi="Times New Roman;Times;serif"/>
          <w:b/>
          <w:sz w:val="24"/>
        </w:rPr>
        <w:t>Initial Term</w:t>
      </w:r>
      <w:r>
        <w:rPr>
          <w:rFonts w:ascii="Times New Roman;Times;serif" w:hAnsi="Times New Roman;Times;serif"/>
          <w:sz w:val="20"/>
        </w:rPr>
        <w:t>”</w:t>
      </w:r>
      <w:r>
        <w:rPr>
          <w:rFonts w:ascii="Times New Roman;Times;serif" w:hAnsi="Times New Roman;Times;serif"/>
          <w:sz w:val="24"/>
        </w:rPr>
        <w:t>). Thereafter, Licensee shall have the right to extend the term of this Agreement for an additional period of one (1) year and, with the written consent of both Licensee and Licensor, one or more additional consecutive one (1) year periods (each, an “</w:t>
      </w:r>
      <w:r>
        <w:rPr>
          <w:rFonts w:ascii="Times New Roman;Times;serif" w:hAnsi="Times New Roman;Times;serif"/>
          <w:b/>
          <w:sz w:val="24"/>
        </w:rPr>
        <w:t>Extended Term</w:t>
      </w:r>
      <w:r>
        <w:rPr>
          <w:rFonts w:ascii="Times New Roman;Times;serif" w:hAnsi="Times New Roman;Times;serif"/>
          <w:sz w:val="20"/>
        </w:rPr>
        <w:t>”</w:t>
      </w:r>
      <w:r>
        <w:rPr>
          <w:rFonts w:ascii="Times New Roman;Times;serif" w:hAnsi="Times New Roman;Times;serif"/>
          <w:sz w:val="24"/>
        </w:rPr>
        <w:t>). The Initial Term and any and all Extended Terms(s), subject to the early termination provisions set forth in Section 6 below, shall be referred to collectively as the “</w:t>
      </w:r>
      <w:r>
        <w:rPr>
          <w:rFonts w:ascii="Times New Roman;Times;serif" w:hAnsi="Times New Roman;Times;serif"/>
          <w:b/>
          <w:sz w:val="24"/>
        </w:rPr>
        <w:t>Term</w:t>
      </w:r>
      <w:r>
        <w:rPr>
          <w:rFonts w:ascii="Times New Roman;Times;serif" w:hAnsi="Times New Roman;Times;serif"/>
          <w:sz w:val="20"/>
        </w:rPr>
        <w:t>”</w:t>
      </w:r>
      <w:r>
        <w:rPr>
          <w:rFonts w:ascii="Times New Roman;Times;serif" w:hAnsi="Times New Roman;Times;serif"/>
          <w:sz w:val="24"/>
        </w:rPr>
        <w:t>.</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u w:val="single"/>
        </w:rPr>
        <w:t>Termination for Cause</w:t>
      </w:r>
      <w:r>
        <w:rPr>
          <w:rFonts w:ascii="Times New Roman;Times;serif" w:hAnsi="Times New Roman;Times;serif"/>
          <w:sz w:val="24"/>
        </w:rPr>
        <w:t>.</w:t>
      </w:r>
    </w:p>
    <w:p>
      <w:pPr>
        <w:pStyle w:val="TextBody"/>
        <w:spacing w:before="0" w:after="240"/>
        <w:ind w:left="1440" w:right="0" w:firstLine="720"/>
        <w:jc w:val="both"/>
        <w:rPr>
          <w:rFonts w:ascii="Times New Roman;Times;serif" w:hAnsi="Times New Roman;Times;serif"/>
          <w:sz w:val="24"/>
        </w:rPr>
      </w:pPr>
      <w:r>
        <w:rPr>
          <w:rFonts w:ascii="Times New Roman;Times;serif" w:hAnsi="Times New Roman;Times;serif"/>
          <w:sz w:val="24"/>
        </w:rPr>
        <w:t>i.Each Party shall have the right to terminate this Agreement by providing written notice to the other Party upon a Party’s breach of any obligations under this Agreement (other than committing a Payment Default, as defined below), and either the breach cannot be cured or, if the breach can be cured, it is not cured within thirty (30) days of receipt of written notice of such breach.</w:t>
      </w:r>
    </w:p>
    <w:p>
      <w:pPr>
        <w:pStyle w:val="TextBody"/>
        <w:spacing w:before="0" w:after="240"/>
        <w:ind w:left="1440" w:right="0" w:firstLine="720"/>
        <w:jc w:val="both"/>
        <w:rPr>
          <w:rFonts w:ascii="Times New Roman;Times;serif" w:hAnsi="Times New Roman;Times;serif"/>
          <w:sz w:val="20"/>
        </w:rPr>
      </w:pPr>
      <w:r>
        <w:rPr>
          <w:rFonts w:ascii="Times New Roman;Times;serif" w:hAnsi="Times New Roman;Times;serif"/>
          <w:sz w:val="24"/>
        </w:rPr>
        <w:t>ii.Subject to Section 2(g), Licensor may terminate this Agreement by providing written notice to Licensee in the event that (x) Licensor timely delivers the requested Packaging to Licensee and Licensee fails to commence selling Licensed Products in the State of Colorado on or prior to December 31, 2022 or fails to commence selling Licensed Products in the State of New Mexico on or prior to March 31, 2023, (y) in the event sale of the products in the Territories for any calendar month commencing May 1, 2023 are less than $100,000, or (z) Licensee commits a Payment Default (as defined below). For purposes of this Agreement, a “</w:t>
      </w:r>
      <w:r>
        <w:rPr>
          <w:rFonts w:ascii="Times New Roman;Times;serif" w:hAnsi="Times New Roman;Times;serif"/>
          <w:b/>
          <w:sz w:val="24"/>
        </w:rPr>
        <w:t>Payment Default</w:t>
      </w:r>
      <w:r>
        <w:rPr>
          <w:rFonts w:ascii="Times New Roman;Times;serif" w:hAnsi="Times New Roman;Times;serif"/>
          <w:sz w:val="20"/>
        </w:rPr>
        <w:t xml:space="preserve">” </w:t>
      </w:r>
      <w:r>
        <w:rPr>
          <w:rFonts w:ascii="Times New Roman;Times;serif" w:hAnsi="Times New Roman;Times;serif"/>
          <w:sz w:val="24"/>
        </w:rPr>
        <w:t>means any failure by Licensee to pay any amounts due hereunder within thirty (30) days from the date of Licensee’s receipt of notice from Licensor of such payment failure. For the avoidance of doubt, upon the occurrence of a Nonfulfillment Event and until such event shall have been cured or the Parties shall have made an Alternative Arrangement regarding the applicable Packaging, Licensor shall not be entitled to the termination rights set forth in this Section 6(b)(ii)(x) and Section 6(b)(ii)(y).</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u w:val="single"/>
        </w:rPr>
        <w:t>Termination for Legal Reasons.</w:t>
      </w:r>
      <w:r>
        <w:rPr>
          <w:rFonts w:ascii="Times New Roman;Times;serif" w:hAnsi="Times New Roman;Times;serif"/>
          <w:sz w:val="20"/>
        </w:rPr>
        <w:t xml:space="preserve"> </w:t>
      </w:r>
      <w:r>
        <w:rPr>
          <w:rFonts w:ascii="Times New Roman;Times;serif" w:hAnsi="Times New Roman;Times;serif"/>
          <w:sz w:val="24"/>
        </w:rPr>
        <w:t>This Agreement shall immediately terminate if: (i) a state regulator, or any other local, city or state governmental or regulatory body with authority, determines the Agreement is contrary to Applicable Law; or (ii) either Party files for insolvency under bankruptcy laws, makes a general assignment for the benefit of its creditors, or ceases to do business for thirty (30) consecutive calendar days.</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u w:val="single"/>
        </w:rPr>
        <w:t>Termination upon Change of Control or Permitted Interstate Shipments</w:t>
      </w:r>
      <w:r>
        <w:rPr>
          <w:rFonts w:ascii="Times New Roman;Times;serif" w:hAnsi="Times New Roman;Times;serif"/>
          <w:sz w:val="24"/>
        </w:rPr>
        <w:t>. Either Licensee or Licensor may terminate this Agreement without cause upon ninety (90) days’ prior written notice (i) if a Change of Control of either of the Parties shall have</w:t>
      </w:r>
    </w:p>
    <w:p>
      <w:pPr>
        <w:pStyle w:val="TextBody"/>
        <w:spacing w:before="0" w:after="16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8</w:t>
      </w:r>
    </w:p>
    <w:p>
      <w:pPr>
        <w:pStyle w:val="HorizontalLine"/>
        <w:rPr/>
      </w:pPr>
      <w:r>
        <w:rPr/>
      </w:r>
    </w:p>
    <w:p>
      <w:pPr>
        <w:pStyle w:val="TextBody"/>
        <w:spacing w:before="0" w:after="0"/>
        <w:ind w:left="0" w:right="0" w:hanging="0"/>
        <w:rPr/>
      </w:pPr>
      <w:r>
        <w:rPr/>
        <w:t>​</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4"/>
        </w:rPr>
        <w:t>occurred as of the date of termination, or (ii) upon the effective of a change of U.S. federal law that permits the interstate shipment of the Products between state-licensed entities. As used herein, “</w:t>
      </w:r>
      <w:r>
        <w:rPr>
          <w:rFonts w:ascii="Times New Roman;Times;serif" w:hAnsi="Times New Roman;Times;serif"/>
          <w:b/>
          <w:sz w:val="24"/>
        </w:rPr>
        <w:t>Change of Control</w:t>
      </w:r>
      <w:r>
        <w:rPr>
          <w:rFonts w:ascii="Times New Roman;Times;serif" w:hAnsi="Times New Roman;Times;serif"/>
          <w:sz w:val="20"/>
        </w:rPr>
        <w:t xml:space="preserve">” </w:t>
      </w:r>
      <w:r>
        <w:rPr>
          <w:rFonts w:ascii="Times New Roman;Times;serif" w:hAnsi="Times New Roman;Times;serif"/>
          <w:sz w:val="24"/>
        </w:rPr>
        <w:t>shall mean a transaction or a series of related transactions involving (i) a sale, transfer or other disposition of all or substantially all of the assets of a Party, (ii) the consummation of a merger or consolidation of a Party or its parent entity or (iii) a sale or exchange of capital stock or equity interests of a Party or its parent entity, in any case as a result of which the equity holders of such Party or its parent entity immediately prior to such transaction or series of related transactions own, in the aggregate, less than a majority of the outstanding voting power of the capital stock or equity interests of the surviving, resulting or transferee entity. For clarity, a “Change of Control” shall not include an internal corporate reorganization or other internal transaction within the affiliated control group that owns a Party that does not result in a change in the direct or indirect equity holders of such Party.</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sz w:val="24"/>
          <w:u w:val="single"/>
        </w:rPr>
        <w:t>Effects of Expiration or Termination</w:t>
      </w:r>
      <w:r>
        <w:rPr>
          <w:rFonts w:ascii="Times New Roman;Times;serif" w:hAnsi="Times New Roman;Times;serif"/>
          <w:sz w:val="24"/>
        </w:rPr>
        <w:t>. Following the termination of this Agreement:</w:t>
      </w:r>
    </w:p>
    <w:p>
      <w:pPr>
        <w:pStyle w:val="TextBody"/>
        <w:spacing w:before="0" w:after="240"/>
        <w:ind w:left="1440" w:right="0" w:firstLine="720"/>
        <w:jc w:val="both"/>
        <w:rPr>
          <w:rFonts w:ascii="Times New Roman;Times;serif" w:hAnsi="Times New Roman;Times;serif"/>
          <w:sz w:val="24"/>
        </w:rPr>
      </w:pPr>
      <w:r>
        <w:rPr>
          <w:rFonts w:ascii="Times New Roman;Times;serif" w:hAnsi="Times New Roman;Times;serif"/>
          <w:sz w:val="24"/>
        </w:rPr>
        <w:t>i.Subject to the sell-off rights set forth in Section 6(f), Licensee shall not prepare, package, distribute or sell the Licensed Products or make any use of the Company IP, Licensor-supplied packaging materials or advertising, marketing or promotional materials used or intended for use by Licensee solely in connection with the preparation, packaging, distribution and sale of the Licensed Products;</w:t>
      </w:r>
    </w:p>
    <w:p>
      <w:pPr>
        <w:pStyle w:val="TextBody"/>
        <w:spacing w:before="0" w:after="240"/>
        <w:ind w:left="1440" w:right="0" w:firstLine="720"/>
        <w:jc w:val="both"/>
        <w:rPr>
          <w:rFonts w:ascii="Times New Roman;Times;serif" w:hAnsi="Times New Roman;Times;serif"/>
          <w:sz w:val="24"/>
        </w:rPr>
      </w:pPr>
      <w:r>
        <w:rPr>
          <w:rFonts w:ascii="Times New Roman;Times;serif" w:hAnsi="Times New Roman;Times;serif"/>
          <w:sz w:val="24"/>
        </w:rPr>
        <w:t>ii.Within ninety (90) days of the date of receipt of a termination notice from Licensor, (A) Licensee shall eliminate all references to Licensor, the Products and the Company IP from Licensee’s premises and personal property of Licensee and from all business stationery and all written, graphic, electromagnetic, digital or other advertising, marketing or promotional material used or maintained by Licensee, and Licensee shall not continue to represent in any manner whatsoever that Licensee has any connection with Licensor, the Products or the Company IP; and (B) Licensor shall eliminate any references to Licensee from Licensor’s premises and personal property of Licensor and from all business stationery and all written, graphic, electromagnetic, digital or other advertising, marketing or promotional material used or maintained by Licensor, and Licensor shall not represent in any manner whatsoever that Licensor has any connection with Licensee;</w:t>
      </w:r>
    </w:p>
    <w:p>
      <w:pPr>
        <w:pStyle w:val="TextBody"/>
        <w:spacing w:before="0" w:after="240"/>
        <w:ind w:left="1440" w:right="0" w:firstLine="720"/>
        <w:jc w:val="both"/>
        <w:rPr>
          <w:rFonts w:ascii="Times New Roman;Times;serif" w:hAnsi="Times New Roman;Times;serif"/>
          <w:sz w:val="24"/>
        </w:rPr>
      </w:pPr>
      <w:r>
        <w:rPr>
          <w:rFonts w:ascii="Times New Roman;Times;serif" w:hAnsi="Times New Roman;Times;serif"/>
          <w:sz w:val="24"/>
        </w:rPr>
        <w:t>iii.subject to the sell-off rights set forth in Section 6(f) and in the event of the termination of this Agreement other than due to a breach or default by Licensor, upon Licensor’s reasonable request, Licensee shall deliver to the Company or a third party, in accordance with Licensor’s reasonable instructions, all of the Packaging bearing any of the Company IP still in Licensee’s possession or under its control, and Licensor shall, upon delivery thereof pursuant to such instructions, pay to Licensee a sum equal to the Packaging Price, provided that Licensor will accept and pay for only such Packaging to the extent (i) the quantities of such Packaging were purchased by Licensee in commercially reasonable amounts, as determined in Licensor’s reasonable discretion and (ii) such Packaging</w:t>
      </w:r>
    </w:p>
    <w:p>
      <w:pPr>
        <w:pStyle w:val="TextBody"/>
        <w:spacing w:before="0" w:after="16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9</w:t>
      </w:r>
    </w:p>
    <w:p>
      <w:pPr>
        <w:pStyle w:val="HorizontalLine"/>
        <w:rPr/>
      </w:pPr>
      <w:r>
        <w:rPr/>
      </w:r>
    </w:p>
    <w:p>
      <w:pPr>
        <w:pStyle w:val="TextBody"/>
        <w:spacing w:before="0" w:after="0"/>
        <w:ind w:left="0" w:right="0" w:hanging="0"/>
        <w:rPr/>
      </w:pPr>
      <w:r>
        <w:rPr/>
        <w:t>​</w:t>
      </w:r>
    </w:p>
    <w:p>
      <w:pPr>
        <w:pStyle w:val="TextBody"/>
        <w:spacing w:before="0" w:after="240"/>
        <w:ind w:left="1440" w:right="0" w:hanging="0"/>
        <w:jc w:val="both"/>
        <w:rPr>
          <w:rFonts w:ascii="Times New Roman;Times;serif" w:hAnsi="Times New Roman;Times;serif"/>
          <w:sz w:val="20"/>
        </w:rPr>
      </w:pPr>
      <w:r>
        <w:rPr>
          <w:rFonts w:ascii="Times New Roman;Times;serif" w:hAnsi="Times New Roman;Times;serif"/>
          <w:sz w:val="24"/>
        </w:rPr>
        <w:t>is in first-class and useable condition, as determined by Licensor in its reasonable discretion, and do not bear the name (or other identifying marks) of Licensee or state-specific labels or other modifications as a consequence of which the Packaging cannot be re-labelled in a reasonable and commercially viable manner (the “</w:t>
      </w:r>
      <w:r>
        <w:rPr>
          <w:rFonts w:ascii="Times New Roman;Times;serif" w:hAnsi="Times New Roman;Times;serif"/>
          <w:b/>
          <w:sz w:val="24"/>
        </w:rPr>
        <w:t>Modified Packaging</w:t>
      </w:r>
      <w:r>
        <w:rPr>
          <w:rFonts w:ascii="Times New Roman;Times;serif" w:hAnsi="Times New Roman;Times;serif"/>
          <w:sz w:val="20"/>
        </w:rPr>
        <w:t>”</w:t>
      </w:r>
      <w:r>
        <w:rPr>
          <w:rFonts w:ascii="Times New Roman;Times;serif" w:hAnsi="Times New Roman;Times;serif"/>
          <w:sz w:val="24"/>
        </w:rPr>
        <w:t>) (such Packaging, as described in the foregoing clause (i) and (ii), “</w:t>
      </w:r>
      <w:r>
        <w:rPr>
          <w:rFonts w:ascii="Times New Roman;Times;serif" w:hAnsi="Times New Roman;Times;serif"/>
          <w:b/>
          <w:sz w:val="24"/>
        </w:rPr>
        <w:t>Materials Subject to Repurchase</w:t>
      </w:r>
      <w:r>
        <w:rPr>
          <w:rFonts w:ascii="Times New Roman;Times;serif" w:hAnsi="Times New Roman;Times;serif"/>
          <w:sz w:val="20"/>
        </w:rPr>
        <w:t>”</w:t>
      </w:r>
      <w:r>
        <w:rPr>
          <w:rFonts w:ascii="Times New Roman;Times;serif" w:hAnsi="Times New Roman;Times;serif"/>
          <w:sz w:val="24"/>
        </w:rPr>
        <w:t>). All such Packaging that are not Materials Subject to Repurchase (e.g., Modified Packaging) shall be destroyed, at Licensor’s election, by Licensee without cost to Licensor;</w:t>
      </w:r>
    </w:p>
    <w:p>
      <w:pPr>
        <w:pStyle w:val="TextBody"/>
        <w:spacing w:before="0" w:after="240"/>
        <w:ind w:left="1440" w:right="0" w:firstLine="720"/>
        <w:jc w:val="both"/>
        <w:rPr>
          <w:rFonts w:ascii="Times New Roman;Times;serif" w:hAnsi="Times New Roman;Times;serif"/>
          <w:sz w:val="24"/>
        </w:rPr>
      </w:pPr>
      <w:r>
        <w:rPr>
          <w:rFonts w:ascii="Times New Roman;Times;serif" w:hAnsi="Times New Roman;Times;serif"/>
          <w:sz w:val="24"/>
        </w:rPr>
        <w:t>iv.subject to the sell-off rights set forth in Section 6(f), in the event of the termination of this Agreement due to a breach or default by Licensor, upon Licensee’s reasonable request, Licensor shall purchase any Modified Packaging in Licensee’s possession that cannot be sold in accordance with Section 6(f), in which event, Licensee shall submit an invoice to Licensor identifying the quantity of Modified Packaging and the cost thereof;</w:t>
      </w:r>
    </w:p>
    <w:p>
      <w:pPr>
        <w:pStyle w:val="TextBody"/>
        <w:spacing w:before="0" w:after="240"/>
        <w:ind w:left="1440" w:right="0" w:firstLine="720"/>
        <w:jc w:val="both"/>
        <w:rPr>
          <w:rFonts w:ascii="Times New Roman;Times;serif" w:hAnsi="Times New Roman;Times;serif"/>
          <w:sz w:val="24"/>
        </w:rPr>
      </w:pPr>
      <w:r>
        <w:rPr>
          <w:rFonts w:ascii="Times New Roman;Times;serif" w:hAnsi="Times New Roman;Times;serif"/>
          <w:sz w:val="24"/>
        </w:rPr>
        <w:t>v.all rights and obligations hereunder, whether specifically set out or whether accrued or accruing by use, conduct or otherwise, shall expire, cease and end, excepting all provisions that the Parties would reasonably intend to survive termination, including indemnification and other covenants in respect of the period prior to such termination, all of which shall continue in full force and effect, provided always that this provision shall not affect any rights Licensor may have against Licensee in respect of any claim for nonpayment of any debt or account owed by Licensee to Licensor, including without limitation License Fees in respect of Licensed Products sold prior to or after such termination; and</w:t>
      </w:r>
    </w:p>
    <w:p>
      <w:pPr>
        <w:pStyle w:val="TextBody"/>
        <w:spacing w:before="0" w:after="240"/>
        <w:ind w:left="1440" w:right="0" w:firstLine="720"/>
        <w:jc w:val="both"/>
        <w:rPr>
          <w:rFonts w:ascii="Times New Roman;Times;serif" w:hAnsi="Times New Roman;Times;serif"/>
          <w:sz w:val="24"/>
        </w:rPr>
      </w:pPr>
      <w:r>
        <w:rPr>
          <w:rFonts w:ascii="Times New Roman;Times;serif" w:hAnsi="Times New Roman;Times;serif"/>
          <w:sz w:val="24"/>
        </w:rPr>
        <w:t>vi.the Licensee shall immediately pay all undisputed unpaid invoice amounts that are due and owing to Licensor hereunder; and the Receiving Party shall immediately return or destroy all Confidential Information to the Disclosing Party (as such terms are defined in Section 11 below).</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f.</w:t>
      </w:r>
      <w:r>
        <w:rPr>
          <w:rFonts w:ascii="Times New Roman;Times;serif" w:hAnsi="Times New Roman;Times;serif"/>
          <w:sz w:val="24"/>
          <w:u w:val="single"/>
        </w:rPr>
        <w:t>Sell-Off</w:t>
      </w:r>
      <w:r>
        <w:rPr>
          <w:rFonts w:ascii="Times New Roman;Times;serif" w:hAnsi="Times New Roman;Times;serif"/>
          <w:sz w:val="24"/>
        </w:rPr>
        <w:t>. Notwithstanding the foregoing provisions of Section 6(e), in the event of the termination of this Agreement other than due to a breach or default by Licensee, Licensee shall be permitted a period not to exceed ninety (90) days following the date of receipt of a termination notice from Licensor (the “</w:t>
      </w:r>
      <w:r>
        <w:rPr>
          <w:rFonts w:ascii="Times New Roman;Times;serif" w:hAnsi="Times New Roman;Times;serif"/>
          <w:b/>
          <w:sz w:val="24"/>
        </w:rPr>
        <w:t>Termination Date</w:t>
      </w:r>
      <w:r>
        <w:rPr>
          <w:rFonts w:ascii="Times New Roman;Times;serif" w:hAnsi="Times New Roman;Times;serif"/>
          <w:sz w:val="20"/>
        </w:rPr>
        <w:t>”</w:t>
      </w:r>
      <w:r>
        <w:rPr>
          <w:rFonts w:ascii="Times New Roman;Times;serif" w:hAnsi="Times New Roman;Times;serif"/>
          <w:sz w:val="24"/>
        </w:rPr>
        <w:t>) to sell all Licensed Products on hand as of the Termination Date”, provided that Licensee shall continue to comply with the covenants hereunder with respect to all such sales and shall be liable for and account to Licensor for and pay to Licensor all License Fees applicable to such sales as provided herein notwithstanding the termination of this Agreement.</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7.</w:t>
      </w:r>
      <w:r>
        <w:rPr>
          <w:rFonts w:ascii="Times New Roman;Times;serif" w:hAnsi="Times New Roman;Times;serif"/>
          <w:sz w:val="24"/>
          <w:u w:val="single"/>
        </w:rPr>
        <w:t>Representations, Warranties and Covenants</w:t>
      </w:r>
      <w:r>
        <w:rPr>
          <w:rFonts w:ascii="Times New Roman;Times;serif" w:hAnsi="Times New Roman;Times;serif"/>
          <w:sz w:val="24"/>
        </w:rPr>
        <w:t>.</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u w:val="single"/>
        </w:rPr>
        <w:t>Licensor’s Representations, Warranties and Covenants</w:t>
      </w:r>
      <w:r>
        <w:rPr>
          <w:rFonts w:ascii="Times New Roman;Times;serif" w:hAnsi="Times New Roman;Times;serif"/>
          <w:sz w:val="24"/>
        </w:rPr>
        <w:t>. Licensor represents, warrants, and covenants to Licensee that:</w:t>
      </w:r>
    </w:p>
    <w:p>
      <w:pPr>
        <w:pStyle w:val="TextBody"/>
        <w:spacing w:before="0" w:after="240"/>
        <w:ind w:left="1440" w:right="0" w:firstLine="720"/>
        <w:jc w:val="both"/>
        <w:rPr>
          <w:rFonts w:ascii="Times New Roman;Times;serif" w:hAnsi="Times New Roman;Times;serif"/>
          <w:sz w:val="24"/>
        </w:rPr>
      </w:pPr>
      <w:r>
        <w:rPr>
          <w:rFonts w:ascii="Times New Roman;Times;serif" w:hAnsi="Times New Roman;Times;serif"/>
          <w:sz w:val="24"/>
        </w:rPr>
        <w:t>i.Licensor is a validly existing business entity in good standing in the jurisdiction in which it was formed. Licensor has all necessary power and authority</w:t>
      </w:r>
    </w:p>
    <w:p>
      <w:pPr>
        <w:pStyle w:val="TextBody"/>
        <w:spacing w:before="0" w:after="16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10</w:t>
      </w:r>
    </w:p>
    <w:p>
      <w:pPr>
        <w:pStyle w:val="HorizontalLine"/>
        <w:rPr/>
      </w:pPr>
      <w:r>
        <w:rPr/>
      </w:r>
    </w:p>
    <w:p>
      <w:pPr>
        <w:pStyle w:val="TextBody"/>
        <w:spacing w:before="0" w:after="0"/>
        <w:ind w:left="0" w:right="0" w:hanging="0"/>
        <w:rPr/>
      </w:pPr>
      <w:r>
        <w:rPr/>
        <w:t>​</w:t>
      </w:r>
    </w:p>
    <w:p>
      <w:pPr>
        <w:pStyle w:val="TextBody"/>
        <w:spacing w:before="0" w:after="240"/>
        <w:ind w:left="1440" w:right="0" w:hanging="0"/>
        <w:jc w:val="both"/>
        <w:rPr>
          <w:rFonts w:ascii="Times New Roman;Times;serif" w:hAnsi="Times New Roman;Times;serif"/>
          <w:sz w:val="24"/>
        </w:rPr>
      </w:pPr>
      <w:r>
        <w:rPr>
          <w:rFonts w:ascii="Times New Roman;Times;serif" w:hAnsi="Times New Roman;Times;serif"/>
          <w:sz w:val="24"/>
        </w:rPr>
        <w:t>to perform its obligations and receive its benefits set forth in this Agreement (including, without limitation, to grant the License and other rights granted to Licensee in this Agreement). All necessary actions and approvals by Licensor’s equity holders and board of directors or analogous governing body to authorize Licensor to enter into and perform this Agreement have been taken and given. This Agreement, when executed and delivered by Licensor, will constitute a valid and legally binding obligation of Licensor, enforceable against Licensor in accordance with its terms except as limited by (a) applicable bankruptcy or other similar laws and (b) equitable principles. The execution, delivery and performance of this Agreement and the consummation of the transactions contemplated hereby will not violate or require any consent under any agreement, contract, instrument, license, permit, other governmental authorization, judgment, order, writ or decree to which Licensor is a party or by which any of its assets are bound.</w:t>
      </w:r>
    </w:p>
    <w:p>
      <w:pPr>
        <w:pStyle w:val="TextBody"/>
        <w:spacing w:before="0" w:after="240"/>
        <w:ind w:left="1440" w:right="0" w:firstLine="720"/>
        <w:jc w:val="both"/>
        <w:rPr>
          <w:rFonts w:ascii="Times New Roman;Times;serif" w:hAnsi="Times New Roman;Times;serif"/>
          <w:sz w:val="24"/>
        </w:rPr>
      </w:pPr>
      <w:r>
        <w:rPr>
          <w:rFonts w:ascii="Times New Roman;Times;serif" w:hAnsi="Times New Roman;Times;serif"/>
          <w:sz w:val="24"/>
        </w:rPr>
        <w:t>ii.Licensor at all times shall comply with, and perform its obligations under this Agreement in accordance with, Applicable Law.</w:t>
      </w:r>
    </w:p>
    <w:p>
      <w:pPr>
        <w:pStyle w:val="TextBody"/>
        <w:spacing w:before="0" w:after="240"/>
        <w:ind w:left="1440" w:right="0" w:firstLine="720"/>
        <w:jc w:val="both"/>
        <w:rPr>
          <w:rFonts w:ascii="Times New Roman;Times;serif" w:hAnsi="Times New Roman;Times;serif"/>
          <w:sz w:val="24"/>
        </w:rPr>
      </w:pPr>
      <w:r>
        <w:rPr>
          <w:rFonts w:ascii="Times New Roman;Times;serif" w:hAnsi="Times New Roman;Times;serif"/>
          <w:sz w:val="24"/>
        </w:rPr>
        <w:t>iii.Licensor owns all right, title, and interest in and to the Licensed IP or has sufficient license rights in and to the Licensed IP to grant the License and other rights granted to Licensee in this Agreement.</w:t>
      </w:r>
    </w:p>
    <w:p>
      <w:pPr>
        <w:pStyle w:val="TextBody"/>
        <w:spacing w:before="0" w:after="240"/>
        <w:ind w:left="1440" w:right="0" w:firstLine="720"/>
        <w:jc w:val="both"/>
        <w:rPr>
          <w:rFonts w:ascii="Times New Roman;Times;serif" w:hAnsi="Times New Roman;Times;serif"/>
          <w:sz w:val="24"/>
        </w:rPr>
      </w:pPr>
      <w:r>
        <w:rPr>
          <w:rFonts w:ascii="Times New Roman;Times;serif" w:hAnsi="Times New Roman;Times;serif"/>
          <w:sz w:val="24"/>
        </w:rPr>
        <w:t>iv.Licensor shall not grant any right to any person or entity that would conflict with or be inconsistent with any rights granted to the Licensee hereunder. In particular, Licensor shall (a) not itself promote, market, or sell any Licensed Products in the Territories and (b) not grant any third party any right or license to promote, market, or sell any Licensed Products in the Territories.</w:t>
      </w:r>
    </w:p>
    <w:p>
      <w:pPr>
        <w:pStyle w:val="TextBody"/>
        <w:spacing w:before="0" w:after="240"/>
        <w:ind w:left="1440" w:right="0" w:firstLine="720"/>
        <w:jc w:val="both"/>
        <w:rPr>
          <w:rFonts w:ascii="Times New Roman;Times;serif" w:hAnsi="Times New Roman;Times;serif"/>
          <w:sz w:val="24"/>
        </w:rPr>
      </w:pPr>
      <w:r>
        <w:rPr>
          <w:rFonts w:ascii="Times New Roman;Times;serif" w:hAnsi="Times New Roman;Times;serif"/>
          <w:sz w:val="24"/>
        </w:rPr>
        <w:t>v.Licensor has not received any notice of (a) any claim that Licensor or any of the Licensed IP or Licensed Products violate, infringe, or misappropriate any patent, trademark, or other intellectual property or proprietary right of any third party or (b) any claim seeking to invalidate or otherwise challenge any of the Licensor’s rights in the Licensed IP or Licensed Products.</w:t>
      </w:r>
    </w:p>
    <w:p>
      <w:pPr>
        <w:pStyle w:val="TextBody"/>
        <w:spacing w:before="0" w:after="240"/>
        <w:ind w:left="1440" w:right="0" w:firstLine="720"/>
        <w:jc w:val="both"/>
        <w:rPr>
          <w:rFonts w:ascii="Times New Roman;Times;serif" w:hAnsi="Times New Roman;Times;serif"/>
          <w:sz w:val="20"/>
        </w:rPr>
      </w:pPr>
      <w:r>
        <w:rPr>
          <w:rFonts w:ascii="Times New Roman;Times;serif" w:hAnsi="Times New Roman;Times;serif"/>
          <w:sz w:val="24"/>
        </w:rPr>
        <w:t xml:space="preserve">vi.As further detailed at </w:t>
      </w:r>
      <w:r>
        <w:rPr>
          <w:rFonts w:ascii="Times New Roman;Times;serif" w:hAnsi="Times New Roman;Times;serif"/>
          <w:sz w:val="24"/>
          <w:u w:val="single"/>
        </w:rPr>
        <w:t>Exhibit A</w:t>
      </w:r>
      <w:r>
        <w:rPr>
          <w:rFonts w:ascii="Times New Roman;Times;serif" w:hAnsi="Times New Roman;Times;serif"/>
          <w:sz w:val="24"/>
        </w:rPr>
        <w:t>, Licensor shall provide to Licensee a copy of Licensor’s standard operating procedures and other Licensed IP for all aspects of production, manufacture, and quality assurance for the Licensed Products, which may be modified or supplemented from time to time in the discretion of Licensor; provided, however that Licensor shall provide Licensee with prior written notice of any such modifications or revisions.</w:t>
      </w:r>
    </w:p>
    <w:p>
      <w:pPr>
        <w:pStyle w:val="TextBody"/>
        <w:spacing w:before="0" w:after="240"/>
        <w:ind w:left="1440" w:right="0" w:firstLine="720"/>
        <w:jc w:val="both"/>
        <w:rPr>
          <w:rFonts w:ascii="Times New Roman;Times;serif" w:hAnsi="Times New Roman;Times;serif"/>
          <w:sz w:val="24"/>
        </w:rPr>
      </w:pPr>
      <w:r>
        <w:rPr>
          <w:rFonts w:ascii="Times New Roman;Times;serif" w:hAnsi="Times New Roman;Times;serif"/>
          <w:sz w:val="24"/>
        </w:rPr>
        <w:t>vii.Upon Licensee’s reasonable request, Licensor shall provide to Licensee such information related to the Licensed Products and their packaging, labeling, and advertising as is reasonably necessary to allow Licensee to produce, advertise, and/or sell the Licensed Products.</w:t>
      </w:r>
    </w:p>
    <w:p>
      <w:pPr>
        <w:pStyle w:val="TextBody"/>
        <w:spacing w:before="0" w:after="240"/>
        <w:ind w:left="1440" w:right="0" w:firstLine="720"/>
        <w:jc w:val="both"/>
        <w:rPr>
          <w:rFonts w:ascii="Times New Roman;Times;serif" w:hAnsi="Times New Roman;Times;serif"/>
          <w:sz w:val="24"/>
        </w:rPr>
      </w:pPr>
      <w:r>
        <w:rPr>
          <w:rFonts w:ascii="Times New Roman;Times;serif" w:hAnsi="Times New Roman;Times;serif"/>
          <w:sz w:val="24"/>
        </w:rPr>
        <w:t>viii.Upon Licensee’s reasonable request, Licensor shall provide (a) one technician for up to ten (10) days of on-site training at Licensee’s Facility in in the</w:t>
      </w:r>
    </w:p>
    <w:p>
      <w:pPr>
        <w:pStyle w:val="TextBody"/>
        <w:spacing w:before="0" w:after="16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11</w:t>
      </w:r>
    </w:p>
    <w:p>
      <w:pPr>
        <w:pStyle w:val="HorizontalLine"/>
        <w:rPr/>
      </w:pPr>
      <w:r>
        <w:rPr/>
      </w:r>
    </w:p>
    <w:p>
      <w:pPr>
        <w:pStyle w:val="TextBody"/>
        <w:spacing w:before="0" w:after="0"/>
        <w:ind w:left="0" w:right="0" w:hanging="0"/>
        <w:rPr/>
      </w:pPr>
      <w:r>
        <w:rPr/>
        <w:t>​</w:t>
      </w:r>
    </w:p>
    <w:p>
      <w:pPr>
        <w:pStyle w:val="TextBody"/>
        <w:spacing w:before="0" w:after="240"/>
        <w:ind w:left="1440" w:right="0" w:hanging="0"/>
        <w:jc w:val="both"/>
        <w:rPr>
          <w:rFonts w:ascii="Times New Roman;Times;serif" w:hAnsi="Times New Roman;Times;serif"/>
          <w:sz w:val="20"/>
        </w:rPr>
      </w:pPr>
      <w:r>
        <w:rPr>
          <w:rFonts w:ascii="Times New Roman;Times;serif" w:hAnsi="Times New Roman;Times;serif"/>
          <w:sz w:val="24"/>
        </w:rPr>
        <w:t>assembly of the Licensed Products and usage of the Licensed IP, subject to all Applicable Laws and regulations for employees of Licensee and (b) reasonable ongoing support throughout the Term, including for product marketing, promotions and advertising. All Licensor personnel made available for training described in this Section 7(a)(viii) shall be at Licensor’s expense, except that Licensee shall be responsible for all of Licensee’s costs and expenses and Licensor’s pre-approved travel and related expenses, including local lodging and other out of pocket expenses of Licensor personnel providing on-site training or support services (the “</w:t>
      </w:r>
      <w:r>
        <w:rPr>
          <w:rFonts w:ascii="Times New Roman;Times;serif" w:hAnsi="Times New Roman;Times;serif"/>
          <w:b/>
          <w:sz w:val="24"/>
        </w:rPr>
        <w:t>Reimbursement Expenses</w:t>
      </w:r>
      <w:r>
        <w:rPr>
          <w:rFonts w:ascii="Times New Roman;Times;serif" w:hAnsi="Times New Roman;Times;serif"/>
          <w:sz w:val="20"/>
        </w:rPr>
        <w:t>”</w:t>
      </w:r>
      <w:r>
        <w:rPr>
          <w:rFonts w:ascii="Times New Roman;Times;serif" w:hAnsi="Times New Roman;Times;serif"/>
          <w:sz w:val="24"/>
        </w:rPr>
        <w:t>) provided that Licensor shall submit itemized invoices to jeremy.bullock@schwazze.com documenting any such expenses (each, a “</w:t>
      </w:r>
      <w:r>
        <w:rPr>
          <w:rFonts w:ascii="Times New Roman;Times;serif" w:hAnsi="Times New Roman;Times;serif"/>
          <w:b/>
          <w:sz w:val="24"/>
        </w:rPr>
        <w:t>Reimbursement Invoice</w:t>
      </w:r>
      <w:r>
        <w:rPr>
          <w:rFonts w:ascii="Times New Roman;Times;serif" w:hAnsi="Times New Roman;Times;serif"/>
          <w:sz w:val="20"/>
        </w:rPr>
        <w:t>”</w:t>
      </w:r>
      <w:r>
        <w:rPr>
          <w:rFonts w:ascii="Times New Roman;Times;serif" w:hAnsi="Times New Roman;Times;serif"/>
          <w:sz w:val="24"/>
        </w:rPr>
        <w:t>). Licensee agrees pay to Licensor the pre-approved Reimbursement Expenses within thirty (30) days after receipt of the applicable Reimbursement Invoice. For the avoidance of doubt, Licensee shall only reimburse Licensor for the Reimbursement Expenses set forth in the Reimbursement Invoice. The Reimbursement Expenses shall be made in accordance with Section 5(f).</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u w:val="single"/>
        </w:rPr>
        <w:t>Licensee’s Representations, Warranties and Covenants</w:t>
      </w:r>
      <w:r>
        <w:rPr>
          <w:rFonts w:ascii="Times New Roman;Times;serif" w:hAnsi="Times New Roman;Times;serif"/>
          <w:sz w:val="24"/>
        </w:rPr>
        <w:t>. Licensee represents, warrants, and covenants to Licensor that:</w:t>
      </w:r>
    </w:p>
    <w:p>
      <w:pPr>
        <w:pStyle w:val="TextBody"/>
        <w:spacing w:before="0" w:after="240"/>
        <w:ind w:left="1440" w:right="0" w:firstLine="720"/>
        <w:jc w:val="both"/>
        <w:rPr>
          <w:rFonts w:ascii="Times New Roman;Times;serif" w:hAnsi="Times New Roman;Times;serif"/>
          <w:sz w:val="24"/>
        </w:rPr>
      </w:pPr>
      <w:r>
        <w:rPr>
          <w:rFonts w:ascii="Times New Roman;Times;serif" w:hAnsi="Times New Roman;Times;serif"/>
          <w:sz w:val="24"/>
        </w:rPr>
        <w:t>i.Licensee is a validly existing business entity in good standing in the jurisdiction in which Licensee was formed and is authorized to do business in the Territories. Licensee has all necessary power and authority to perform its obligations and receive its benefits set forth in this Agreement. All necessary actions and approvals by Licensee’s owners and applicable governing body to authorize Licensee to enter into and perform this Agreement have been taken and given. This Agreement, when executed and delivered by Licensee, will constitute a valid and legally binding obligation of Licensee, enforceable against Licensee in accordance with its terms except as limited by (a) applicable bankruptcy or other similar laws and (b) equitable principles. The execution, delivery, and performance of this Agreement and the consummation of the transactions contemplated hereby will not violate or require any consent under any agreement, contract, instrument, license, permit, other governmental authorization, judgment, order, writ, or decree to which Licensee is a party or by which any of its assets are bound.</w:t>
      </w:r>
    </w:p>
    <w:p>
      <w:pPr>
        <w:pStyle w:val="TextBody"/>
        <w:spacing w:before="0" w:after="240"/>
        <w:ind w:left="1440" w:right="0" w:firstLine="720"/>
        <w:jc w:val="both"/>
        <w:rPr>
          <w:rFonts w:ascii="Times New Roman;Times;serif" w:hAnsi="Times New Roman;Times;serif"/>
          <w:sz w:val="20"/>
        </w:rPr>
      </w:pPr>
      <w:r>
        <w:rPr>
          <w:rFonts w:ascii="Times New Roman;Times;serif" w:hAnsi="Times New Roman;Times;serif"/>
          <w:sz w:val="24"/>
        </w:rPr>
        <w:t>ii.Licensee shall be solely responsible in carrying out all of its rights and obligations under this Agreement, for compliance with all statutes, regulations and laws issued by government, local or other competent authorities applicable in the Territories (“</w:t>
      </w:r>
      <w:r>
        <w:rPr>
          <w:rFonts w:ascii="Times New Roman;Times;serif" w:hAnsi="Times New Roman;Times;serif"/>
          <w:b/>
          <w:sz w:val="24"/>
        </w:rPr>
        <w:t>Applicable Law</w:t>
      </w:r>
      <w:r>
        <w:rPr>
          <w:rFonts w:ascii="Times New Roman;Times;serif" w:hAnsi="Times New Roman;Times;serif"/>
          <w:sz w:val="20"/>
        </w:rPr>
        <w:t>”</w:t>
      </w:r>
      <w:r>
        <w:rPr>
          <w:rFonts w:ascii="Times New Roman;Times;serif" w:hAnsi="Times New Roman;Times;serif"/>
          <w:sz w:val="24"/>
        </w:rPr>
        <w:t>), including without limitation labeling requirements and conformity of the packaging of the Licensed Products with Applicable Law, and shall inform Licensor of any provision of Applicable Law that would affect the Packaging to be supplied by Licensor or that would prevent or limit compliance by Licensor with its obligations under this Agreement.</w:t>
      </w:r>
    </w:p>
    <w:p>
      <w:pPr>
        <w:pStyle w:val="TextBody"/>
        <w:spacing w:before="0" w:after="240"/>
        <w:ind w:left="1440" w:right="0" w:firstLine="720"/>
        <w:jc w:val="both"/>
        <w:rPr>
          <w:rFonts w:ascii="Times New Roman;Times;serif" w:hAnsi="Times New Roman;Times;serif"/>
          <w:sz w:val="24"/>
        </w:rPr>
      </w:pPr>
      <w:r>
        <w:rPr>
          <w:rFonts w:ascii="Times New Roman;Times;serif" w:hAnsi="Times New Roman;Times;serif"/>
          <w:sz w:val="24"/>
        </w:rPr>
        <w:t>iii.All Licensed Products not incorporating Nonconforming Packaging will be prepared, packaged, distributed, marketed, and/or sold by Licensee shall be of good and merchantable quality, free from defects, wholesome and fit for its intended purpose.</w:t>
      </w:r>
    </w:p>
    <w:p>
      <w:pPr>
        <w:pStyle w:val="TextBody"/>
        <w:spacing w:before="0" w:after="16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12</w:t>
      </w:r>
    </w:p>
    <w:p>
      <w:pPr>
        <w:pStyle w:val="HorizontalLine"/>
        <w:rPr/>
      </w:pPr>
      <w:r>
        <w:rPr/>
      </w:r>
    </w:p>
    <w:p>
      <w:pPr>
        <w:pStyle w:val="TextBody"/>
        <w:spacing w:before="0" w:after="0"/>
        <w:ind w:left="0" w:right="0" w:hanging="0"/>
        <w:rPr/>
      </w:pPr>
      <w:r>
        <w:rPr/>
        <w:t>​</w:t>
      </w:r>
    </w:p>
    <w:p>
      <w:pPr>
        <w:pStyle w:val="TextBody"/>
        <w:spacing w:before="0" w:after="240"/>
        <w:ind w:left="1440" w:right="0" w:firstLine="720"/>
        <w:jc w:val="both"/>
        <w:rPr>
          <w:rFonts w:ascii="Times New Roman;Times;serif" w:hAnsi="Times New Roman;Times;serif"/>
          <w:sz w:val="24"/>
        </w:rPr>
      </w:pPr>
      <w:r>
        <w:rPr>
          <w:rFonts w:ascii="Times New Roman;Times;serif" w:hAnsi="Times New Roman;Times;serif"/>
          <w:sz w:val="24"/>
        </w:rPr>
        <w:t>iv.Licensee shall obtain and maintain a policy of insurance with insurance carriers reasonably satisfactory to Licensor with respect to products liability and giving full and comprehensive coverage both as to amount and risks covered in respect of matters referred to in Section 9 below (including the indemnity contained therein) and shall on request produce evidence satisfactory to Licensor of the existence of such insurance. The insurance required by this Agreement is in addition to any insurance policy required to be maintained as a condition of Licensee’s state licensure. Licensor shall not be a named insured on the insurance policy required to be maintained as a condition of Licensee’s state licensure.</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w:t>
      </w:r>
      <w:r>
        <w:rPr>
          <w:rFonts w:ascii="Times New Roman;Times;serif" w:hAnsi="Times New Roman;Times;serif"/>
          <w:sz w:val="24"/>
          <w:u w:val="single"/>
        </w:rPr>
        <w:t>General Compliance with Law</w:t>
      </w:r>
      <w:r>
        <w:rPr>
          <w:rFonts w:ascii="Times New Roman;Times;serif" w:hAnsi="Times New Roman;Times;serif"/>
          <w:sz w:val="24"/>
        </w:rPr>
        <w:t>.</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u w:val="single"/>
        </w:rPr>
        <w:t>Compliance with Applicable Law.</w:t>
      </w:r>
      <w:r>
        <w:rPr>
          <w:rFonts w:ascii="Times New Roman;Times;serif" w:hAnsi="Times New Roman;Times;serif"/>
          <w:sz w:val="20"/>
        </w:rPr>
        <w:t xml:space="preserve"> </w:t>
      </w:r>
      <w:r>
        <w:rPr>
          <w:rFonts w:ascii="Times New Roman;Times;serif" w:hAnsi="Times New Roman;Times;serif"/>
          <w:sz w:val="24"/>
        </w:rPr>
        <w:t>As described in Section 7 above, each of Licensor and Licensee at all times shall comply with and perform its obligations under this Agreement in accordance with Applicable Law.</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u w:val="single"/>
        </w:rPr>
        <w:t>Conflicts with Applicable Law.</w:t>
      </w:r>
      <w:r>
        <w:rPr>
          <w:rFonts w:ascii="Times New Roman;Times;serif" w:hAnsi="Times New Roman;Times;serif"/>
          <w:sz w:val="20"/>
        </w:rPr>
        <w:t xml:space="preserve"> </w:t>
      </w:r>
      <w:r>
        <w:rPr>
          <w:rFonts w:ascii="Times New Roman;Times;serif" w:hAnsi="Times New Roman;Times;serif"/>
          <w:sz w:val="24"/>
        </w:rPr>
        <w:t>The Parties recognize that they are operating and entering into this Agreement in a highly-regulated, rapidly-evolving legal and business environment. As a result, the Parties may need to make adjustments to their business relationship. In the event of any inconsistency between the requirements of Applicable Law and the terms of this Agreement, the requirements of Applicable Law shall control. Without limiting the Parties’ rights under Section 6(c), in the event Licensor or Licensee believes that Applicable Law requires it to not comply with or to diverge from the requirements of this Agreement or that performance of its obligations under this Agreement would violate Applicable Law (each, a “</w:t>
      </w:r>
      <w:r>
        <w:rPr>
          <w:rFonts w:ascii="Times New Roman;Times;serif" w:hAnsi="Times New Roman;Times;serif"/>
          <w:b/>
          <w:sz w:val="24"/>
        </w:rPr>
        <w:t>Regulatory Issue</w:t>
      </w:r>
      <w:r>
        <w:rPr>
          <w:rFonts w:ascii="Times New Roman;Times;serif" w:hAnsi="Times New Roman;Times;serif"/>
          <w:sz w:val="20"/>
        </w:rPr>
        <w:t>”</w:t>
      </w:r>
      <w:r>
        <w:rPr>
          <w:rFonts w:ascii="Times New Roman;Times;serif" w:hAnsi="Times New Roman;Times;serif"/>
          <w:sz w:val="24"/>
        </w:rPr>
        <w:t>), the affected Party shall so notify the other Party promptly of such Regulatory Issue and the Parties shall use their good faith best efforts to resolve the Regulatory Issue promptly (and, if necessary, to amend the Agreement so the Parties’ performance hereof will comply with Applicable Law while effecting the original intent of the Parties as closely as possible in order that the transactions contemplated hereby be consummated as originally contemplated to the greatest extent possible). In the event that the Parties cannot resolve the Regulatory Issue by way of an amendment to the Agreement, the Agreement shall terminate immediately in accordance with Section 6(c).</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u w:val="single"/>
        </w:rPr>
        <w:t>Federal Law.</w:t>
      </w:r>
      <w:r>
        <w:rPr>
          <w:rFonts w:ascii="Times New Roman;Times;serif" w:hAnsi="Times New Roman;Times;serif"/>
          <w:sz w:val="20"/>
        </w:rPr>
        <w:t xml:space="preserve"> </w:t>
      </w:r>
      <w:r>
        <w:rPr>
          <w:rFonts w:ascii="Times New Roman;Times;serif" w:hAnsi="Times New Roman;Times;serif"/>
          <w:sz w:val="24"/>
        </w:rPr>
        <w:t>Licensor and Licensee both acknowledge that the activities contemplated by this Agreement relating to cannabis products are currently illegal under United States federal law. Neither Party, and no one acting on either Party’s behalf, has made any representation to the contrary. The Parties hereby acknowledge and agree that, despite the fact that the cultivation, possession, and distribution of cannabis products remain illegal under federal law, it is legal within the Territories. Accordingly, the Parties waive any defense as to the enforcement of this Agreement based upon an “illegality of purpose” theory or other related defenses.</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9.</w:t>
      </w:r>
      <w:r>
        <w:rPr>
          <w:rFonts w:ascii="Times New Roman;Times;serif" w:hAnsi="Times New Roman;Times;serif"/>
          <w:sz w:val="24"/>
          <w:u w:val="single"/>
        </w:rPr>
        <w:t>Indemnification; Limitation of Liability</w:t>
      </w:r>
      <w:r>
        <w:rPr>
          <w:rFonts w:ascii="Times New Roman;Times;serif" w:hAnsi="Times New Roman;Times;serif"/>
          <w:sz w:val="24"/>
        </w:rPr>
        <w:t>.</w:t>
      </w:r>
    </w:p>
    <w:p>
      <w:pPr>
        <w:pStyle w:val="TextBody"/>
        <w:spacing w:before="0" w:after="16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13</w:t>
      </w:r>
    </w:p>
    <w:p>
      <w:pPr>
        <w:pStyle w:val="HorizontalLine"/>
        <w:rPr/>
      </w:pPr>
      <w:r>
        <w:rPr/>
      </w:r>
    </w:p>
    <w:p>
      <w:pPr>
        <w:pStyle w:val="TextBody"/>
        <w:spacing w:before="0" w:after="0"/>
        <w:ind w:left="0" w:right="0" w:hanging="0"/>
        <w:rPr/>
      </w:pPr>
      <w:r>
        <w:rPr/>
        <w:t>​</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u w:val="single"/>
        </w:rPr>
        <w:t>Licensor Indemnification</w:t>
      </w:r>
      <w:r>
        <w:rPr>
          <w:rFonts w:ascii="Times New Roman;Times;serif" w:hAnsi="Times New Roman;Times;serif"/>
          <w:sz w:val="24"/>
        </w:rPr>
        <w:t>. Licensor shall indemnify, defend, and hold harmless Licensee, and its managers, members, officers, employees, customers, affiliates, representatives, and agents, from and against any third-party claim, suit, loss, demand, damage, liability, cost, and expense (including, without limitation, all reasonable attorneys’ fees and court costs) of whatever kind or nature (collectively, “</w:t>
      </w:r>
      <w:r>
        <w:rPr>
          <w:rFonts w:ascii="Times New Roman;Times;serif" w:hAnsi="Times New Roman;Times;serif"/>
          <w:b/>
          <w:sz w:val="24"/>
        </w:rPr>
        <w:t>Claims</w:t>
      </w:r>
      <w:r>
        <w:rPr>
          <w:rFonts w:ascii="Times New Roman;Times;serif" w:hAnsi="Times New Roman;Times;serif"/>
          <w:sz w:val="20"/>
        </w:rPr>
        <w:t>”</w:t>
      </w:r>
      <w:r>
        <w:rPr>
          <w:rFonts w:ascii="Times New Roman;Times;serif" w:hAnsi="Times New Roman;Times;serif"/>
          <w:sz w:val="24"/>
        </w:rPr>
        <w:t>) in connection with or arising out of (a) Licensor’s breach of any warranty, representation, covenant, or obligation contained in this Agreement; (b) the fraud, intentional misconduct, or gross negligence of Licensor or its directors, officers, employees, or agents; and (c) the actual or alleged infringement by Licensor, the Licensed IP, or the Licensed Products of any patent, trademark, copyright, trade secret, or other intellectual or proprietary right.</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u w:val="single"/>
        </w:rPr>
        <w:t>Licensee Indemnification.</w:t>
      </w:r>
      <w:r>
        <w:rPr>
          <w:rFonts w:ascii="Times New Roman;Times;serif" w:hAnsi="Times New Roman;Times;serif"/>
          <w:sz w:val="20"/>
        </w:rPr>
        <w:t xml:space="preserve"> </w:t>
      </w:r>
      <w:r>
        <w:rPr>
          <w:rFonts w:ascii="Times New Roman;Times;serif" w:hAnsi="Times New Roman;Times;serif"/>
          <w:sz w:val="24"/>
        </w:rPr>
        <w:t>Licensee shall indemnify, defend and hold harmless Licensor, and its directors, officers, employees, customers, affiliates, representatives, and agents from and against any Claims in connection with or arising out of (a) Licensee’s breach of any warranty, representation, covenants, or obligation contained in this Agreement and (b) the fraud, intentional misconduct, or gross negligence of Licensor or its directors, officers, employees or agents.</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u w:val="single"/>
        </w:rPr>
        <w:t>Process.</w:t>
      </w:r>
      <w:r>
        <w:rPr>
          <w:rFonts w:ascii="Times New Roman;Times;serif" w:hAnsi="Times New Roman;Times;serif"/>
          <w:sz w:val="20"/>
        </w:rPr>
        <w:t xml:space="preserve"> </w:t>
      </w:r>
      <w:r>
        <w:rPr>
          <w:rFonts w:ascii="Times New Roman;Times;serif" w:hAnsi="Times New Roman;Times;serif"/>
          <w:sz w:val="24"/>
        </w:rPr>
        <w:t>The person or entity seeking indemnification pursuant to Section 9(a) or 9(b) above shall (a) promptly notify the indemnifying Party in writing of any threatened or pending Claim (provided that any delay in providing notice shall reduce the right to indemnification only to the extent the indemnifying Party is adversely affected by that delay) and (b) give the indemnifying Party reasonable information and assistance, as requested and at the indemnifying Party’s expense, in connection therewith. The indemnifying Party shall have the sole right to control the defense of any Claim and the sole right to settle or compromise any Claim (provided that the indemnifying Party may not agree to any settlement or compromise without the indemnified person’s or entity’s prior written consent if such settlement or compromise (x) does not contain a complete release of claims against the indemnified persons and entities, (y) contains any admissions of guilt or fault by or on behalf of the indemnified persons or entities, or (z) imposes any obligations on the indemnified persons or entities (such as, without limitation, any obligation to pay any money or any obligation to refrain from or engage in any particular conduct or business activity)).</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10.</w:t>
      </w:r>
      <w:r>
        <w:rPr>
          <w:rFonts w:ascii="Times New Roman;Times;serif" w:hAnsi="Times New Roman;Times;serif"/>
          <w:sz w:val="24"/>
          <w:u w:val="single"/>
        </w:rPr>
        <w:t>Intellectual Property</w:t>
      </w:r>
      <w:r>
        <w:rPr>
          <w:rFonts w:ascii="Times New Roman;Times;serif" w:hAnsi="Times New Roman;Times;serif"/>
          <w:sz w:val="24"/>
        </w:rPr>
        <w:t>.</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Licensee acknowledges and agrees that Licensor is the sole and exclusive owner of all Company IP and all improvements, modifications, enhancements or alterations thereto, irrespective of whether developed singularly by Licensee or anyone acting on behalf of or in concert or combination with Licensee. Licensee acknowledges and agrees that the only rights that Licensee has with respect to the Licensed IP are those expressly set forth in this Agreement. Licensee shall not contest, or at any time place at issue the validity or ownership of, any of Licensor’s rights in and to the Licensed IP. Licensee shall not at any time adopt or use, without Licensor’s prior written consent, any name or trademark that is confusingly similar to or likely to be confused with the Marks.</w:t>
      </w:r>
    </w:p>
    <w:p>
      <w:pPr>
        <w:pStyle w:val="TextBody"/>
        <w:spacing w:before="0" w:after="16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14</w:t>
      </w:r>
    </w:p>
    <w:p>
      <w:pPr>
        <w:pStyle w:val="HorizontalLine"/>
        <w:rPr/>
      </w:pPr>
      <w:r>
        <w:rPr/>
      </w:r>
    </w:p>
    <w:p>
      <w:pPr>
        <w:pStyle w:val="TextBody"/>
        <w:spacing w:before="0" w:after="0"/>
        <w:ind w:left="0" w:right="0" w:hanging="0"/>
        <w:rPr/>
      </w:pPr>
      <w:r>
        <w:rPr/>
        <w:t>​</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All specifications, designs, processes, techniques, concepts, discoveries, inventions, ideas, concepts, products, formulas, algorithms, machines, apparatuses, or any new uses therefor or improvements thereon, or any new designs or modifications or configurations of any kind, or works of authorship of any kind, including compilations and derivative works, whether or not patentable or copyrightable (collectively the “</w:t>
      </w:r>
      <w:r>
        <w:rPr>
          <w:rFonts w:ascii="Times New Roman;Times;serif" w:hAnsi="Times New Roman;Times;serif"/>
          <w:b/>
          <w:sz w:val="24"/>
        </w:rPr>
        <w:t>Inventions</w:t>
      </w:r>
      <w:r>
        <w:rPr>
          <w:rFonts w:ascii="Times New Roman;Times;serif" w:hAnsi="Times New Roman;Times;serif"/>
          <w:sz w:val="20"/>
        </w:rPr>
        <w:t>”</w:t>
      </w:r>
      <w:r>
        <w:rPr>
          <w:rFonts w:ascii="Times New Roman;Times;serif" w:hAnsi="Times New Roman;Times;serif"/>
          <w:sz w:val="24"/>
        </w:rPr>
        <w:t>) conceived, developed, reduced to practice, or otherwise made by Licensee, whether before or after the Effective Date, to the extent relating to the Company IP or the Products, shall, as between Licensor and Licensee, be the sole property of Licensor. All copyrights, patents, patent rights, trademarks, and reproduction rights to, and other proprietary rights in, such Inventions, whether or not patentable or copyrightable, shall, as between Licensor and Licensee, belong exclusively to Licensor.</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All Inventions conceived, developed, reduced to practice, or otherwise made by Licensor, whether before or after the Effective Date, shall, as between Licensor and Licensee, be the sole property of Licensor. All copyrights, patents, patent rights, trademarks, and reproduction rights to, and other proprietary rights in, such Inventions, whether or not patentable or copyrightable, shall, as between Licensor and Licensee, belong exclusively to Licensor.</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Licensor has the sole and exclusive right and responsibility to initiate and defend all proceedings and actions relating to the Company IP. Licensor may initiate or defend any such proceedings or actions in its own name or require Licensee, at Licensor’s expense, to institute or defend such proceedings or actions either in its own name or in the joint names of Licensee and Licensor. Licensor reserves the sole and exclusive right to institute any civil, administrative or criminal proceedings or actions, and generally to take or seek any available legal remedy it deems desirable, for the protection of its reputation and the Company IP and to defend any action affecting these matters. At the request of Licensor, Licensee will render assistance in any such action. Licensee shall not have any claim against Licensor as a result of such proceedings or action or for any failure to institute or defend such proceedings or action. Licensee shall promptly notify Licensor of any litigation or proceedings instituted or threatened affecting these matters. Licensee shall not institute any legal or administrative proceedings against any third party which may affect the interests of Licensor without the prior written consent of Licensor.</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11.</w:t>
      </w:r>
      <w:r>
        <w:rPr>
          <w:rFonts w:ascii="Times New Roman;Times;serif" w:hAnsi="Times New Roman;Times;serif"/>
          <w:sz w:val="24"/>
          <w:u w:val="single"/>
        </w:rPr>
        <w:t>Confidentiality</w:t>
      </w:r>
      <w:r>
        <w:rPr>
          <w:rFonts w:ascii="Times New Roman;Times;serif" w:hAnsi="Times New Roman;Times;serif"/>
          <w:sz w:val="24"/>
        </w:rPr>
        <w:t>.</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u w:val="single"/>
        </w:rPr>
        <w:t>Confidentiality General</w:t>
      </w:r>
      <w:r>
        <w:rPr>
          <w:rFonts w:ascii="Times New Roman;Times;serif" w:hAnsi="Times New Roman;Times;serif"/>
          <w:sz w:val="24"/>
        </w:rPr>
        <w:t>. Each Party and its employees, agents, and representatives (collectively, the “</w:t>
      </w:r>
      <w:r>
        <w:rPr>
          <w:rFonts w:ascii="Times New Roman;Times;serif" w:hAnsi="Times New Roman;Times;serif"/>
          <w:b/>
          <w:sz w:val="24"/>
        </w:rPr>
        <w:t>Receiving Party</w:t>
      </w:r>
      <w:r>
        <w:rPr>
          <w:rFonts w:ascii="Times New Roman;Times;serif" w:hAnsi="Times New Roman;Times;serif"/>
          <w:sz w:val="20"/>
        </w:rPr>
        <w:t>”</w:t>
      </w:r>
      <w:r>
        <w:rPr>
          <w:rFonts w:ascii="Times New Roman;Times;serif" w:hAnsi="Times New Roman;Times;serif"/>
          <w:sz w:val="24"/>
        </w:rPr>
        <w:t>) may receive or have access to Confidential Information (as defined below) of the other Party (the “</w:t>
      </w:r>
      <w:r>
        <w:rPr>
          <w:rFonts w:ascii="Times New Roman;Times;serif" w:hAnsi="Times New Roman;Times;serif"/>
          <w:b/>
          <w:sz w:val="24"/>
        </w:rPr>
        <w:t>Disclosing Party</w:t>
      </w:r>
      <w:r>
        <w:rPr>
          <w:rFonts w:ascii="Times New Roman;Times;serif" w:hAnsi="Times New Roman;Times;serif"/>
          <w:sz w:val="20"/>
        </w:rPr>
        <w:t>”</w:t>
      </w:r>
      <w:r>
        <w:rPr>
          <w:rFonts w:ascii="Times New Roman;Times;serif" w:hAnsi="Times New Roman;Times;serif"/>
          <w:sz w:val="24"/>
        </w:rPr>
        <w:t>) as a result of their relationship and this Agreement. As used in this Agreement, “</w:t>
      </w:r>
      <w:r>
        <w:rPr>
          <w:rFonts w:ascii="Times New Roman;Times;serif" w:hAnsi="Times New Roman;Times;serif"/>
          <w:b/>
          <w:sz w:val="24"/>
        </w:rPr>
        <w:t>Confidential Information</w:t>
      </w:r>
      <w:r>
        <w:rPr>
          <w:rFonts w:ascii="Times New Roman;Times;serif" w:hAnsi="Times New Roman;Times;serif"/>
          <w:sz w:val="20"/>
        </w:rPr>
        <w:t xml:space="preserve">” </w:t>
      </w:r>
      <w:r>
        <w:rPr>
          <w:rFonts w:ascii="Times New Roman;Times;serif" w:hAnsi="Times New Roman;Times;serif"/>
          <w:sz w:val="24"/>
        </w:rPr>
        <w:t>means all information of the Disclosing Party, whether of a technical, business, or other nature (including, without limitation, trade secrets, know-how, and other information relating to the products, customers, business plans, promotional and marketing activities, finances, and other business affairs of the Disclosing Party), that has been identified as being proprietary and/or confidential or that, based on the nature of the information or the circumstances under which it was disclosed, a reasonable person would</w:t>
      </w:r>
    </w:p>
    <w:p>
      <w:pPr>
        <w:pStyle w:val="TextBody"/>
        <w:spacing w:before="0" w:after="16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15</w:t>
      </w:r>
    </w:p>
    <w:p>
      <w:pPr>
        <w:pStyle w:val="HorizontalLine"/>
        <w:rPr/>
      </w:pPr>
      <w:r>
        <w:rPr/>
      </w:r>
    </w:p>
    <w:p>
      <w:pPr>
        <w:pStyle w:val="TextBody"/>
        <w:spacing w:before="0" w:after="0"/>
        <w:ind w:left="0" w:right="0" w:hanging="0"/>
        <w:rPr/>
      </w:pPr>
      <w:r>
        <w:rPr/>
        <w:t>​</w:t>
      </w:r>
    </w:p>
    <w:p>
      <w:pPr>
        <w:pStyle w:val="TextBody"/>
        <w:spacing w:before="0" w:after="240"/>
        <w:ind w:left="720" w:right="0" w:hanging="0"/>
        <w:jc w:val="both"/>
        <w:rPr>
          <w:rFonts w:ascii="Times New Roman;Times;serif" w:hAnsi="Times New Roman;Times;serif"/>
          <w:sz w:val="24"/>
        </w:rPr>
      </w:pPr>
      <w:r>
        <w:rPr>
          <w:rFonts w:ascii="Times New Roman;Times;serif" w:hAnsi="Times New Roman;Times;serif"/>
          <w:sz w:val="24"/>
        </w:rPr>
        <w:t>believe to be confidential or proprietary. Confidential Information also includes the existence of this Agreement.</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u w:val="single"/>
        </w:rPr>
        <w:t>Disclosure and Use</w:t>
      </w:r>
      <w:r>
        <w:rPr>
          <w:rFonts w:ascii="Times New Roman;Times;serif" w:hAnsi="Times New Roman;Times;serif"/>
          <w:sz w:val="24"/>
        </w:rPr>
        <w:t>. During the term of this Agreement and thereafter, the Receiving Party shall (a) not disclose any Confidential Information to any third party except as expressly permitted by this Agreement; (b) not use, or permit others to use, any Confidential Information for any purpose except as expressly permitted by this Agreement; and (c) promptly notify the Disclosing Party if the Receiving Party becomes aware of any unauthorized use or disclosure of the Confidential Information and, at the Disclosing Party’s request, take such action as may be reasonably necessary to terminate or remedy any unauthorized use or disclosure. The Receiving Party may (y) disclose Confidential Information to its directors, managers, officers, employees, and agents who have a reasonable need to know such information in connection with the Receiving Party’s performance of its obligations or receipt of its benefits under this Agreement and who are informed of the restrictive provisions in this Agreement relating to that Confidential Information and (z) disclose Confidential Information as required by law or regulations, as reasonably determined by the Receiving Party or its legal counsel, or on a confidential basis to the Receiving Party’s attorneys, accountants, and other professional advisors.</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u w:val="single"/>
        </w:rPr>
        <w:t>Exclusions</w:t>
      </w:r>
      <w:r>
        <w:rPr>
          <w:rFonts w:ascii="Times New Roman;Times;serif" w:hAnsi="Times New Roman;Times;serif"/>
          <w:sz w:val="24"/>
        </w:rPr>
        <w:t>. Confidential Information does not include, and the Receiving Party shall have no obligation hereunder with respect to, any information that (a) was known to the Receiving Party without restriction before receipt, directly or indirectly, from the Disclosing Party; (b) is lawfully obtained by the Receiving Party from a third party who is under no obligation of confidentiality; (c) is or becomes publicly available other than through the fault of the Receiving Party; or (d) is developed by the Receiving Party without use of the Confidential Information.</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u w:val="single"/>
        </w:rPr>
        <w:t>Ownership</w:t>
      </w:r>
      <w:r>
        <w:rPr>
          <w:rFonts w:ascii="Times New Roman;Times;serif" w:hAnsi="Times New Roman;Times;serif"/>
          <w:sz w:val="24"/>
        </w:rPr>
        <w:t>. As between the Disclosing Party and the Receiving Party, all Confidential Information shall remain the exclusive property of the Disclosing Party, and the Receiving Party shall have no rights, by license or otherwise, to use the Confidential Information except as expressly permitted herein. Except as expressly stated herein, no patent, copyright, trademark, or other proprietary right, express or implied, is created, licensed, granted, or otherwise conveyed by this Agreement with respect to Confidential Information.</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sz w:val="24"/>
          <w:u w:val="single"/>
        </w:rPr>
        <w:t>Return or Destruction</w:t>
      </w:r>
      <w:r>
        <w:rPr>
          <w:rFonts w:ascii="Times New Roman;Times;serif" w:hAnsi="Times New Roman;Times;serif"/>
          <w:sz w:val="24"/>
        </w:rPr>
        <w:t>. Upon written demand by the Disclosing Party (except as provided herein to the contrary), the Receiving Party shall return or irrevocably destroy all Confidential Information in the Receiving Party’s custody, possession, or control (including, but not limited to, electronic copies); except that copies may be kept in the Receiving Party legal files for administration of this Agreement and shall remain subject to the confidentiality obligations set forth herein.</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12.</w:t>
      </w:r>
      <w:r>
        <w:rPr>
          <w:rFonts w:ascii="Times New Roman;Times;serif" w:hAnsi="Times New Roman;Times;serif"/>
          <w:sz w:val="24"/>
          <w:u w:val="single"/>
        </w:rPr>
        <w:t>Product Recall</w:t>
      </w:r>
      <w:r>
        <w:rPr>
          <w:rFonts w:ascii="Times New Roman;Times;serif" w:hAnsi="Times New Roman;Times;serif"/>
          <w:sz w:val="24"/>
        </w:rPr>
        <w:t>.</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The Parties will cooperate in good faith to respond to all customer inquiries and complaints relating to the Licensed Products and the record keeping and reporting relating thereto. Licensor will provide all reasonable assistance requested by Licensee in</w:t>
      </w:r>
    </w:p>
    <w:p>
      <w:pPr>
        <w:pStyle w:val="TextBody"/>
        <w:spacing w:before="0" w:after="16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16</w:t>
      </w:r>
    </w:p>
    <w:p>
      <w:pPr>
        <w:pStyle w:val="HorizontalLine"/>
        <w:rPr/>
      </w:pPr>
      <w:r>
        <w:rPr/>
      </w:r>
    </w:p>
    <w:p>
      <w:pPr>
        <w:pStyle w:val="TextBody"/>
        <w:spacing w:before="0" w:after="0"/>
        <w:ind w:left="0" w:right="0" w:hanging="0"/>
        <w:rPr/>
      </w:pPr>
      <w:r>
        <w:rPr/>
        <w:t>​</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4"/>
        </w:rPr>
        <w:t>investigating customer complaints, incidents, or near incidents regarding the Products (each a “</w:t>
      </w:r>
      <w:r>
        <w:rPr>
          <w:rFonts w:ascii="Times New Roman;Times;serif" w:hAnsi="Times New Roman;Times;serif"/>
          <w:b/>
          <w:sz w:val="24"/>
        </w:rPr>
        <w:t>Customer Complaint</w:t>
      </w:r>
      <w:r>
        <w:rPr>
          <w:rFonts w:ascii="Times New Roman;Times;serif" w:hAnsi="Times New Roman;Times;serif"/>
          <w:sz w:val="20"/>
        </w:rPr>
        <w:t>”</w:t>
      </w:r>
      <w:r>
        <w:rPr>
          <w:rFonts w:ascii="Times New Roman;Times;serif" w:hAnsi="Times New Roman;Times;serif"/>
          <w:sz w:val="24"/>
        </w:rPr>
        <w:t>). In the event any regulatory authority seizes any Licensed Product, requests a recall of any Licensed Product (a “</w:t>
      </w:r>
      <w:r>
        <w:rPr>
          <w:rFonts w:ascii="Times New Roman;Times;serif" w:hAnsi="Times New Roman;Times;serif"/>
          <w:b/>
          <w:sz w:val="24"/>
        </w:rPr>
        <w:t>Regulatory Recall</w:t>
      </w:r>
      <w:r>
        <w:rPr>
          <w:rFonts w:ascii="Times New Roman;Times;serif" w:hAnsi="Times New Roman;Times;serif"/>
          <w:sz w:val="20"/>
        </w:rPr>
        <w:t>”</w:t>
      </w:r>
      <w:r>
        <w:rPr>
          <w:rFonts w:ascii="Times New Roman;Times;serif" w:hAnsi="Times New Roman;Times;serif"/>
          <w:sz w:val="24"/>
        </w:rPr>
        <w:t>), or otherwise notifies Licensor or Licensee of any violation or potential violation of any Applicable Law (each a “</w:t>
      </w:r>
      <w:r>
        <w:rPr>
          <w:rFonts w:ascii="Times New Roman;Times;serif" w:hAnsi="Times New Roman;Times;serif"/>
          <w:b/>
          <w:sz w:val="24"/>
        </w:rPr>
        <w:t>Regulatory Issue</w:t>
      </w:r>
      <w:r>
        <w:rPr>
          <w:rFonts w:ascii="Times New Roman;Times;serif" w:hAnsi="Times New Roman;Times;serif"/>
          <w:sz w:val="20"/>
        </w:rPr>
        <w:t>”</w:t>
      </w:r>
      <w:r>
        <w:rPr>
          <w:rFonts w:ascii="Times New Roman;Times;serif" w:hAnsi="Times New Roman;Times;serif"/>
          <w:sz w:val="24"/>
        </w:rPr>
        <w:t>), the first Party who received a notification from the applicable regulatory authority must promptly (i) notify the other Party and (ii) provide the other Party with a copy of any applicable Regulatory Recall letter or equivalent written notification. In the event of a Customer Complaint or Regulatory Issue, Licensee shall immediately cease distribution of the Licensed Products and the Parties will work together and cooperate in good faith to promptly remediate such Customer Complaint or Regulatory Issue, as applicable. Each Party shall be responsible for each such Party’s costs associated with such Customer Complaint or Regulatory Issue, provided that in the event the Customer Complaint or Regulatory Issue arises due to the actions or inaction of Licensee or matters within the responsibility of Licensee hereunder (including failure to comply with Applicable Law in the Territories), all direct out of pocket costs of Licensor for third party testing, travel for personnel and regulatory fines shall be borne by Licensee, and in the event the Customer Complaint or Regulatory Issue arises due to the actions or inaction of Licensor or matters within the responsibility of Licensor hereunder, all direct out of pocket costs of Licensee for third part testing, travel for personnel and regulatory fines shall be borne by Licensor. Moreover, the Parties will each provide information reasonably requested by the other Party to investigate the cause and extent of such Customer Complaint or Regulatory Issue, as applicable. Licensee agrees to consult with Licensor on all product liability claims, proceedings or actions brought against Licensor in connection with the Licensed Products and to take such action with respect to the defense of any such claim or lawsuit as Licensor may reasonably request in order to protect the interests of Licensor and the Company IP or the goodwill associated with therewith, which shall be at Licensee’s expense or, solely in the case of claims relating expressly to Company IP or Licensor packaging materials, at Licensor’s expense.</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13.</w:t>
      </w:r>
      <w:r>
        <w:rPr>
          <w:rFonts w:ascii="Times New Roman;Times;serif" w:hAnsi="Times New Roman;Times;serif"/>
          <w:sz w:val="24"/>
          <w:u w:val="single"/>
        </w:rPr>
        <w:t>General</w:t>
      </w:r>
      <w:r>
        <w:rPr>
          <w:rFonts w:ascii="Times New Roman;Times;serif" w:hAnsi="Times New Roman;Times;serif"/>
          <w:sz w:val="24"/>
        </w:rPr>
        <w:t>.</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u w:val="single"/>
        </w:rPr>
        <w:t>Notice</w:t>
      </w:r>
      <w:r>
        <w:rPr>
          <w:rFonts w:ascii="Times New Roman;Times;serif" w:hAnsi="Times New Roman;Times;serif"/>
          <w:sz w:val="24"/>
        </w:rPr>
        <w:t>. Any notice required or permitted by this Agreement shall be in writing and shall be delivered as follows with notice deemed given as indicated (unless another method of notice is specifically permitted by the terms of this Agreement in specific circumstances): (a) by personal delivery when delivered personally; (b) by reputable overnight courier, fees prepaid, upon verification of receipt; (c) by telecopy or facsimile transmission when confirmed by telecopier or facsimile transmission; or (d) by certified or registered mail, return receipt requested, upon verification of receipt. All notices must be sent to the addresses in the preamble of this Agreement or to such other address that the receiving Party may have provided for the purpose of notice in accordance with this Section 13(a).</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u w:val="single"/>
        </w:rPr>
        <w:t>Exclusion of Consequential Damages</w:t>
      </w:r>
      <w:r>
        <w:rPr>
          <w:rFonts w:ascii="Times New Roman;Times;serif" w:hAnsi="Times New Roman;Times;serif"/>
          <w:sz w:val="24"/>
        </w:rPr>
        <w:t>. NEITHER PARTY SHALL BE LIABLE FOR ANY INDIRECT, SPECIAL, INCIDENTAL, PUNITIVE, OR CONSEQUENTIAL DAMAGES OF ANY KIND ARISING OUT OF OR RELATING TO THIS AGREEMENT, REGARDLESS OF THE FORM OF ACTION WHETHER IN</w:t>
      </w:r>
    </w:p>
    <w:p>
      <w:pPr>
        <w:pStyle w:val="TextBody"/>
        <w:spacing w:before="0" w:after="16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17</w:t>
      </w:r>
    </w:p>
    <w:p>
      <w:pPr>
        <w:pStyle w:val="HorizontalLine"/>
        <w:rPr/>
      </w:pPr>
      <w:r>
        <w:rPr/>
      </w:r>
    </w:p>
    <w:p>
      <w:pPr>
        <w:pStyle w:val="TextBody"/>
        <w:spacing w:before="0" w:after="0"/>
        <w:ind w:left="0" w:right="0" w:hanging="0"/>
        <w:rPr/>
      </w:pPr>
      <w:r>
        <w:rPr/>
        <w:t>​</w:t>
      </w:r>
    </w:p>
    <w:p>
      <w:pPr>
        <w:pStyle w:val="TextBody"/>
        <w:spacing w:before="0" w:after="240"/>
        <w:ind w:left="720" w:right="0" w:hanging="0"/>
        <w:jc w:val="both"/>
        <w:rPr>
          <w:rFonts w:ascii="Times New Roman;Times;serif" w:hAnsi="Times New Roman;Times;serif"/>
          <w:sz w:val="24"/>
        </w:rPr>
      </w:pPr>
      <w:r>
        <w:rPr>
          <w:rFonts w:ascii="Times New Roman;Times;serif" w:hAnsi="Times New Roman;Times;serif"/>
          <w:sz w:val="24"/>
        </w:rPr>
        <w:t>CONTRACT, TORT, STRICT PRODUCT LIABILITY, OR OTHERWISE, EVEN IF THE PARTY HAS BEEN ADVISED OF THE POSSIBILITY OF SUCH DAMAGES.</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u w:val="single"/>
        </w:rPr>
        <w:t>Severability.</w:t>
      </w:r>
      <w:r>
        <w:rPr>
          <w:rFonts w:ascii="Times New Roman;Times;serif" w:hAnsi="Times New Roman;Times;serif"/>
          <w:sz w:val="20"/>
        </w:rPr>
        <w:t xml:space="preserve"> </w:t>
      </w:r>
      <w:r>
        <w:rPr>
          <w:rFonts w:ascii="Times New Roman;Times;serif" w:hAnsi="Times New Roman;Times;serif"/>
          <w:sz w:val="24"/>
        </w:rPr>
        <w:t>If any term or provision of this Agreement is found by a court of competent jurisdiction to be invalid, illegal, or unenforceable in any jurisdiction, such invalidity, illegality, or unenforceability shall not affect any other term or provision of this Agreement or invalidate or render unenforceable such term or provision in any other jurisdiction. Upon a determination that any term or provision is invalid, illegal, or unenforceable, the court is authorized and requested to modify this Agreement to effect the original intent of the Parties as closely as possible in order that the transactions contemplated hereby be consummated as originally contemplated to the greatest extent possible.</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u w:val="single"/>
        </w:rPr>
        <w:t>Counterparts.</w:t>
      </w:r>
      <w:r>
        <w:rPr>
          <w:rFonts w:ascii="Times New Roman;Times;serif" w:hAnsi="Times New Roman;Times;serif"/>
          <w:sz w:val="20"/>
        </w:rPr>
        <w:t xml:space="preserve"> </w:t>
      </w:r>
      <w:r>
        <w:rPr>
          <w:rFonts w:ascii="Times New Roman;Times;serif" w:hAnsi="Times New Roman;Times;serif"/>
          <w:sz w:val="24"/>
        </w:rPr>
        <w:t>This Agreement may be executed in one or more counterparts, any one of which need not contain the signatures of more than one Party, but all such counterparts taken together shall constitute one and the same agreement. This Agreement may be executed by facsimile signature or electronic exchanges of documents bearing a scanned signature or other image of a signature, and a facsimile, scanned or other electronic image, or copy of a signature is valid as an original.</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sz w:val="24"/>
          <w:u w:val="single"/>
        </w:rPr>
        <w:t>Assignment.</w:t>
      </w:r>
      <w:r>
        <w:rPr>
          <w:rFonts w:ascii="Times New Roman;Times;serif" w:hAnsi="Times New Roman;Times;serif"/>
          <w:sz w:val="20"/>
        </w:rPr>
        <w:t xml:space="preserve"> </w:t>
      </w:r>
      <w:r>
        <w:rPr>
          <w:rFonts w:ascii="Times New Roman;Times;serif" w:hAnsi="Times New Roman;Times;serif"/>
          <w:sz w:val="24"/>
        </w:rPr>
        <w:t>Neither Party may assign or delegate this Agreement or any of its rights or obligations hereunder without the prior written consent of the other Party; provided, however, that (a) each Party may assign and delegate this Agreement and its rights and obligations hereunder to a company that controls, is controlled by, or is under common control with, that Party and (b) each Party may assign and delegate this Agreement and its rights and obligations hereunder in connection with any merger, reorganization, consolidation, change in control, or sale of substantial portion of assets of the assigning Party, subject to the provisions of Section 6(d) hereof. The rights and obligations of the Parties will bind and inure to the benefit of their permitted successors and assigns.</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f.</w:t>
      </w:r>
      <w:r>
        <w:rPr>
          <w:rFonts w:ascii="Times New Roman;Times;serif" w:hAnsi="Times New Roman;Times;serif"/>
          <w:sz w:val="24"/>
          <w:u w:val="single"/>
        </w:rPr>
        <w:t>Independent Contractor</w:t>
      </w:r>
      <w:r>
        <w:rPr>
          <w:rFonts w:ascii="Times New Roman;Times;serif" w:hAnsi="Times New Roman;Times;serif"/>
          <w:sz w:val="24"/>
        </w:rPr>
        <w:t>. The relationship of Licensor and Licensee established by this Agreement is that of independent contractors, and nothing contained in this Agreement shall be construed to constitute the Parties as partners, joint venturers, co-owners, or otherwise as participants in a joint or common undertaking. Neither Party shall have any authority to contract for, make decisions for, or bind the other Party in any manner whatsoever.</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g.</w:t>
      </w:r>
      <w:r>
        <w:rPr>
          <w:rFonts w:ascii="Times New Roman;Times;serif" w:hAnsi="Times New Roman;Times;serif"/>
          <w:sz w:val="24"/>
          <w:u w:val="single"/>
        </w:rPr>
        <w:t>Waiver</w:t>
      </w:r>
      <w:r>
        <w:rPr>
          <w:rFonts w:ascii="Times New Roman;Times;serif" w:hAnsi="Times New Roman;Times;serif"/>
          <w:sz w:val="24"/>
        </w:rPr>
        <w:t>. The failure of either Party to exercise any right hereunder shall not be deemed to be a waiver of such right. The failure of either Party to require performance by the other Party of any provision of this Agreement shall not affect the right to require such full performance at any time thereafter; nor shall the waiver by either Party of a breach or any provision hereof be taken or held to be a waiver of the provision itself. Unless otherwise expressly stated: all rights and remedies of any Party are cumulative and concurrent and the exercise of one right or remedy shall not be deemed a waiver or release of any other right or remedy. No waiver of any term or condition of this Agreement will be valid unless in writing and signed by the Party granting the waiver.</w:t>
      </w:r>
    </w:p>
    <w:p>
      <w:pPr>
        <w:pStyle w:val="TextBody"/>
        <w:spacing w:before="0" w:after="16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18</w:t>
      </w:r>
    </w:p>
    <w:p>
      <w:pPr>
        <w:pStyle w:val="HorizontalLine"/>
        <w:rPr/>
      </w:pPr>
      <w:r>
        <w:rPr/>
      </w:r>
    </w:p>
    <w:p>
      <w:pPr>
        <w:pStyle w:val="TextBody"/>
        <w:spacing w:before="0" w:after="0"/>
        <w:ind w:left="0" w:right="0" w:hanging="0"/>
        <w:rPr/>
      </w:pPr>
      <w:r>
        <w:rPr/>
        <w:t>​</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h.</w:t>
      </w:r>
      <w:r>
        <w:rPr>
          <w:rFonts w:ascii="Times New Roman;Times;serif" w:hAnsi="Times New Roman;Times;serif"/>
          <w:sz w:val="24"/>
          <w:u w:val="single"/>
        </w:rPr>
        <w:t>Force Majeure</w:t>
      </w:r>
      <w:r>
        <w:rPr>
          <w:rFonts w:ascii="Times New Roman;Times;serif" w:hAnsi="Times New Roman;Times;serif"/>
          <w:sz w:val="24"/>
        </w:rPr>
        <w:t>. Neither Party shall be liable to the other for any failure to perform its obligations if such failure is due to an event beyond such Party’s reasonable control, such as, but not limited to, fire, natural disasters, strikes, work stoppages, accidents, wars, acts of governmental authority, and acts or God, provided that payment of amounts due hereunder shall in no event be excused by reason of force majeure. Any Party affected by such a force majeure event shall promptly give notice thereof to the other Party and use commercially reasonable efforts to mitigate the impact of and to overcome the effects of the force majeure event.</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u w:val="single"/>
        </w:rPr>
        <w:t>Governing Law</w:t>
      </w:r>
      <w:r>
        <w:rPr>
          <w:rFonts w:ascii="Times New Roman;Times;serif" w:hAnsi="Times New Roman;Times;serif"/>
          <w:sz w:val="24"/>
        </w:rPr>
        <w:t>. This Agreement shall be governed by and construed in accordance with the substantive laws of the State of Colorado without regard to its conflicts of laws provisions.</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j.</w:t>
      </w:r>
      <w:r>
        <w:rPr>
          <w:rFonts w:ascii="Times New Roman;Times;serif" w:hAnsi="Times New Roman;Times;serif"/>
          <w:sz w:val="24"/>
          <w:u w:val="single"/>
        </w:rPr>
        <w:t>Dispute Resolution</w:t>
      </w:r>
      <w:r>
        <w:rPr>
          <w:rFonts w:ascii="Times New Roman;Times;serif" w:hAnsi="Times New Roman;Times;serif"/>
          <w:sz w:val="24"/>
        </w:rPr>
        <w:t>. The Parties shall negotiate in good faith to resolve any claim, dispute, or controversy that may arise in connection with this Agreement. These resolution efforts shall include at least one in-person meeting involving senior representatives of each of Licensor and Licensee having all necessary decision-making authority. If no resolution is reached within thirty (30) days of written notice delivered by either Party that a formal dispute has arisen, each Party agrees that any and all controversies, claims or disputes relating to this Agreement or the subject matter hereof shall be resolved, as the sole and exclusive remedy, through arbitration by the Judicial Arbitration &amp; Mediation Services, Inc. (“JAMS”). The arbitrator shall have the power to award any remedies available under Applicable Law. The Parties will bear equally the administrative fees and hearing fees of JAMS and the arbitrator, provided that the arbitrator shall award reimbursement for such fees and attorneys’ fees and costs to the prevailing party, except as prohibited by law. The decision of the arbitrator shall be in writing. Any arbitration under this Agreement shall be conducted in Denver, Colorado. Nothing in this Agreement shall prevent either Party from seeking a temporary restraining order, preliminary injunction, or other provisional relief pending the outcome of the process covered by this provision from the courts described in this Section 13(j).</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k.</w:t>
      </w:r>
      <w:r>
        <w:rPr>
          <w:rFonts w:ascii="Times New Roman;Times;serif" w:hAnsi="Times New Roman;Times;serif"/>
          <w:sz w:val="24"/>
          <w:u w:val="single"/>
        </w:rPr>
        <w:t>No Third Party Beneficiaries</w:t>
      </w:r>
      <w:r>
        <w:rPr>
          <w:rFonts w:ascii="Times New Roman;Times;serif" w:hAnsi="Times New Roman;Times;serif"/>
          <w:sz w:val="24"/>
        </w:rPr>
        <w:t>. Unless otherwise expressly provided, no provision of this Agreement shall give any rights, remedies, or other benefits to any person or entity other than Licensor and Licensee.</w:t>
      </w:r>
    </w:p>
    <w:p>
      <w:pPr>
        <w:pStyle w:val="TextBody"/>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l.</w:t>
      </w:r>
      <w:r>
        <w:rPr>
          <w:rFonts w:ascii="Times New Roman;Times;serif" w:hAnsi="Times New Roman;Times;serif"/>
          <w:sz w:val="24"/>
          <w:u w:val="single"/>
        </w:rPr>
        <w:t>Entire Agreement.</w:t>
      </w:r>
      <w:r>
        <w:rPr>
          <w:rFonts w:ascii="Times New Roman;Times;serif" w:hAnsi="Times New Roman;Times;serif"/>
          <w:sz w:val="20"/>
        </w:rPr>
        <w:t xml:space="preserve"> </w:t>
      </w:r>
      <w:r>
        <w:rPr>
          <w:rFonts w:ascii="Times New Roman;Times;serif" w:hAnsi="Times New Roman;Times;serif"/>
          <w:sz w:val="24"/>
        </w:rPr>
        <w:t>This Agreement (including all exhibits hereto and all purchase orders, invoices, and related documents contemplated hereby) constitutes the entire agreement and final understanding of the Parties with respect to the subject matter hereof and supersedes and terminates any and all prior and/or contemporaneous negotiations, representations, understandings, discussions, offers, and/or agreements between the Parties, whether written or verbal, express or implied, relating in any way to the subject matter hereof. This Agreement may not be amended or otherwise changed in any way except by a written instrument which specifically identifies the intended amendment or other change signed by both Licensor and Licensee. The Parties hereto have participated jointly in the negotiation and drafting of this Agreement and, in the event of ambiguity or question of intent or interpretation arises, this Agreement will be construed as if drafted jointly by such Parties and no presumption or burden of proof will arise</w:t>
      </w:r>
    </w:p>
    <w:p>
      <w:pPr>
        <w:pStyle w:val="TextBody"/>
        <w:spacing w:before="0" w:after="16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19</w:t>
      </w:r>
    </w:p>
    <w:p>
      <w:pPr>
        <w:pStyle w:val="HorizontalLine"/>
        <w:rPr/>
      </w:pPr>
      <w:r>
        <w:rPr/>
      </w:r>
    </w:p>
    <w:p>
      <w:pPr>
        <w:pStyle w:val="TextBody"/>
        <w:spacing w:before="0" w:after="0"/>
        <w:ind w:left="0" w:right="0" w:hanging="0"/>
        <w:rPr/>
      </w:pPr>
      <w:r>
        <w:rPr/>
        <w:t>​</w:t>
      </w:r>
    </w:p>
    <w:p>
      <w:pPr>
        <w:pStyle w:val="TextBody"/>
        <w:spacing w:before="0" w:after="240"/>
        <w:ind w:left="720" w:right="0" w:hanging="0"/>
        <w:jc w:val="both"/>
        <w:rPr>
          <w:rFonts w:ascii="Times New Roman;Times;serif" w:hAnsi="Times New Roman;Times;serif"/>
          <w:sz w:val="24"/>
        </w:rPr>
      </w:pPr>
      <w:r>
        <w:rPr>
          <w:rFonts w:ascii="Times New Roman;Times;serif" w:hAnsi="Times New Roman;Times;serif"/>
          <w:sz w:val="24"/>
        </w:rPr>
        <w:t>favoring or disfavoring any Party by virtue of the authorship of any of the provisions of this Agreement</w:t>
      </w:r>
    </w:p>
    <w:p>
      <w:pPr>
        <w:pStyle w:val="TextBody"/>
        <w:spacing w:before="0" w:after="240"/>
        <w:ind w:left="0" w:right="0" w:hanging="0"/>
        <w:jc w:val="center"/>
        <w:rPr>
          <w:rFonts w:ascii="Times New Roman;Times;serif" w:hAnsi="Times New Roman;Times;serif"/>
          <w:i/>
          <w:sz w:val="24"/>
        </w:rPr>
      </w:pPr>
      <w:r>
        <w:rPr>
          <w:rFonts w:ascii="Times New Roman;Times;serif" w:hAnsi="Times New Roman;Times;serif"/>
          <w:i/>
          <w:sz w:val="24"/>
        </w:rPr>
        <w:t>[SIGNATURE PAGE FOLLOWS]</w:t>
      </w:r>
    </w:p>
    <w:p>
      <w:pPr>
        <w:pStyle w:val="TextBody"/>
        <w:spacing w:before="0" w:after="240"/>
        <w:ind w:left="0" w:right="0" w:hanging="0"/>
        <w:jc w:val="center"/>
        <w:rPr/>
      </w:pPr>
      <w:r>
        <w:rPr/>
        <w:t>​</w:t>
      </w:r>
    </w:p>
    <w:p>
      <w:pPr>
        <w:pStyle w:val="TextBody"/>
        <w:spacing w:before="0" w:after="16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20</w:t>
      </w:r>
    </w:p>
    <w:p>
      <w:pPr>
        <w:pStyle w:val="HorizontalLine"/>
        <w:rPr/>
      </w:pPr>
      <w:r>
        <w:rPr/>
      </w:r>
    </w:p>
    <w:p>
      <w:pPr>
        <w:pStyle w:val="TextBody"/>
        <w:spacing w:before="0" w:after="0"/>
        <w:ind w:left="0" w:right="0" w:hanging="0"/>
        <w:rPr/>
      </w:pPr>
      <w:r>
        <w:rPr/>
        <w:t>​</w:t>
      </w:r>
    </w:p>
    <w:p>
      <w:pPr>
        <w:pStyle w:val="TextBody"/>
        <w:spacing w:before="0" w:after="240"/>
        <w:ind w:left="0" w:right="0" w:firstLine="720"/>
        <w:jc w:val="both"/>
        <w:rPr>
          <w:rFonts w:ascii="Times New Roman;Times;serif" w:hAnsi="Times New Roman;Times;serif"/>
          <w:sz w:val="24"/>
        </w:rPr>
      </w:pPr>
      <w:r>
        <w:rPr>
          <w:rFonts w:ascii="Times New Roman;Times;serif" w:hAnsi="Times New Roman;Times;serif"/>
          <w:sz w:val="24"/>
        </w:rPr>
        <w:t>IN WITNESS WHEREOF, duly authorized representatives of the Parties have executed this Agreement.</w:t>
      </w:r>
    </w:p>
    <w:tbl>
      <w:tblPr>
        <w:tblW w:w="7731" w:type="dxa"/>
        <w:jc w:val="left"/>
        <w:tblInd w:w="0" w:type="dxa"/>
        <w:tblCellMar>
          <w:top w:w="0" w:type="dxa"/>
          <w:left w:w="0" w:type="dxa"/>
          <w:bottom w:w="0" w:type="dxa"/>
          <w:right w:w="0" w:type="dxa"/>
        </w:tblCellMar>
      </w:tblPr>
      <w:tblGrid>
        <w:gridCol w:w="751"/>
        <w:gridCol w:w="2371"/>
        <w:gridCol w:w="109"/>
        <w:gridCol w:w="1212"/>
        <w:gridCol w:w="3288"/>
      </w:tblGrid>
      <w:tr>
        <w:trPr/>
        <w:tc>
          <w:tcPr>
            <w:tcW w:w="3122" w:type="dxa"/>
            <w:gridSpan w:val="2"/>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LICENSOR:</w:t>
            </w:r>
          </w:p>
        </w:tc>
        <w:tc>
          <w:tcPr>
            <w:tcW w:w="109" w:type="dxa"/>
            <w:tcBorders/>
            <w:shd w:fill="auto" w:val="clear"/>
            <w:vAlign w:val="center"/>
          </w:tcPr>
          <w:p>
            <w:pPr>
              <w:pStyle w:val="TableContents"/>
              <w:spacing w:before="0" w:after="0"/>
              <w:ind w:left="0" w:right="0" w:hanging="0"/>
              <w:rPr/>
            </w:pPr>
            <w:r>
              <w:rPr/>
              <w:t>​</w:t>
            </w:r>
          </w:p>
        </w:tc>
        <w:tc>
          <w:tcPr>
            <w:tcW w:w="4500" w:type="dxa"/>
            <w:gridSpan w:val="2"/>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LICENSEE:</w:t>
            </w:r>
          </w:p>
        </w:tc>
      </w:tr>
      <w:tr>
        <w:trPr/>
        <w:tc>
          <w:tcPr>
            <w:tcW w:w="3122" w:type="dxa"/>
            <w:gridSpan w:val="2"/>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500" w:type="dxa"/>
            <w:gridSpan w:val="2"/>
            <w:tcBorders/>
            <w:shd w:fill="auto" w:val="clear"/>
            <w:vAlign w:val="center"/>
          </w:tcPr>
          <w:p>
            <w:pPr>
              <w:pStyle w:val="TableContents"/>
              <w:spacing w:before="0" w:after="0"/>
              <w:ind w:left="0" w:right="0" w:hanging="0"/>
              <w:rPr/>
            </w:pPr>
            <w:r>
              <w:rPr/>
              <w:t>​</w:t>
            </w:r>
          </w:p>
        </w:tc>
      </w:tr>
      <w:tr>
        <w:trPr/>
        <w:tc>
          <w:tcPr>
            <w:tcW w:w="3122" w:type="dxa"/>
            <w:gridSpan w:val="2"/>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INDUS LF LLC</w:t>
            </w:r>
          </w:p>
        </w:tc>
        <w:tc>
          <w:tcPr>
            <w:tcW w:w="109" w:type="dxa"/>
            <w:tcBorders/>
            <w:shd w:fill="auto" w:val="clear"/>
            <w:vAlign w:val="center"/>
          </w:tcPr>
          <w:p>
            <w:pPr>
              <w:pStyle w:val="TableContents"/>
              <w:spacing w:before="0" w:after="0"/>
              <w:ind w:left="0" w:right="0" w:hanging="0"/>
              <w:rPr/>
            </w:pPr>
            <w:r>
              <w:rPr/>
              <w:t>​</w:t>
            </w:r>
          </w:p>
        </w:tc>
        <w:tc>
          <w:tcPr>
            <w:tcW w:w="4500" w:type="dxa"/>
            <w:gridSpan w:val="2"/>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MEDICINE MAN TECHNOLOGIES, INC.</w:t>
            </w:r>
          </w:p>
        </w:tc>
      </w:tr>
      <w:tr>
        <w:trPr/>
        <w:tc>
          <w:tcPr>
            <w:tcW w:w="751" w:type="dxa"/>
            <w:tcBorders/>
            <w:shd w:fill="auto" w:val="clear"/>
            <w:vAlign w:val="center"/>
          </w:tcPr>
          <w:p>
            <w:pPr>
              <w:pStyle w:val="TableContents"/>
              <w:spacing w:before="0" w:after="0"/>
              <w:ind w:left="0" w:right="0" w:hanging="0"/>
              <w:rPr/>
            </w:pPr>
            <w:r>
              <w:rPr/>
              <w:t>​</w:t>
            </w:r>
          </w:p>
        </w:tc>
        <w:tc>
          <w:tcPr>
            <w:tcW w:w="23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212" w:type="dxa"/>
            <w:tcBorders/>
            <w:shd w:fill="auto" w:val="clear"/>
            <w:vAlign w:val="center"/>
          </w:tcPr>
          <w:p>
            <w:pPr>
              <w:pStyle w:val="TableContents"/>
              <w:spacing w:before="0" w:after="0"/>
              <w:ind w:left="0" w:right="0" w:hanging="0"/>
              <w:rPr/>
            </w:pPr>
            <w:r>
              <w:rPr/>
              <w:t>​</w:t>
            </w:r>
          </w:p>
        </w:tc>
        <w:tc>
          <w:tcPr>
            <w:tcW w:w="3288" w:type="dxa"/>
            <w:tcBorders/>
            <w:shd w:fill="auto" w:val="clear"/>
            <w:vAlign w:val="center"/>
          </w:tcPr>
          <w:p>
            <w:pPr>
              <w:pStyle w:val="TableContents"/>
              <w:spacing w:before="0" w:after="0"/>
              <w:ind w:left="0" w:right="0" w:hanging="0"/>
              <w:rPr/>
            </w:pPr>
            <w:r>
              <w:rPr/>
              <w:t>​</w:t>
            </w:r>
          </w:p>
        </w:tc>
      </w:tr>
      <w:tr>
        <w:trPr/>
        <w:tc>
          <w:tcPr>
            <w:tcW w:w="75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By:</w:t>
            </w:r>
          </w:p>
        </w:tc>
        <w:tc>
          <w:tcPr>
            <w:tcW w:w="237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Mark Ainsworth</w:t>
            </w:r>
          </w:p>
        </w:tc>
        <w:tc>
          <w:tcPr>
            <w:tcW w:w="109" w:type="dxa"/>
            <w:tcBorders/>
            <w:shd w:fill="auto" w:val="clear"/>
            <w:vAlign w:val="center"/>
          </w:tcPr>
          <w:p>
            <w:pPr>
              <w:pStyle w:val="TableContents"/>
              <w:spacing w:before="0" w:after="0"/>
              <w:ind w:left="0" w:right="0" w:hanging="0"/>
              <w:rPr/>
            </w:pPr>
            <w:r>
              <w:rPr/>
              <w:t>​</w:t>
            </w:r>
          </w:p>
        </w:tc>
        <w:tc>
          <w:tcPr>
            <w:tcW w:w="1212"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By:</w:t>
            </w:r>
          </w:p>
        </w:tc>
        <w:tc>
          <w:tcPr>
            <w:tcW w:w="3288"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Daniel R. Pabon</w:t>
            </w:r>
          </w:p>
        </w:tc>
      </w:tr>
      <w:tr>
        <w:trPr/>
        <w:tc>
          <w:tcPr>
            <w:tcW w:w="75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Name:</w:t>
            </w:r>
          </w:p>
        </w:tc>
        <w:tc>
          <w:tcPr>
            <w:tcW w:w="237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Mark Ainsworth</w:t>
            </w:r>
          </w:p>
        </w:tc>
        <w:tc>
          <w:tcPr>
            <w:tcW w:w="109" w:type="dxa"/>
            <w:tcBorders/>
            <w:shd w:fill="auto" w:val="clear"/>
            <w:vAlign w:val="center"/>
          </w:tcPr>
          <w:p>
            <w:pPr>
              <w:pStyle w:val="TableContents"/>
              <w:spacing w:before="0" w:after="0"/>
              <w:ind w:left="0" w:right="0" w:hanging="0"/>
              <w:rPr/>
            </w:pPr>
            <w:r>
              <w:rPr/>
              <w:t>​</w:t>
            </w:r>
          </w:p>
        </w:tc>
        <w:tc>
          <w:tcPr>
            <w:tcW w:w="1212"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Name:</w:t>
            </w:r>
          </w:p>
        </w:tc>
        <w:tc>
          <w:tcPr>
            <w:tcW w:w="3288"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Daniel R. Pabon</w:t>
            </w:r>
          </w:p>
        </w:tc>
      </w:tr>
      <w:tr>
        <w:trPr/>
        <w:tc>
          <w:tcPr>
            <w:tcW w:w="75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Title:</w:t>
            </w:r>
          </w:p>
        </w:tc>
        <w:tc>
          <w:tcPr>
            <w:tcW w:w="237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Chief Executive Officer</w:t>
            </w:r>
          </w:p>
        </w:tc>
        <w:tc>
          <w:tcPr>
            <w:tcW w:w="109" w:type="dxa"/>
            <w:tcBorders/>
            <w:shd w:fill="auto" w:val="clear"/>
            <w:vAlign w:val="center"/>
          </w:tcPr>
          <w:p>
            <w:pPr>
              <w:pStyle w:val="TableContents"/>
              <w:spacing w:before="0" w:after="0"/>
              <w:ind w:left="0" w:right="0" w:hanging="0"/>
              <w:rPr/>
            </w:pPr>
            <w:r>
              <w:rPr/>
              <w:t>​</w:t>
            </w:r>
          </w:p>
        </w:tc>
        <w:tc>
          <w:tcPr>
            <w:tcW w:w="1212"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Title:</w:t>
            </w:r>
          </w:p>
        </w:tc>
        <w:tc>
          <w:tcPr>
            <w:tcW w:w="3288"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General Counsel</w:t>
            </w:r>
          </w:p>
        </w:tc>
      </w:tr>
    </w:tbl>
    <w:p>
      <w:pPr>
        <w:pStyle w:val="TextBody"/>
        <w:spacing w:before="0" w:after="0"/>
        <w:ind w:left="0" w:right="0" w:hanging="0"/>
        <w:rPr/>
      </w:pPr>
      <w:r>
        <w:rPr/>
        <w:t>​</w:t>
      </w:r>
    </w:p>
    <w:p>
      <w:pPr>
        <w:pStyle w:val="TextBody"/>
        <w:spacing w:before="0" w:after="16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21</w:t>
      </w:r>
    </w:p>
    <w:p>
      <w:pPr>
        <w:pStyle w:val="HorizontalLine"/>
        <w:rPr/>
      </w:pPr>
      <w:r>
        <w:rPr/>
      </w:r>
    </w:p>
    <w:p>
      <w:pPr>
        <w:pStyle w:val="TextBody"/>
        <w:spacing w:before="0" w:after="0"/>
        <w:ind w:left="0" w:right="0" w:hanging="0"/>
        <w:rPr/>
      </w:pPr>
      <w:r>
        <w:rPr/>
        <w:t>​</w:t>
      </w:r>
    </w:p>
    <w:p>
      <w:pPr>
        <w:pStyle w:val="TextBody"/>
        <w:spacing w:before="0" w:after="240"/>
        <w:ind w:left="0" w:right="0" w:hanging="0"/>
        <w:jc w:val="center"/>
        <w:rPr>
          <w:rFonts w:ascii="Times New Roman;Times;serif" w:hAnsi="Times New Roman;Times;serif"/>
          <w:b/>
          <w:sz w:val="24"/>
        </w:rPr>
      </w:pPr>
      <w:r>
        <w:rPr>
          <w:rFonts w:ascii="Times New Roman;Times;serif" w:hAnsi="Times New Roman;Times;serif"/>
          <w:b/>
          <w:sz w:val="24"/>
        </w:rPr>
        <w:t>Schedule 1 – Product Descriptions</w:t>
      </w:r>
    </w:p>
    <w:p>
      <w:pPr>
        <w:pStyle w:val="TextBody"/>
        <w:spacing w:before="0" w:after="0"/>
        <w:ind w:left="0" w:right="0" w:hanging="0"/>
        <w:rPr>
          <w:rFonts w:ascii="Times New Roman;Times;serif" w:hAnsi="Times New Roman;Times;serif"/>
          <w:b/>
          <w:sz w:val="24"/>
        </w:rPr>
      </w:pPr>
      <w:r>
        <w:rPr>
          <w:rFonts w:ascii="Times New Roman;Times;serif" w:hAnsi="Times New Roman;Times;serif"/>
          <w:b/>
          <w:sz w:val="24"/>
        </w:rPr>
        <w:t>Products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4"/>
        </w:rPr>
        <w:t>[</w:t>
      </w:r>
      <w:r>
        <w:rPr>
          <w:rFonts w:ascii="Times New Roman;Times;serif" w:hAnsi="Times New Roman;Times;serif"/>
          <w:i/>
          <w:sz w:val="24"/>
        </w:rPr>
        <w:t>intentionally omitted</w:t>
      </w:r>
      <w:r>
        <w:rPr>
          <w:rFonts w:ascii="Times New Roman;Times;serif" w:hAnsi="Times New Roman;Times;serif"/>
          <w:sz w:val="24"/>
        </w:rPr>
        <w:t>]</w:t>
      </w:r>
    </w:p>
    <w:p>
      <w:pPr>
        <w:pStyle w:val="TextBody"/>
        <w:spacing w:before="0" w:after="160"/>
        <w:ind w:left="0" w:right="0" w:hanging="0"/>
        <w:rPr/>
      </w:pPr>
      <w:r>
        <w:rPr/>
        <w:t>​</w:t>
      </w:r>
    </w:p>
    <w:p>
      <w:pPr>
        <w:pStyle w:val="TextBody"/>
        <w:spacing w:before="0" w:after="16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22</w:t>
      </w:r>
    </w:p>
    <w:p>
      <w:pPr>
        <w:pStyle w:val="HorizontalLine"/>
        <w:rPr/>
      </w:pPr>
      <w:r>
        <w:rPr/>
      </w:r>
    </w:p>
    <w:p>
      <w:pPr>
        <w:pStyle w:val="TextBody"/>
        <w:spacing w:before="0" w:after="0"/>
        <w:ind w:left="0" w:right="0" w:hanging="0"/>
        <w:rPr/>
      </w:pPr>
      <w:r>
        <w:rPr/>
        <w:t>​</w:t>
      </w:r>
    </w:p>
    <w:p>
      <w:pPr>
        <w:pStyle w:val="TextBody"/>
        <w:spacing w:before="0" w:after="240"/>
        <w:ind w:left="0" w:right="0" w:hanging="0"/>
        <w:jc w:val="center"/>
        <w:rPr>
          <w:rFonts w:ascii="Times New Roman;Times;serif" w:hAnsi="Times New Roman;Times;serif"/>
          <w:b/>
          <w:sz w:val="24"/>
        </w:rPr>
      </w:pPr>
      <w:r>
        <w:rPr>
          <w:rFonts w:ascii="Times New Roman;Times;serif" w:hAnsi="Times New Roman;Times;serif"/>
          <w:b/>
          <w:sz w:val="24"/>
        </w:rPr>
        <w:t>EXHIBIT A</w:t>
      </w:r>
    </w:p>
    <w:p>
      <w:pPr>
        <w:pStyle w:val="TextBody"/>
        <w:spacing w:before="0" w:after="240"/>
        <w:ind w:left="0" w:right="0" w:hanging="0"/>
        <w:jc w:val="center"/>
        <w:rPr>
          <w:rFonts w:ascii="Times New Roman;Times;serif" w:hAnsi="Times New Roman;Times;serif"/>
          <w:b/>
          <w:sz w:val="24"/>
        </w:rPr>
      </w:pPr>
      <w:r>
        <w:rPr>
          <w:rFonts w:ascii="Times New Roman;Times;serif" w:hAnsi="Times New Roman;Times;serif"/>
          <w:b/>
          <w:sz w:val="24"/>
        </w:rPr>
        <w:t>LICENSED PRODUCTS, PACKAGING, SOP’S, ETC</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4"/>
        </w:rPr>
        <w:t>[</w:t>
      </w:r>
      <w:r>
        <w:rPr>
          <w:rFonts w:ascii="Times New Roman;Times;serif" w:hAnsi="Times New Roman;Times;serif"/>
          <w:i/>
          <w:sz w:val="24"/>
        </w:rPr>
        <w:t>intentionally omitted</w:t>
      </w:r>
      <w:r>
        <w:rPr>
          <w:rFonts w:ascii="Times New Roman;Times;serif" w:hAnsi="Times New Roman;Times;serif"/>
          <w:sz w:val="24"/>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23</w:t>
      </w:r>
    </w:p>
    <w:p>
      <w:pPr>
        <w:pStyle w:val="HorizontalLine"/>
        <w:rPr/>
      </w:pPr>
      <w:r>
        <w:rPr/>
      </w:r>
      <w:r>
        <w:br w:type="page"/>
      </w:r>
    </w:p>
    <w:p>
      <w:pPr>
        <w:pStyle w:val="TextBody"/>
        <w:spacing w:before="0" w:after="0"/>
        <w:ind w:left="0" w:right="0" w:hanging="0"/>
        <w:jc w:val="right"/>
        <w:rPr>
          <w:rFonts w:ascii="Times New Roman;Times;serif" w:hAnsi="Times New Roman;Times;serif"/>
          <w:b/>
          <w:sz w:val="24"/>
        </w:rPr>
      </w:pPr>
      <w:bookmarkStart w:id="1254" w:name="shwz-20221231xex10d29.htm"/>
      <w:bookmarkStart w:id="1255" w:name="ksshwz20221231xex10d29"/>
      <w:bookmarkEnd w:id="1254"/>
      <w:bookmarkEnd w:id="1255"/>
      <w:r>
        <w:rPr>
          <w:rFonts w:ascii="Times New Roman;Times;serif" w:hAnsi="Times New Roman;Times;serif"/>
          <w:b/>
          <w:sz w:val="24"/>
        </w:rPr>
        <w:t>Exhibit 10.29</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EMPLOYMENT AGREEMENT</w:t>
      </w:r>
    </w:p>
    <w:p>
      <w:pPr>
        <w:pStyle w:val="TextBody"/>
        <w:spacing w:before="0" w:after="0"/>
        <w:ind w:left="0" w:right="0" w:hanging="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4"/>
        </w:rPr>
        <w:t xml:space="preserve">THIS EMPLOYMENT AGREEMENT </w:t>
      </w:r>
      <w:r>
        <w:rPr>
          <w:rFonts w:ascii="Times New Roman;Times;serif" w:hAnsi="Times New Roman;Times;serif"/>
          <w:sz w:val="24"/>
        </w:rPr>
        <w:t xml:space="preserve">(the “Agreement”) is dated 02/15/2023 (“Effective Date”), by and between </w:t>
      </w:r>
      <w:r>
        <w:rPr>
          <w:rFonts w:ascii="Times New Roman;Times;serif" w:hAnsi="Times New Roman;Times;serif"/>
          <w:b/>
          <w:sz w:val="24"/>
        </w:rPr>
        <w:t>Christine Jones</w:t>
      </w:r>
      <w:r>
        <w:rPr>
          <w:rFonts w:ascii="Times New Roman;Times;serif" w:hAnsi="Times New Roman;Times;serif"/>
          <w:sz w:val="24"/>
        </w:rPr>
        <w:t xml:space="preserve">, an individual (hereinafter referred to as the “Employee”), and MEDICINE MAN TECHNOLOGIES, INC. </w:t>
      </w:r>
      <w:r>
        <w:rPr>
          <w:rFonts w:ascii="Times New Roman;Times;serif" w:hAnsi="Times New Roman;Times;serif"/>
          <w:b/>
          <w:sz w:val="24"/>
        </w:rPr>
        <w:t>(“</w:t>
      </w:r>
      <w:r>
        <w:rPr>
          <w:rFonts w:ascii="Times New Roman;Times;serif" w:hAnsi="Times New Roman;Times;serif"/>
          <w:sz w:val="24"/>
        </w:rPr>
        <w:t>MMT</w:t>
      </w:r>
      <w:r>
        <w:rPr>
          <w:rFonts w:ascii="Times New Roman;Times;serif" w:hAnsi="Times New Roman;Times;serif"/>
          <w:sz w:val="20"/>
        </w:rPr>
        <w:t>”</w:t>
      </w:r>
      <w:r>
        <w:rPr>
          <w:rFonts w:ascii="Times New Roman;Times;serif" w:hAnsi="Times New Roman;Times;serif"/>
          <w:b/>
          <w:sz w:val="24"/>
        </w:rPr>
        <w:t>)</w:t>
      </w:r>
      <w:r>
        <w:rPr>
          <w:rFonts w:ascii="Times New Roman;Times;serif" w:hAnsi="Times New Roman;Times;serif"/>
          <w:sz w:val="24"/>
        </w:rPr>
        <w:t>, a corporation duly organized under the laws of the state of Nevada and having its principal place of business at 4880 Havana Street, Suite 201 South, Denver, Colorado 80239 and its affiliates and subsidiaries (hereinafter referred to as the “Employer” or the “Company”). The existence of this Agreement will be announced publicly by MMT in MMT’s sole discretion.</w:t>
      </w:r>
    </w:p>
    <w:p>
      <w:pPr>
        <w:pStyle w:val="TextBody"/>
        <w:spacing w:before="0" w:after="0"/>
        <w:ind w:left="0" w:right="0" w:hanging="0"/>
        <w:jc w:val="both"/>
        <w:rPr/>
      </w:pPr>
      <w:r>
        <w:rPr/>
        <w:t>​</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W I T N E S S E T H:</w:t>
      </w:r>
    </w:p>
    <w:p>
      <w:pPr>
        <w:pStyle w:val="TextBody"/>
        <w:spacing w:before="0" w:after="0"/>
        <w:ind w:left="0" w:right="0" w:hanging="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4"/>
        </w:rPr>
        <w:t>WHEREAS</w:t>
      </w:r>
      <w:r>
        <w:rPr>
          <w:rFonts w:ascii="Times New Roman;Times;serif" w:hAnsi="Times New Roman;Times;serif"/>
          <w:sz w:val="24"/>
        </w:rPr>
        <w:t>, the Employer desires to employ the Employee as its Chief Legal Officer under the terms of this Agreement and the Employee desires to become employed by the Employer pursuant to the same, and;</w:t>
      </w:r>
    </w:p>
    <w:p>
      <w:pPr>
        <w:pStyle w:val="TextBody"/>
        <w:spacing w:before="0" w:after="0"/>
        <w:ind w:left="0" w:right="0" w:hanging="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4"/>
        </w:rPr>
        <w:t>WHEREAS</w:t>
      </w:r>
      <w:r>
        <w:rPr>
          <w:rFonts w:ascii="Times New Roman;Times;serif" w:hAnsi="Times New Roman;Times;serif"/>
          <w:sz w:val="24"/>
        </w:rPr>
        <w:t>, the Employee and the Employer desire to have their rights, obligations and duties specified herein.</w:t>
      </w:r>
    </w:p>
    <w:p>
      <w:pPr>
        <w:pStyle w:val="TextBody"/>
        <w:spacing w:before="0" w:after="0"/>
        <w:ind w:left="0" w:right="0" w:hanging="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4"/>
        </w:rPr>
        <w:t>NOW, THEREFORE,</w:t>
      </w:r>
      <w:r>
        <w:rPr>
          <w:rFonts w:ascii="Times New Roman;Times;serif" w:hAnsi="Times New Roman;Times;serif"/>
          <w:sz w:val="20"/>
        </w:rPr>
        <w:t xml:space="preserve"> </w:t>
      </w:r>
      <w:r>
        <w:rPr>
          <w:rFonts w:ascii="Times New Roman;Times;serif" w:hAnsi="Times New Roman;Times;serif"/>
          <w:sz w:val="24"/>
        </w:rPr>
        <w:t>in consideration of the mutual covenants contained herein, the parties hereto agree as follows:</w:t>
      </w:r>
    </w:p>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153"/>
        <w:gridCol w:w="10052"/>
      </w:tblGrid>
      <w:tr>
        <w:trPr/>
        <w:tc>
          <w:tcPr>
            <w:tcW w:w="153"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1.</w:t>
            </w:r>
          </w:p>
        </w:tc>
        <w:tc>
          <w:tcPr>
            <w:tcW w:w="10052"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b/>
                <w:sz w:val="24"/>
              </w:rPr>
              <w:t>EMPLOYMENT.</w:t>
            </w:r>
            <w:r>
              <w:rPr>
                <w:rFonts w:ascii="Times New Roman;Times;serif" w:hAnsi="Times New Roman;Times;serif"/>
                <w:sz w:val="20"/>
              </w:rPr>
              <w:t xml:space="preserve"> </w:t>
            </w:r>
            <w:r>
              <w:rPr>
                <w:rFonts w:ascii="Times New Roman;Times;serif" w:hAnsi="Times New Roman;Times;serif"/>
                <w:sz w:val="24"/>
              </w:rPr>
              <w:t>Upon execution of this Agreement Employee shall become a full-time employee of Employer and shall devote a reasonable amount of his/her time necessary to properly effectuate the duties and obligations included herein to the benefit of the Employer. During the term of Employee’s employment with the Company, Employee shall report directly to the Company’s President.</w:t>
            </w:r>
          </w:p>
        </w:tc>
      </w:tr>
    </w:tbl>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174"/>
        <w:gridCol w:w="10031"/>
      </w:tblGrid>
      <w:tr>
        <w:trPr/>
        <w:tc>
          <w:tcPr>
            <w:tcW w:w="174"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2.</w:t>
            </w:r>
          </w:p>
        </w:tc>
        <w:tc>
          <w:tcPr>
            <w:tcW w:w="10031"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b/>
                <w:sz w:val="24"/>
              </w:rPr>
              <w:t xml:space="preserve">TERM. </w:t>
            </w:r>
            <w:r>
              <w:rPr>
                <w:rFonts w:ascii="Times New Roman;Times;serif" w:hAnsi="Times New Roman;Times;serif"/>
                <w:sz w:val="24"/>
              </w:rPr>
              <w:t>The Employee’s employment hereunder shall be effective as of the date of this Agreement and shall continue unless terminated pursuant to Section 4 of this Agreement.</w:t>
            </w:r>
          </w:p>
        </w:tc>
      </w:tr>
    </w:tbl>
    <w:p>
      <w:pPr>
        <w:pStyle w:val="TextBody"/>
        <w:pBdr/>
        <w:spacing w:before="0" w:after="0"/>
        <w:ind w:left="0" w:right="0" w:hanging="720"/>
        <w:jc w:val="both"/>
        <w:rPr/>
      </w:pPr>
      <w:r>
        <w:rPr/>
        <w:t>​</w:t>
      </w:r>
    </w:p>
    <w:tbl>
      <w:tblPr>
        <w:tblW w:w="2290" w:type="dxa"/>
        <w:jc w:val="left"/>
        <w:tblInd w:w="0" w:type="dxa"/>
        <w:tblCellMar>
          <w:top w:w="0" w:type="dxa"/>
          <w:left w:w="0" w:type="dxa"/>
          <w:bottom w:w="0" w:type="dxa"/>
          <w:right w:w="0" w:type="dxa"/>
        </w:tblCellMar>
      </w:tblPr>
      <w:tblGrid>
        <w:gridCol w:w="200"/>
        <w:gridCol w:w="2090"/>
      </w:tblGrid>
      <w:tr>
        <w:trPr/>
        <w:tc>
          <w:tcPr>
            <w:tcW w:w="200"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3.</w:t>
            </w:r>
          </w:p>
        </w:tc>
        <w:tc>
          <w:tcPr>
            <w:tcW w:w="2090"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b/>
                <w:sz w:val="24"/>
              </w:rPr>
              <w:t>COMPENSATION</w:t>
            </w:r>
            <w:r>
              <w:rPr>
                <w:rFonts w:ascii="Times New Roman;Times;serif" w:hAnsi="Times New Roman;Times;serif"/>
                <w:sz w:val="24"/>
              </w:rPr>
              <w:t>.</w:t>
            </w:r>
          </w:p>
        </w:tc>
      </w:tr>
    </w:tbl>
    <w:p>
      <w:pPr>
        <w:pStyle w:val="TextBody"/>
        <w:spacing w:before="0" w:after="0"/>
        <w:ind w:left="0" w:right="0" w:firstLine="1440"/>
        <w:jc w:val="both"/>
        <w:rPr/>
      </w:pPr>
      <w:r>
        <w:rPr/>
        <w:t>​</w:t>
      </w:r>
    </w:p>
    <w:tbl>
      <w:tblPr>
        <w:tblW w:w="10205" w:type="dxa"/>
        <w:jc w:val="left"/>
        <w:tblInd w:w="0" w:type="dxa"/>
        <w:tblCellMar>
          <w:top w:w="0" w:type="dxa"/>
          <w:left w:w="0" w:type="dxa"/>
          <w:bottom w:w="0" w:type="dxa"/>
          <w:right w:w="0" w:type="dxa"/>
        </w:tblCellMar>
      </w:tblPr>
      <w:tblGrid>
        <w:gridCol w:w="23"/>
        <w:gridCol w:w="185"/>
        <w:gridCol w:w="9997"/>
      </w:tblGrid>
      <w:tr>
        <w:trPr/>
        <w:tc>
          <w:tcPr>
            <w:tcW w:w="2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a.</w:t>
            </w:r>
          </w:p>
        </w:tc>
        <w:tc>
          <w:tcPr>
            <w:tcW w:w="9997"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Employer agrees to pay to the Employee during the Term of this Agreement, a base gross salary of $225,000.00 per annum (“Base Salary”), payable in equal installments on a bi-weekly basis, due and payable on those days of the month where Employer customarily makes salary payments to its other employees. Employer shall be responsible for deduction from each salary payment tendered to Employee herein all applicable withholding and other employment taxes imposed by state and federal tax regulations. The Employer may periodically increase Employee’s annual Base Salary at its sole discretion.</w:t>
            </w:r>
          </w:p>
        </w:tc>
      </w:tr>
    </w:tbl>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b.</w:t>
            </w:r>
          </w:p>
        </w:tc>
        <w:tc>
          <w:tcPr>
            <w:tcW w:w="9982"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The Company grants to Employee, effective as of the date of this Agreement (the “Date of Grant”), the option to purchase all or any part of three hundred thousand (300,000) shares of the common stock of the Company (the “Common Stock”) at a purchase price that shall equal the closing price of the Company’s Common Stock as</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1</w:t>
      </w:r>
    </w:p>
    <w:p>
      <w:pPr>
        <w:pStyle w:val="HorizontalLine"/>
        <w:rPr/>
      </w:pPr>
      <w:r>
        <w:rPr/>
      </w:r>
    </w:p>
    <w:p>
      <w:pPr>
        <w:pStyle w:val="TextBody"/>
        <w:spacing w:before="0" w:after="0"/>
        <w:ind w:left="0" w:right="0" w:hanging="0"/>
        <w:rPr/>
      </w:pPr>
      <w:r>
        <w:rPr/>
        <w:t>​</w:t>
      </w:r>
    </w:p>
    <w:p>
      <w:pPr>
        <w:pStyle w:val="TextBody"/>
        <w:spacing w:before="0" w:after="0"/>
        <w:ind w:left="1440" w:right="0" w:hanging="0"/>
        <w:jc w:val="both"/>
        <w:rPr>
          <w:rFonts w:ascii="Times New Roman;Times;serif" w:hAnsi="Times New Roman;Times;serif"/>
          <w:sz w:val="24"/>
        </w:rPr>
      </w:pPr>
      <w:r>
        <w:rPr>
          <w:rFonts w:ascii="Times New Roman;Times;serif" w:hAnsi="Times New Roman;Times;serif"/>
          <w:sz w:val="24"/>
        </w:rPr>
        <w:t>reported on the trading market in which the Common Stock trades on the Date of Grant (the “Option”). The Option shall vest and become exercisable in accordance with the following vesting schedule: (i) 75,000 shares of Common Stock subject to the Option will vest and become exercisable on the first anniversary of the Effective Date of the Agreement; (ii) an additional 75,000 shares of Common Stock subject to the Option will vest and become exercisable on the second anniversary of the Effective Date of the Agreement; (iii) an additional 75,000 shares of Common Stock subject to the Option will vest and become exercisable on the third anniversary of the Effective Date of the Agreement and (iv) the remaining 75,000 shares of Common Stock subject to the Option will vest and become exercisable on the fourth anniversary of the Effective Date of the Agreement, such that the Option shall be fully vested as of such date.</w:t>
      </w:r>
    </w:p>
    <w:p>
      <w:pPr>
        <w:pStyle w:val="TextBody"/>
        <w:pBdr/>
        <w:spacing w:before="0" w:after="1"/>
        <w:ind w:left="0" w:right="0" w:hanging="630"/>
        <w:jc w:val="both"/>
        <w:rPr/>
      </w:pPr>
      <w:r>
        <w:rPr/>
        <w:t>​</w:t>
      </w:r>
    </w:p>
    <w:tbl>
      <w:tblPr>
        <w:tblW w:w="10205" w:type="dxa"/>
        <w:jc w:val="left"/>
        <w:tblInd w:w="0" w:type="dxa"/>
        <w:tblCellMar>
          <w:top w:w="0" w:type="dxa"/>
          <w:left w:w="0" w:type="dxa"/>
          <w:bottom w:w="0" w:type="dxa"/>
          <w:right w:w="0" w:type="dxa"/>
        </w:tblCellMar>
      </w:tblPr>
      <w:tblGrid>
        <w:gridCol w:w="23"/>
        <w:gridCol w:w="185"/>
        <w:gridCol w:w="9997"/>
      </w:tblGrid>
      <w:tr>
        <w:trPr/>
        <w:tc>
          <w:tcPr>
            <w:tcW w:w="2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c.</w:t>
            </w:r>
          </w:p>
        </w:tc>
        <w:tc>
          <w:tcPr>
            <w:tcW w:w="9997"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Notwithstanding the vesting schedule and conditions set forth above, 100% of the 300,000 shares of Common Stock subject to the Option shall vest and become exercisable in the event of a “Change in Control.” For purposes of this Agreement, “Change in Control” means (i) the purchase or other acquisition (other than from the Company) by any person, entity or group of persons, within the meaning of Section 13(d) or 14(d) of the Securities Exchange Act of 1934, as amended (the “Act”) (excluding for this purpose, the Company or its subsidiaries or any employee benefit plan of the Company or its Subsidiaries), of beneficial ownership (within the meaning of Rule 13d-3 promulgated under the Act) of 50% or more of either the then-outstanding shares of Common Stock of the Company or the combined voting power of the Company’s then-outstanding voting securities entitled to vote generally in the election of directors; or (ii) approval by the stockholders of the company of a reorganization, merger or consolidation, in each case with respect to which persons who were the stockholders of the Company immediately prior to such reorganization, merger or consolidation do not, immediately thereafter, own more than 50% of, respectively, the Common Stock and the combined voting power entitled to vote generally in the election of directors of the reorganized, merged or consolidated corporation’s then-outstanding voting securities, or of a liquidation or dissolution of the Company’s or of the sale of all or substantially all of the assets of the Company.</w:t>
            </w:r>
          </w:p>
        </w:tc>
      </w:tr>
    </w:tbl>
    <w:p>
      <w:pPr>
        <w:pStyle w:val="TextBody"/>
        <w:pBdr/>
        <w:spacing w:before="0" w:after="0"/>
        <w:ind w:left="810" w:right="0" w:hanging="630"/>
        <w:jc w:val="both"/>
        <w:rPr/>
      </w:pPr>
      <w:r>
        <w:rPr/>
        <w:t>​</w:t>
      </w:r>
    </w:p>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d.</w:t>
            </w:r>
          </w:p>
        </w:tc>
        <w:tc>
          <w:tcPr>
            <w:tcW w:w="9982"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All shares of Common Stock issued pursuant to the Option to the Employee under this Agreement may be liquidated at a daily rate of no more than 5% of the preceding five (5) day average volume of the Company’s Common Stock on any given trading day. Notwithstanding the foregoing, the limits under this leak-out provision do not apply in the event of a Change in Control of the Company.</w:t>
            </w:r>
          </w:p>
        </w:tc>
      </w:tr>
    </w:tbl>
    <w:p>
      <w:pPr>
        <w:pStyle w:val="TextBody"/>
        <w:pBdr/>
        <w:spacing w:before="0" w:after="0"/>
        <w:ind w:left="810" w:right="0" w:hanging="630"/>
        <w:jc w:val="both"/>
        <w:rPr/>
      </w:pPr>
      <w:r>
        <w:rPr/>
        <w:t>​</w:t>
      </w:r>
    </w:p>
    <w:tbl>
      <w:tblPr>
        <w:tblW w:w="10205" w:type="dxa"/>
        <w:jc w:val="left"/>
        <w:tblInd w:w="0" w:type="dxa"/>
        <w:tblCellMar>
          <w:top w:w="0" w:type="dxa"/>
          <w:left w:w="0" w:type="dxa"/>
          <w:bottom w:w="0" w:type="dxa"/>
          <w:right w:w="0" w:type="dxa"/>
        </w:tblCellMar>
      </w:tblPr>
      <w:tblGrid>
        <w:gridCol w:w="23"/>
        <w:gridCol w:w="185"/>
        <w:gridCol w:w="9997"/>
      </w:tblGrid>
      <w:tr>
        <w:trPr/>
        <w:tc>
          <w:tcPr>
            <w:tcW w:w="2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e.</w:t>
            </w:r>
          </w:p>
        </w:tc>
        <w:tc>
          <w:tcPr>
            <w:tcW w:w="9997"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During the term of the Agreement, the Employee shall be eligible to participate in Company-established incentive, stock purchase, savings, retirement (401(k)), and welfare benefit plans, including, without limitation, group health, medical, dental, vision, life and disability insurance plans, in the same manner and at the same levels as the Company makes such opportunities available to the Company’s senior executive level employees.</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rPr/>
      </w:pPr>
      <w:r>
        <w:rPr/>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55"/>
        <w:gridCol w:w="10027"/>
      </w:tblGrid>
      <w:tr>
        <w:trPr/>
        <w:tc>
          <w:tcPr>
            <w:tcW w:w="2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f.</w:t>
            </w:r>
          </w:p>
        </w:tc>
        <w:tc>
          <w:tcPr>
            <w:tcW w:w="10027"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Employee shall be entitled to the Company’s Flexible PTO program and follow the Corporate Holiday Schedule, which is published at the beginning of each calendar year. Such PTO shall be taken at such time or times as will be mutually agreed-upon between the Employee and the Company.</w:t>
            </w:r>
          </w:p>
        </w:tc>
      </w:tr>
    </w:tbl>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g.</w:t>
            </w:r>
          </w:p>
        </w:tc>
        <w:tc>
          <w:tcPr>
            <w:tcW w:w="9982"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On or about December 18, 2020, the Board established a new 2021 Bonus Plan (the “Bonus Plan”), which applies to the Employee. Under the Bonus Plan, Employee may earn a target cash bonus of 50% of their base salary with a maximum bonus of 75% of base salary adjusted or otherwise.</w:t>
            </w:r>
          </w:p>
        </w:tc>
      </w:tr>
    </w:tbl>
    <w:p>
      <w:pPr>
        <w:pStyle w:val="TextBody"/>
        <w:pBdr/>
        <w:spacing w:before="0" w:after="0"/>
        <w:ind w:left="810" w:right="0" w:hanging="630"/>
        <w:jc w:val="both"/>
        <w:rPr/>
      </w:pPr>
      <w:r>
        <w:rPr/>
        <w:t>​</w:t>
      </w:r>
    </w:p>
    <w:p>
      <w:pPr>
        <w:pStyle w:val="TextBody"/>
        <w:spacing w:before="0" w:after="0"/>
        <w:ind w:left="720" w:right="0" w:firstLine="720"/>
        <w:jc w:val="both"/>
        <w:rPr>
          <w:rFonts w:ascii="Times New Roman;Times;serif" w:hAnsi="Times New Roman;Times;serif"/>
          <w:sz w:val="24"/>
        </w:rPr>
      </w:pPr>
      <w:r>
        <w:rPr>
          <w:rFonts w:ascii="Times New Roman;Times;serif" w:hAnsi="Times New Roman;Times;serif"/>
          <w:sz w:val="24"/>
        </w:rPr>
        <w:t>During the Term, Employee acknowledges and agrees to comply with the terms and conditions in the attached Exhibit B, Insider Trading Acknowledgement.</w:t>
      </w:r>
    </w:p>
    <w:p>
      <w:pPr>
        <w:pStyle w:val="TextBody"/>
        <w:spacing w:before="0" w:after="0"/>
        <w:ind w:left="0" w:right="0" w:hanging="0"/>
        <w:jc w:val="both"/>
        <w:rPr/>
      </w:pPr>
      <w:r>
        <w:rPr/>
        <w:t>​</w:t>
      </w:r>
    </w:p>
    <w:tbl>
      <w:tblPr>
        <w:tblW w:w="2080" w:type="dxa"/>
        <w:jc w:val="left"/>
        <w:tblInd w:w="0" w:type="dxa"/>
        <w:tblCellMar>
          <w:top w:w="0" w:type="dxa"/>
          <w:left w:w="0" w:type="dxa"/>
          <w:bottom w:w="0" w:type="dxa"/>
          <w:right w:w="0" w:type="dxa"/>
        </w:tblCellMar>
      </w:tblPr>
      <w:tblGrid>
        <w:gridCol w:w="200"/>
        <w:gridCol w:w="1880"/>
      </w:tblGrid>
      <w:tr>
        <w:trPr/>
        <w:tc>
          <w:tcPr>
            <w:tcW w:w="200"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4.</w:t>
            </w:r>
          </w:p>
        </w:tc>
        <w:tc>
          <w:tcPr>
            <w:tcW w:w="1880"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b/>
                <w:sz w:val="24"/>
              </w:rPr>
              <w:t>TERMINATION</w:t>
            </w:r>
            <w:r>
              <w:rPr>
                <w:rFonts w:ascii="Times New Roman;Times;serif" w:hAnsi="Times New Roman;Times;serif"/>
                <w:sz w:val="24"/>
              </w:rPr>
              <w:t>.</w:t>
            </w:r>
          </w:p>
        </w:tc>
      </w:tr>
    </w:tbl>
    <w:p>
      <w:pPr>
        <w:pStyle w:val="TextBody"/>
        <w:spacing w:before="0" w:after="0"/>
        <w:ind w:left="0" w:right="0" w:firstLine="720"/>
        <w:jc w:val="both"/>
        <w:rPr/>
      </w:pPr>
      <w:r>
        <w:rPr/>
        <w:t>​</w:t>
      </w:r>
    </w:p>
    <w:tbl>
      <w:tblPr>
        <w:tblW w:w="8448" w:type="dxa"/>
        <w:jc w:val="left"/>
        <w:tblInd w:w="0" w:type="dxa"/>
        <w:tblCellMar>
          <w:top w:w="0" w:type="dxa"/>
          <w:left w:w="0" w:type="dxa"/>
          <w:bottom w:w="0" w:type="dxa"/>
          <w:right w:w="0" w:type="dxa"/>
        </w:tblCellMar>
      </w:tblPr>
      <w:tblGrid>
        <w:gridCol w:w="23"/>
        <w:gridCol w:w="185"/>
        <w:gridCol w:w="8240"/>
      </w:tblGrid>
      <w:tr>
        <w:trPr/>
        <w:tc>
          <w:tcPr>
            <w:tcW w:w="2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a.</w:t>
            </w:r>
          </w:p>
        </w:tc>
        <w:tc>
          <w:tcPr>
            <w:tcW w:w="8240"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This Agreement may be terminated upon the happening of any of the following events:</w:t>
            </w:r>
          </w:p>
        </w:tc>
      </w:tr>
    </w:tbl>
    <w:p>
      <w:pPr>
        <w:pStyle w:val="TextBody"/>
        <w:spacing w:before="0" w:after="0"/>
        <w:ind w:left="0" w:right="0" w:hanging="0"/>
        <w:jc w:val="both"/>
        <w:rPr/>
      </w:pPr>
      <w:r>
        <w:rPr/>
        <w:t>​</w:t>
      </w:r>
    </w:p>
    <w:tbl>
      <w:tblPr>
        <w:tblW w:w="8613" w:type="dxa"/>
        <w:jc w:val="left"/>
        <w:tblInd w:w="0" w:type="dxa"/>
        <w:tblCellMar>
          <w:top w:w="0" w:type="dxa"/>
          <w:left w:w="0" w:type="dxa"/>
          <w:bottom w:w="0" w:type="dxa"/>
          <w:right w:w="0" w:type="dxa"/>
        </w:tblCellMar>
      </w:tblPr>
      <w:tblGrid>
        <w:gridCol w:w="23"/>
        <w:gridCol w:w="140"/>
        <w:gridCol w:w="8450"/>
      </w:tblGrid>
      <w:tr>
        <w:trPr/>
        <w:tc>
          <w:tcPr>
            <w:tcW w:w="23"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i.</w:t>
            </w:r>
          </w:p>
        </w:tc>
        <w:tc>
          <w:tcPr>
            <w:tcW w:w="8450"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Whenever the Employer and the Employee shall mutually agree to termination in writing;</w:t>
            </w:r>
          </w:p>
        </w:tc>
      </w:tr>
    </w:tbl>
    <w:p>
      <w:pPr>
        <w:pStyle w:val="TextBody"/>
        <w:spacing w:before="0" w:after="0"/>
        <w:ind w:left="2160" w:right="0" w:hanging="0"/>
        <w:jc w:val="both"/>
        <w:rPr/>
      </w:pPr>
      <w:r>
        <w:rPr/>
        <w:t>​</w:t>
      </w:r>
    </w:p>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ii.</w:t>
            </w:r>
          </w:p>
        </w:tc>
        <w:tc>
          <w:tcPr>
            <w:tcW w:w="9982"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Employer may at any time during the term of employment, by written notice, terminate this Agreement and discharge the Employee for Cause (as defined below), whereupon Employer’s obligation to pay all compensation and other benefits (including Severance amounts, insurance coverage, medical and hospitalization plan benefits and management incentive plan payments, if any, under this Agreement) shall cease as of the date of termination, unless determined otherwise by the Board of Directors.</w:t>
            </w:r>
          </w:p>
        </w:tc>
      </w:tr>
    </w:tbl>
    <w:p>
      <w:pPr>
        <w:pStyle w:val="TextBody"/>
        <w:spacing w:before="0" w:after="0"/>
        <w:ind w:left="2160" w:right="0" w:hanging="0"/>
        <w:jc w:val="both"/>
        <w:rPr/>
      </w:pPr>
      <w:r>
        <w:rPr/>
        <w:t>​</w:t>
      </w:r>
    </w:p>
    <w:p>
      <w:pPr>
        <w:pStyle w:val="TextBody"/>
        <w:spacing w:before="0" w:after="0"/>
        <w:ind w:left="2160" w:right="0" w:firstLine="720"/>
        <w:jc w:val="both"/>
        <w:rPr>
          <w:rFonts w:ascii="Times New Roman;Times;serif" w:hAnsi="Times New Roman;Times;serif"/>
          <w:sz w:val="24"/>
        </w:rPr>
      </w:pPr>
      <w:r>
        <w:rPr>
          <w:rFonts w:ascii="Times New Roman;Times;serif" w:hAnsi="Times New Roman;Times;serif"/>
          <w:sz w:val="24"/>
        </w:rPr>
        <w:t>As used herein, termination for Cause shall mean the Employee has (a) committed an act constituting dereliction of duties or gross negligence; (b) committed a material breach of any provision of this Agreement or any obligation to the Company that, if curable, has not been cured by Employee within thirty (30) days of written notice from the Company describing such breach in reasonable detail; (c) engaged in dishonest, illegal conduct or misconduct which in each case has a material and adverse impact on the reputation, business, business relationships, financial condition or economic prospects of the Company; (d) refused, after notice thereof, to perform specific lawful directives of the Chief Executive Officer; (e) failed to comply with the Company’s written policies or rules during the term of this Agreement; (f) misappropriation by the Employee of any money or other assets or properties of the Company or its subsidiaries outside of his/her specific purview; (g) the willful and unauthorized disclosure by the Employee of any Company trade secrets or financial information or data which has resulted, or is likely to result, in material and demonstrable damage to Employer ; (h) breach of the terms of any NDA entered into as of the date of this Agreement (i) the commission by the Employee of an act constituting a conflict of interest; (j) in the event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rPr/>
      </w:pPr>
      <w:r>
        <w:rPr/>
      </w:r>
    </w:p>
    <w:p>
      <w:pPr>
        <w:pStyle w:val="TextBody"/>
        <w:spacing w:before="0" w:after="0"/>
        <w:ind w:left="0" w:right="0" w:hanging="0"/>
        <w:rPr/>
      </w:pPr>
      <w:r>
        <w:rPr/>
        <w:t>​</w:t>
      </w:r>
    </w:p>
    <w:p>
      <w:pPr>
        <w:pStyle w:val="TextBody"/>
        <w:spacing w:before="0" w:after="0"/>
        <w:ind w:left="2160" w:right="0" w:hanging="0"/>
        <w:jc w:val="both"/>
        <w:rPr>
          <w:rFonts w:ascii="Times New Roman;Times;serif" w:hAnsi="Times New Roman;Times;serif"/>
          <w:sz w:val="24"/>
        </w:rPr>
      </w:pPr>
      <w:r>
        <w:rPr>
          <w:rFonts w:ascii="Times New Roman;Times;serif" w:hAnsi="Times New Roman;Times;serif"/>
          <w:sz w:val="24"/>
        </w:rPr>
        <w:t>Employee becomes aware of any dishonest activities of any other employee of the Employer and Employee fails to undertake proper and sufficient actions to protect the Employer therefrom; (k) been convicted of or entered a plea of guilty or nolo contendere to a crime that constitutes a felony (or state law equivalent) or a crime that constitutes a misdemeanor involving moral turpitude, if such felony or other crime is work-related, materially impairs the Employee’s ability to perform services for the Company or results in material/reputational or financial harm to the Company or its affiliates.</w:t>
      </w:r>
    </w:p>
    <w:p>
      <w:pPr>
        <w:pStyle w:val="TextBody"/>
        <w:spacing w:before="0" w:after="0"/>
        <w:ind w:left="2160" w:right="0" w:firstLine="720"/>
        <w:jc w:val="both"/>
        <w:rPr/>
      </w:pPr>
      <w:r>
        <w:rPr/>
        <w:t>​</w:t>
      </w:r>
    </w:p>
    <w:tbl>
      <w:tblPr>
        <w:tblW w:w="10205" w:type="dxa"/>
        <w:jc w:val="left"/>
        <w:tblInd w:w="0" w:type="dxa"/>
        <w:tblCellMar>
          <w:top w:w="0" w:type="dxa"/>
          <w:left w:w="0" w:type="dxa"/>
          <w:bottom w:w="0" w:type="dxa"/>
          <w:right w:w="0" w:type="dxa"/>
        </w:tblCellMar>
      </w:tblPr>
      <w:tblGrid>
        <w:gridCol w:w="23"/>
        <w:gridCol w:w="260"/>
        <w:gridCol w:w="9922"/>
      </w:tblGrid>
      <w:tr>
        <w:trPr/>
        <w:tc>
          <w:tcPr>
            <w:tcW w:w="23"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iii.</w:t>
            </w:r>
          </w:p>
        </w:tc>
        <w:tc>
          <w:tcPr>
            <w:tcW w:w="9922"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4"/>
              </w:rPr>
              <w:t>Upon termination</w:t>
            </w:r>
            <w:r>
              <w:rPr>
                <w:rFonts w:ascii="Times New Roman;Times;serif" w:hAnsi="Times New Roman;Times;serif"/>
                <w:sz w:val="20"/>
              </w:rPr>
              <w:t xml:space="preserve"> </w:t>
            </w:r>
            <w:r>
              <w:rPr>
                <w:rFonts w:ascii="Times New Roman;Times;serif" w:hAnsi="Times New Roman;Times;serif"/>
                <w:sz w:val="24"/>
              </w:rPr>
              <w:t>without Cause, the Employee shall be entitled to the following: (A) twelve (12)</w:t>
            </w:r>
            <w:r>
              <w:rPr>
                <w:rFonts w:ascii="Times New Roman;Times;serif" w:hAnsi="Times New Roman;Times;serif"/>
                <w:sz w:val="20"/>
              </w:rPr>
              <w:t xml:space="preserve"> </w:t>
            </w:r>
            <w:r>
              <w:rPr>
                <w:rFonts w:ascii="Times New Roman;Times;serif" w:hAnsi="Times New Roman;Times;serif"/>
                <w:sz w:val="24"/>
              </w:rPr>
              <w:t>months of base gross salary payable in accordance with the normal payroll practice of the Company as if such Employee was employed by the Company during such</w:t>
            </w:r>
            <w:r>
              <w:rPr>
                <w:rFonts w:ascii="Times New Roman;Times;serif" w:hAnsi="Times New Roman;Times;serif"/>
                <w:sz w:val="20"/>
              </w:rPr>
              <w:t xml:space="preserve"> </w:t>
            </w:r>
            <w:r>
              <w:rPr>
                <w:rFonts w:ascii="Times New Roman;Times;serif" w:hAnsi="Times New Roman;Times;serif"/>
                <w:sz w:val="24"/>
              </w:rPr>
              <w:t>twelve (12)</w:t>
            </w:r>
            <w:r>
              <w:rPr>
                <w:rFonts w:ascii="Times New Roman;Times;serif" w:hAnsi="Times New Roman;Times;serif"/>
                <w:sz w:val="20"/>
              </w:rPr>
              <w:t xml:space="preserve"> </w:t>
            </w:r>
            <w:r>
              <w:rPr>
                <w:rFonts w:ascii="Times New Roman;Times;serif" w:hAnsi="Times New Roman;Times;serif"/>
                <w:sz w:val="24"/>
              </w:rPr>
              <w:t>months; (B) any earned but unpaid bonus; (C) the number of shares of Common Stock subject to the Option that would have vested, had the Employee maintained employment with the Company, through the subsequent anniversary date following the date on which the termination without Cause occurred; and (D) provide or reimburse Employee during the 12-month period for the same or substantially the same medical, dental, long-term disability and life insurance pursuant to Section 3(e) to which Employee was entitled hereunder as of the date of termination, provided, however, that in the case of such medical and dental insurance, that Employee makes a timely election for continuation coverage under COBRA. Together (A), (B), (C) and (D) are “Severance”.</w:t>
            </w:r>
          </w:p>
        </w:tc>
      </w:tr>
    </w:tbl>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b.</w:t>
            </w:r>
          </w:p>
        </w:tc>
        <w:tc>
          <w:tcPr>
            <w:tcW w:w="9982"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Upon termination for Cause, the Employee shall not be entitled to receive any benefits of Severance pay, unless determined otherwise by the Company.</w:t>
            </w:r>
          </w:p>
        </w:tc>
      </w:tr>
    </w:tbl>
    <w:p>
      <w:pPr>
        <w:pStyle w:val="TextBody"/>
        <w:pBdr/>
        <w:spacing w:before="0" w:after="0"/>
        <w:ind w:left="720" w:right="0" w:hanging="630"/>
        <w:jc w:val="both"/>
        <w:rPr/>
      </w:pPr>
      <w:r>
        <w:rPr/>
        <w:t>​</w:t>
      </w:r>
    </w:p>
    <w:tbl>
      <w:tblPr>
        <w:tblW w:w="10205" w:type="dxa"/>
        <w:jc w:val="left"/>
        <w:tblInd w:w="0" w:type="dxa"/>
        <w:tblCellMar>
          <w:top w:w="0" w:type="dxa"/>
          <w:left w:w="0" w:type="dxa"/>
          <w:bottom w:w="0" w:type="dxa"/>
          <w:right w:w="0" w:type="dxa"/>
        </w:tblCellMar>
      </w:tblPr>
      <w:tblGrid>
        <w:gridCol w:w="23"/>
        <w:gridCol w:w="185"/>
        <w:gridCol w:w="9997"/>
      </w:tblGrid>
      <w:tr>
        <w:trPr/>
        <w:tc>
          <w:tcPr>
            <w:tcW w:w="2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c.</w:t>
            </w:r>
          </w:p>
        </w:tc>
        <w:tc>
          <w:tcPr>
            <w:tcW w:w="9997"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In the event the Employee decides to leave the employ of the Employer; the Employee agrees to give to the Employer at least thirty (30) days advance written notice of the date of his/her last day of employment.</w:t>
            </w:r>
          </w:p>
        </w:tc>
      </w:tr>
    </w:tbl>
    <w:p>
      <w:pPr>
        <w:pStyle w:val="TextBody"/>
        <w:spacing w:before="0" w:after="0"/>
        <w:ind w:left="0" w:right="0" w:hanging="0"/>
        <w:jc w:val="both"/>
        <w:rPr/>
      </w:pPr>
      <w:r>
        <w:rPr/>
        <w:t>​</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5.</w:t>
      </w:r>
      <w:r>
        <w:rPr>
          <w:rFonts w:ascii="Times New Roman;Times;serif" w:hAnsi="Times New Roman;Times;serif"/>
          <w:b/>
          <w:sz w:val="24"/>
        </w:rPr>
        <w:t>RECORDS</w:t>
      </w:r>
      <w:r>
        <w:rPr>
          <w:rFonts w:ascii="Times New Roman;Times;serif" w:hAnsi="Times New Roman;Times;serif"/>
          <w:sz w:val="24"/>
        </w:rPr>
        <w:t>.</w:t>
      </w:r>
    </w:p>
    <w:p>
      <w:pPr>
        <w:pStyle w:val="TextBody"/>
        <w:pBdr/>
        <w:spacing w:before="0" w:after="0"/>
        <w:ind w:left="0" w:right="0" w:hanging="810"/>
        <w:jc w:val="both"/>
        <w:rPr/>
      </w:pPr>
      <w:r>
        <w:rPr/>
        <w:t>​</w:t>
      </w:r>
    </w:p>
    <w:p>
      <w:pPr>
        <w:pStyle w:val="TextBody"/>
        <w:spacing w:before="0" w:after="0"/>
        <w:ind w:left="720" w:right="0" w:firstLine="720"/>
        <w:jc w:val="both"/>
        <w:rPr>
          <w:rFonts w:ascii="Times New Roman;Times;serif" w:hAnsi="Times New Roman;Times;serif"/>
          <w:sz w:val="24"/>
        </w:rPr>
      </w:pPr>
      <w:r>
        <w:rPr>
          <w:rFonts w:ascii="Times New Roman;Times;serif" w:hAnsi="Times New Roman;Times;serif"/>
          <w:sz w:val="24"/>
        </w:rPr>
        <w:t>Upon termination of this Agreement, Employee shall not be entitled to keep or preserve records of the Employer. Employee hereby acknowledges a duty to Employer to cause to be kept and maintained accurate records of the Employer’s business. The Employee shall at any time be entitled to receive copies of his/her personnel files with ten (10) days’ notice to the Employer, noting that should this provision be utilized only the most recent files not provided in any earlier request shall be provided. This prohibition does not include any relevant employee files or records of the employee.</w:t>
      </w:r>
    </w:p>
    <w:p>
      <w:pPr>
        <w:pStyle w:val="TextBody"/>
        <w:spacing w:before="0" w:after="0"/>
        <w:ind w:left="810" w:right="0" w:firstLine="630"/>
        <w:jc w:val="both"/>
        <w:rPr/>
      </w:pPr>
      <w:r>
        <w:rPr/>
        <w:t>​</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6.</w:t>
      </w:r>
      <w:r>
        <w:rPr>
          <w:rFonts w:ascii="Times New Roman;Times;serif" w:hAnsi="Times New Roman;Times;serif"/>
          <w:b/>
          <w:sz w:val="24"/>
        </w:rPr>
        <w:t>NON-SOLICITATION/NON-COMPETE.</w:t>
      </w:r>
    </w:p>
    <w:p>
      <w:pPr>
        <w:pStyle w:val="TextBody"/>
        <w:spacing w:before="0" w:after="0"/>
        <w:ind w:left="0" w:right="0" w:hanging="0"/>
        <w:jc w:val="both"/>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HorizontalLine"/>
        <w:rPr/>
      </w:pPr>
      <w:r>
        <w:rPr/>
      </w:r>
    </w:p>
    <w:p>
      <w:pPr>
        <w:pStyle w:val="TextBody"/>
        <w:spacing w:before="0" w:after="0"/>
        <w:ind w:left="0" w:right="0" w:hanging="0"/>
        <w:rPr/>
      </w:pPr>
      <w:r>
        <w:rPr/>
        <w:t>​</w:t>
      </w:r>
    </w:p>
    <w:p>
      <w:pPr>
        <w:pStyle w:val="TextBody"/>
        <w:spacing w:before="0" w:after="240"/>
        <w:ind w:left="0" w:right="0" w:firstLine="720"/>
        <w:jc w:val="both"/>
        <w:rPr>
          <w:rFonts w:ascii="Times New Roman;Times;serif" w:hAnsi="Times New Roman;Times;serif"/>
          <w:sz w:val="24"/>
        </w:rPr>
      </w:pPr>
      <w:r>
        <w:rPr>
          <w:rFonts w:ascii="Times New Roman;Times;serif" w:hAnsi="Times New Roman;Times;serif"/>
          <w:sz w:val="24"/>
        </w:rPr>
        <w:t>In consideration of the numerous mutual promises contained herein between the Company and Employee, Employee, for his or himself and for or on behalf of any person or business entity in the state of Colorado or any state in the United States that the company derives more than 5% of its revenue (the “Non-Compete Jurisdiction”) engage in any of the following activities:</w:t>
      </w:r>
    </w:p>
    <w:tbl>
      <w:tblPr>
        <w:tblW w:w="10205" w:type="dxa"/>
        <w:jc w:val="left"/>
        <w:tblInd w:w="0" w:type="dxa"/>
        <w:tblCellMar>
          <w:top w:w="0" w:type="dxa"/>
          <w:left w:w="0" w:type="dxa"/>
          <w:bottom w:w="0" w:type="dxa"/>
          <w:right w:w="0" w:type="dxa"/>
        </w:tblCellMar>
      </w:tblPr>
      <w:tblGrid>
        <w:gridCol w:w="23"/>
        <w:gridCol w:w="185"/>
        <w:gridCol w:w="9997"/>
      </w:tblGrid>
      <w:tr>
        <w:trPr/>
        <w:tc>
          <w:tcPr>
            <w:tcW w:w="2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a.</w:t>
            </w:r>
          </w:p>
        </w:tc>
        <w:tc>
          <w:tcPr>
            <w:tcW w:w="9997"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Upon the Employee’s termination of employment with the Employer (voluntary or involuntary) and for a period of 12 months thereafter, said Employee shall not (i) solicit any business from any customers or accounts of the Employer. The Employee shall not assist any third parties in soliciting the business of any customers or accounts of the Employer; and, (ii) directly or indirectly, on his/her own behalf or on behalf of any other person or entity, whether as an owner, director, officer, partner, employee, agent or consultant, for pay or otherwise, render services to or engage with any person or entity (or on Employee’s own behalf, if the Employee is self-employed) that is engaged in a business of which the Company derives more than 5% of its business, nor shall Employee become interested in any such business, directly or indirectly, as an individual, partner, shareholder, member, manager, director, officer, principal, agent, employee, trustee, consultant, contractor or in any other relationship or capacity; provided, however, that nothing contained in this paragraph shall be deemed to prohibit Employee from acquiring, solely as an investment, up to four percent (4%) of the outstanding shares of capital stock of any corporation whose shares are publicly traded; and, for a period of twelve (12) months following the date upon which Employee ceases being an employee, solicit, induce, recruit, or participate in soliciting any individual who is employed by the Company.</w:t>
            </w:r>
          </w:p>
        </w:tc>
      </w:tr>
    </w:tbl>
    <w:p>
      <w:pPr>
        <w:pStyle w:val="TextBody"/>
        <w:pBdr/>
        <w:spacing w:before="0" w:after="0"/>
        <w:ind w:left="720" w:right="0" w:hanging="630"/>
        <w:jc w:val="both"/>
        <w:rPr/>
      </w:pPr>
      <w:r>
        <w:rPr/>
        <w:t>​</w:t>
      </w:r>
    </w:p>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b.</w:t>
            </w:r>
          </w:p>
        </w:tc>
        <w:tc>
          <w:tcPr>
            <w:tcW w:w="9982"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In the event the Employee fails to comply with any provisions herein, the Employee hereby authorizes the Employer to obtain a Restraining Order which would restrain and enjoin the Employee or any third party being assisted by said Employee in soliciting business (other than employment) from any accounts or customers of the Employer. Should Employee desire to pursue an employment opportunity with any customer of the Employer, written consent of the Employer must be obtained. Such consent shall not be unreasonably withheld.</w:t>
            </w:r>
          </w:p>
        </w:tc>
      </w:tr>
    </w:tbl>
    <w:p>
      <w:pPr>
        <w:pStyle w:val="TextBody"/>
        <w:pBdr/>
        <w:spacing w:before="0" w:after="0"/>
        <w:ind w:left="720" w:right="0" w:hanging="630"/>
        <w:rPr/>
      </w:pPr>
      <w:r>
        <w:rPr/>
        <w:t>​</w:t>
      </w:r>
    </w:p>
    <w:tbl>
      <w:tblPr>
        <w:tblW w:w="10205" w:type="dxa"/>
        <w:jc w:val="left"/>
        <w:tblInd w:w="0" w:type="dxa"/>
        <w:tblCellMar>
          <w:top w:w="0" w:type="dxa"/>
          <w:left w:w="0" w:type="dxa"/>
          <w:bottom w:w="0" w:type="dxa"/>
          <w:right w:w="0" w:type="dxa"/>
        </w:tblCellMar>
      </w:tblPr>
      <w:tblGrid>
        <w:gridCol w:w="23"/>
        <w:gridCol w:w="185"/>
        <w:gridCol w:w="9997"/>
      </w:tblGrid>
      <w:tr>
        <w:trPr/>
        <w:tc>
          <w:tcPr>
            <w:tcW w:w="2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c.</w:t>
            </w:r>
          </w:p>
        </w:tc>
        <w:tc>
          <w:tcPr>
            <w:tcW w:w="9997"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Employee hereby acknowledges that the geographic boundaries, scope of prohibited activities and the time duration of the provisions of this Section 6 are reasonable and are no broader than are necessary to protect the legitimate business interests of the Company.</w:t>
            </w:r>
          </w:p>
        </w:tc>
      </w:tr>
    </w:tbl>
    <w:p>
      <w:pPr>
        <w:pStyle w:val="TextBody"/>
        <w:spacing w:before="0" w:after="0"/>
        <w:ind w:left="0" w:right="0" w:hanging="0"/>
        <w:jc w:val="both"/>
        <w:rPr/>
      </w:pPr>
      <w:r>
        <w:rPr/>
        <w:t>​</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7.</w:t>
      </w:r>
      <w:r>
        <w:rPr>
          <w:rFonts w:ascii="Times New Roman;Times;serif" w:hAnsi="Times New Roman;Times;serif"/>
          <w:b/>
          <w:sz w:val="24"/>
        </w:rPr>
        <w:t>PROPRIETARY AND CONFIDENTIAL INFORMATION.</w:t>
      </w:r>
    </w:p>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23"/>
        <w:gridCol w:w="185"/>
        <w:gridCol w:w="9997"/>
      </w:tblGrid>
      <w:tr>
        <w:trPr/>
        <w:tc>
          <w:tcPr>
            <w:tcW w:w="2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a.</w:t>
            </w:r>
          </w:p>
        </w:tc>
        <w:tc>
          <w:tcPr>
            <w:tcW w:w="9997"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For purposes herein, Employer’s proprietary and confidential information and trade secrets (hereinafter “Proprietary and Confidential Information”) includes:</w:t>
            </w:r>
          </w:p>
        </w:tc>
      </w:tr>
    </w:tbl>
    <w:p>
      <w:pPr>
        <w:pStyle w:val="TextBody"/>
        <w:spacing w:before="0" w:after="0"/>
        <w:ind w:left="1080" w:right="0" w:hanging="0"/>
        <w:jc w:val="both"/>
        <w:rPr/>
      </w:pPr>
      <w:r>
        <w:rPr/>
        <w:t>​</w:t>
      </w:r>
    </w:p>
    <w:tbl>
      <w:tblPr>
        <w:tblW w:w="10205" w:type="dxa"/>
        <w:jc w:val="left"/>
        <w:tblInd w:w="0" w:type="dxa"/>
        <w:tblCellMar>
          <w:top w:w="0" w:type="dxa"/>
          <w:left w:w="0" w:type="dxa"/>
          <w:bottom w:w="0" w:type="dxa"/>
          <w:right w:w="0" w:type="dxa"/>
        </w:tblCellMar>
      </w:tblPr>
      <w:tblGrid>
        <w:gridCol w:w="23"/>
        <w:gridCol w:w="140"/>
        <w:gridCol w:w="10042"/>
      </w:tblGrid>
      <w:tr>
        <w:trPr/>
        <w:tc>
          <w:tcPr>
            <w:tcW w:w="23"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i.</w:t>
            </w:r>
          </w:p>
        </w:tc>
        <w:tc>
          <w:tcPr>
            <w:tcW w:w="10042"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Information concerning Employer’s business, product development, marketing analysis, and related information including prices, terms and other trade secrets related to Employer’s customer lists and customers’ business affairs, and related information;</w:t>
            </w:r>
          </w:p>
        </w:tc>
      </w:tr>
    </w:tbl>
    <w:p>
      <w:pPr>
        <w:pStyle w:val="TextBody"/>
        <w:pBdr/>
        <w:spacing w:before="0" w:after="0"/>
        <w:ind w:left="1440" w:right="0" w:hanging="720"/>
        <w:jc w:val="both"/>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5</w:t>
      </w:r>
    </w:p>
    <w:p>
      <w:pPr>
        <w:pStyle w:val="HorizontalLine"/>
        <w:rPr/>
      </w:pPr>
      <w:r>
        <w:rPr/>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ii.</w:t>
            </w:r>
          </w:p>
        </w:tc>
        <w:tc>
          <w:tcPr>
            <w:tcW w:w="9982"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Discoveries, concepts and ideas; techniques and processes, whether copyrightable or not, including, but not limited to, techniques, data and improvements thereof, concerning present or future activities of Employer; and any products, potential products or prototype concepts of Employer;</w:t>
            </w:r>
          </w:p>
        </w:tc>
      </w:tr>
    </w:tbl>
    <w:p>
      <w:pPr>
        <w:pStyle w:val="TextBody"/>
        <w:pBdr/>
        <w:spacing w:before="0" w:after="0"/>
        <w:ind w:left="1368" w:right="0" w:hanging="720"/>
        <w:rPr/>
      </w:pPr>
      <w:r>
        <w:rPr/>
        <w:t>​</w:t>
      </w:r>
    </w:p>
    <w:tbl>
      <w:tblPr>
        <w:tblW w:w="9723" w:type="dxa"/>
        <w:jc w:val="left"/>
        <w:tblInd w:w="0" w:type="dxa"/>
        <w:tblCellMar>
          <w:top w:w="0" w:type="dxa"/>
          <w:left w:w="0" w:type="dxa"/>
          <w:bottom w:w="0" w:type="dxa"/>
          <w:right w:w="0" w:type="dxa"/>
        </w:tblCellMar>
      </w:tblPr>
      <w:tblGrid>
        <w:gridCol w:w="23"/>
        <w:gridCol w:w="260"/>
        <w:gridCol w:w="9440"/>
      </w:tblGrid>
      <w:tr>
        <w:trPr/>
        <w:tc>
          <w:tcPr>
            <w:tcW w:w="23"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iii.</w:t>
            </w:r>
          </w:p>
        </w:tc>
        <w:tc>
          <w:tcPr>
            <w:tcW w:w="9440"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Information relating to research, development, invention, purchasing, merchandising and marketing;</w:t>
            </w:r>
          </w:p>
        </w:tc>
      </w:tr>
    </w:tbl>
    <w:p>
      <w:pPr>
        <w:pStyle w:val="TextBody"/>
        <w:pBdr/>
        <w:spacing w:before="0" w:after="0"/>
        <w:ind w:left="1368" w:right="0" w:hanging="720"/>
        <w:rPr/>
      </w:pPr>
      <w:r>
        <w:rPr/>
        <w:t>​</w:t>
      </w:r>
    </w:p>
    <w:tbl>
      <w:tblPr>
        <w:tblW w:w="10205" w:type="dxa"/>
        <w:jc w:val="left"/>
        <w:tblInd w:w="0" w:type="dxa"/>
        <w:tblCellMar>
          <w:top w:w="0" w:type="dxa"/>
          <w:left w:w="0" w:type="dxa"/>
          <w:bottom w:w="0" w:type="dxa"/>
          <w:right w:w="0" w:type="dxa"/>
        </w:tblCellMar>
      </w:tblPr>
      <w:tblGrid>
        <w:gridCol w:w="23"/>
        <w:gridCol w:w="260"/>
        <w:gridCol w:w="9922"/>
      </w:tblGrid>
      <w:tr>
        <w:trPr/>
        <w:tc>
          <w:tcPr>
            <w:tcW w:w="23"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iv.</w:t>
            </w:r>
          </w:p>
        </w:tc>
        <w:tc>
          <w:tcPr>
            <w:tcW w:w="9922"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Any proprietary and confidential information relating to research and development undertaken by Employer, its successors and assigns;</w:t>
            </w:r>
          </w:p>
        </w:tc>
      </w:tr>
    </w:tbl>
    <w:p>
      <w:pPr>
        <w:pStyle w:val="TextBody"/>
        <w:pBdr/>
        <w:spacing w:before="0" w:after="0"/>
        <w:ind w:left="1368" w:right="0" w:hanging="720"/>
        <w:rPr/>
      </w:pPr>
      <w:r>
        <w:rPr/>
        <w:t>​</w:t>
      </w:r>
    </w:p>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v.</w:t>
            </w:r>
          </w:p>
        </w:tc>
        <w:tc>
          <w:tcPr>
            <w:tcW w:w="9982"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Proprietary and confidential information shall not include information which is: (a) of record in the files of Employee at time that Employer’s Proprietary and Confidential Information is disclosed to Employee and received from Employer; or (b) either has become or becomes available to the public through no fault of Employee; or (c) is received by Employee, from any third party which has the right to disclose it.</w:t>
            </w:r>
          </w:p>
        </w:tc>
      </w:tr>
    </w:tbl>
    <w:p>
      <w:pPr>
        <w:pStyle w:val="TextBody"/>
        <w:spacing w:before="0" w:after="0"/>
        <w:ind w:left="720" w:right="0" w:hanging="0"/>
        <w:rPr/>
      </w:pPr>
      <w:r>
        <w:rPr/>
        <w:t>​</w:t>
      </w:r>
    </w:p>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b.</w:t>
            </w:r>
          </w:p>
        </w:tc>
        <w:tc>
          <w:tcPr>
            <w:tcW w:w="9982"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With respect to its Proprietary and Confidential Information as defined in (a), above, Employer retains all rights and interest, which rights include but are not limited to: patent, process patent, copyright, trademark, trade secret or any other form of proprietary right. Employee agrees that all Proprietary and Confidential Information of Employer is protected by law, and may not be used or disclosed by Employee. Employee agrees to safeguard Employer’s Proprietary and Confidential Information with no less care than he/she would reasonably use in safeguarding his/her own valuable proprietary information and trade secrets. Employee agrees to take appropriate steps to preserve the complete confidentiality of Employer’s Proprietary and Confidential Information by all appropriate measures.</w:t>
            </w:r>
          </w:p>
        </w:tc>
      </w:tr>
    </w:tbl>
    <w:p>
      <w:pPr>
        <w:pStyle w:val="TextBody"/>
        <w:pBdr/>
        <w:spacing w:before="0" w:after="0"/>
        <w:ind w:left="720" w:right="0" w:hanging="630"/>
        <w:jc w:val="both"/>
        <w:rPr/>
      </w:pPr>
      <w:r>
        <w:rPr/>
        <w:t>​</w:t>
      </w:r>
    </w:p>
    <w:tbl>
      <w:tblPr>
        <w:tblW w:w="10205" w:type="dxa"/>
        <w:jc w:val="left"/>
        <w:tblInd w:w="0" w:type="dxa"/>
        <w:tblCellMar>
          <w:top w:w="0" w:type="dxa"/>
          <w:left w:w="0" w:type="dxa"/>
          <w:bottom w:w="0" w:type="dxa"/>
          <w:right w:w="0" w:type="dxa"/>
        </w:tblCellMar>
      </w:tblPr>
      <w:tblGrid>
        <w:gridCol w:w="23"/>
        <w:gridCol w:w="185"/>
        <w:gridCol w:w="9997"/>
      </w:tblGrid>
      <w:tr>
        <w:trPr/>
        <w:tc>
          <w:tcPr>
            <w:tcW w:w="2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c.</w:t>
            </w:r>
          </w:p>
        </w:tc>
        <w:tc>
          <w:tcPr>
            <w:tcW w:w="9997"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Employee agrees that, except as required by Employer in performance of his/her duties for Employer, he/she will:</w:t>
            </w:r>
          </w:p>
        </w:tc>
      </w:tr>
    </w:tbl>
    <w:p>
      <w:pPr>
        <w:pStyle w:val="TextBody"/>
        <w:spacing w:before="0" w:after="0"/>
        <w:ind w:left="720" w:right="0" w:hanging="0"/>
        <w:rPr/>
      </w:pPr>
      <w:r>
        <w:rPr/>
        <w:t>​</w:t>
      </w:r>
    </w:p>
    <w:tbl>
      <w:tblPr>
        <w:tblW w:w="10205" w:type="dxa"/>
        <w:jc w:val="left"/>
        <w:tblInd w:w="0" w:type="dxa"/>
        <w:tblCellMar>
          <w:top w:w="0" w:type="dxa"/>
          <w:left w:w="0" w:type="dxa"/>
          <w:bottom w:w="0" w:type="dxa"/>
          <w:right w:w="0" w:type="dxa"/>
        </w:tblCellMar>
      </w:tblPr>
      <w:tblGrid>
        <w:gridCol w:w="23"/>
        <w:gridCol w:w="140"/>
        <w:gridCol w:w="10042"/>
      </w:tblGrid>
      <w:tr>
        <w:trPr/>
        <w:tc>
          <w:tcPr>
            <w:tcW w:w="23"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i.</w:t>
            </w:r>
          </w:p>
        </w:tc>
        <w:tc>
          <w:tcPr>
            <w:tcW w:w="10042"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not copy or duplicate Employer’s Proprietary and Confidential Information, nor allow anyone else to copy or duplicate the same, without the express written permission of Employer;</w:t>
            </w:r>
          </w:p>
        </w:tc>
      </w:tr>
    </w:tbl>
    <w:p>
      <w:pPr>
        <w:pStyle w:val="TextBody"/>
        <w:pBdr/>
        <w:spacing w:before="0" w:after="0"/>
        <w:ind w:left="1368" w:right="0" w:hanging="720"/>
        <w:jc w:val="both"/>
        <w:rPr/>
      </w:pPr>
      <w:r>
        <w:rPr/>
        <w:t>​</w:t>
      </w:r>
    </w:p>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ii.</w:t>
            </w:r>
          </w:p>
        </w:tc>
        <w:tc>
          <w:tcPr>
            <w:tcW w:w="9982"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never directly or indirectly use, sell, disseminate, disclose, lecture upon, publish articles concerning, or otherwise convey or communicate to any person other than Employer’s employees, any of Employer’s Proprietary and Confidential Information unless authorized by their supervisor;</w:t>
            </w:r>
          </w:p>
        </w:tc>
      </w:tr>
    </w:tbl>
    <w:p>
      <w:pPr>
        <w:pStyle w:val="TextBody"/>
        <w:pBdr/>
        <w:spacing w:before="0" w:after="0"/>
        <w:ind w:left="1368" w:right="0" w:hanging="720"/>
        <w:rPr/>
      </w:pPr>
      <w:r>
        <w:rPr/>
        <w:t>​</w:t>
      </w:r>
    </w:p>
    <w:tbl>
      <w:tblPr>
        <w:tblW w:w="10205" w:type="dxa"/>
        <w:jc w:val="left"/>
        <w:tblInd w:w="0" w:type="dxa"/>
        <w:tblCellMar>
          <w:top w:w="0" w:type="dxa"/>
          <w:left w:w="0" w:type="dxa"/>
          <w:bottom w:w="0" w:type="dxa"/>
          <w:right w:w="0" w:type="dxa"/>
        </w:tblCellMar>
      </w:tblPr>
      <w:tblGrid>
        <w:gridCol w:w="23"/>
        <w:gridCol w:w="260"/>
        <w:gridCol w:w="9922"/>
      </w:tblGrid>
      <w:tr>
        <w:trPr/>
        <w:tc>
          <w:tcPr>
            <w:tcW w:w="23"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iii.</w:t>
            </w:r>
          </w:p>
        </w:tc>
        <w:tc>
          <w:tcPr>
            <w:tcW w:w="9922"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never create or attempt to create or permit others to create duplicate or derivative works containing all or part of Employer’s Proprietary and Confidential Information;</w:t>
            </w:r>
          </w:p>
        </w:tc>
      </w:tr>
    </w:tbl>
    <w:p>
      <w:pPr>
        <w:pStyle w:val="TextBody"/>
        <w:pBdr/>
        <w:spacing w:before="0" w:after="0"/>
        <w:ind w:left="1440" w:right="0" w:hanging="72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6</w:t>
      </w:r>
    </w:p>
    <w:p>
      <w:pPr>
        <w:pStyle w:val="HorizontalLine"/>
        <w:rPr/>
      </w:pPr>
      <w:r>
        <w:rPr/>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260"/>
        <w:gridCol w:w="9922"/>
      </w:tblGrid>
      <w:tr>
        <w:trPr/>
        <w:tc>
          <w:tcPr>
            <w:tcW w:w="23"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iv.</w:t>
            </w:r>
          </w:p>
        </w:tc>
        <w:tc>
          <w:tcPr>
            <w:tcW w:w="9922"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upon termination of this Agreement, Employee shall return all of Employer’s Proprietary and Confidential Information which is within Employee’s possession or control at that time to Employer and, upon request by Employer, certify in writing to Employer that all information has been returned.</w:t>
            </w:r>
          </w:p>
        </w:tc>
      </w:tr>
    </w:tbl>
    <w:p>
      <w:pPr>
        <w:pStyle w:val="TextBody"/>
        <w:pBdr/>
        <w:spacing w:before="0" w:after="0"/>
        <w:ind w:left="1368" w:right="0" w:hanging="720"/>
        <w:rPr/>
      </w:pPr>
      <w:r>
        <w:rPr/>
        <w:t>​</w:t>
      </w:r>
    </w:p>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v.</w:t>
            </w:r>
          </w:p>
        </w:tc>
        <w:tc>
          <w:tcPr>
            <w:tcW w:w="9982"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Employee agrees to notify Employer immediately upon learning of any unauthorized possession, use or knowledge of Employer’s Proprietary and Confidential Information to which Employee has had access under this Agreement. Employee will promptly furnish Employer all known details of such unauthorized possession, use or knowledge, which will assist in preventing the recurrence of such unauthorized possession, use or knowledge, and will cooperate with Employer in any litigation against any parties undertaken by Employer to protect its rights to its Proprietary and Confidential Information. Employee’s compliance with this subparagraph shall not be construed as a waiver of any of Employer’s rights under this Agreement.</w:t>
            </w:r>
          </w:p>
        </w:tc>
      </w:tr>
    </w:tbl>
    <w:p>
      <w:pPr>
        <w:pStyle w:val="TextBody"/>
        <w:spacing w:before="0" w:after="0"/>
        <w:ind w:left="720" w:right="0" w:hanging="0"/>
        <w:rPr/>
      </w:pPr>
      <w:r>
        <w:rPr/>
        <w:t>​</w:t>
      </w:r>
    </w:p>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d.</w:t>
            </w:r>
          </w:p>
        </w:tc>
        <w:tc>
          <w:tcPr>
            <w:tcW w:w="9982"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In the event of a breach or threatened breach by Employee of the provisions of this Agreement, Employer shall be entitled to an injunction restraining Employee from such breach, and Employer may also pursue any and all other remedies available to it for threatened or actual breach, including recovery of damages from Employee.</w:t>
            </w:r>
          </w:p>
        </w:tc>
      </w:tr>
    </w:tbl>
    <w:p>
      <w:pPr>
        <w:pStyle w:val="TextBody"/>
        <w:pBdr/>
        <w:spacing w:before="0" w:after="0"/>
        <w:ind w:left="720" w:right="0" w:hanging="630"/>
        <w:jc w:val="both"/>
        <w:rPr/>
      </w:pPr>
      <w:r>
        <w:rPr/>
        <w:t>​</w:t>
      </w:r>
    </w:p>
    <w:tbl>
      <w:tblPr>
        <w:tblW w:w="10205" w:type="dxa"/>
        <w:jc w:val="left"/>
        <w:tblInd w:w="0" w:type="dxa"/>
        <w:tblCellMar>
          <w:top w:w="0" w:type="dxa"/>
          <w:left w:w="0" w:type="dxa"/>
          <w:bottom w:w="0" w:type="dxa"/>
          <w:right w:w="0" w:type="dxa"/>
        </w:tblCellMar>
      </w:tblPr>
      <w:tblGrid>
        <w:gridCol w:w="23"/>
        <w:gridCol w:w="185"/>
        <w:gridCol w:w="9997"/>
      </w:tblGrid>
      <w:tr>
        <w:trPr/>
        <w:tc>
          <w:tcPr>
            <w:tcW w:w="2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e.</w:t>
            </w:r>
          </w:p>
        </w:tc>
        <w:tc>
          <w:tcPr>
            <w:tcW w:w="9997"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In addition to the other requirements of this Section 7, for the good and valuable consideration in this Agreement, Employee has agreed to comply with the attached Exhibit A, Employee Invention Assignment.</w:t>
            </w:r>
          </w:p>
        </w:tc>
      </w:tr>
    </w:tbl>
    <w:p>
      <w:pPr>
        <w:pStyle w:val="TextBody"/>
        <w:spacing w:before="0" w:after="1"/>
        <w:ind w:left="0" w:right="0" w:firstLine="720"/>
        <w:jc w:val="both"/>
        <w:rPr/>
      </w:pPr>
      <w:r>
        <w:rPr/>
        <w:t>​</w:t>
      </w:r>
    </w:p>
    <w:tbl>
      <w:tblPr>
        <w:tblW w:w="10205" w:type="dxa"/>
        <w:jc w:val="left"/>
        <w:tblInd w:w="0" w:type="dxa"/>
        <w:tblCellMar>
          <w:top w:w="0" w:type="dxa"/>
          <w:left w:w="0" w:type="dxa"/>
          <w:bottom w:w="0" w:type="dxa"/>
          <w:right w:w="0" w:type="dxa"/>
        </w:tblCellMar>
      </w:tblPr>
      <w:tblGrid>
        <w:gridCol w:w="143"/>
        <w:gridCol w:w="10062"/>
      </w:tblGrid>
      <w:tr>
        <w:trPr/>
        <w:tc>
          <w:tcPr>
            <w:tcW w:w="143" w:type="dxa"/>
            <w:tcBorders/>
            <w:shd w:fill="auto" w:val="clear"/>
            <w:vAlign w:val="center"/>
          </w:tcPr>
          <w:p>
            <w:pPr>
              <w:pStyle w:val="TableContents"/>
              <w:spacing w:before="0" w:after="0"/>
              <w:jc w:val="both"/>
              <w:rPr>
                <w:rFonts w:ascii="Times New Roman;Times;serif" w:hAnsi="Times New Roman;Times;serif"/>
                <w:sz w:val="24"/>
              </w:rPr>
            </w:pPr>
            <w:r>
              <w:rPr>
                <w:rFonts w:ascii="Times New Roman;Times;serif" w:hAnsi="Times New Roman;Times;serif"/>
                <w:sz w:val="24"/>
              </w:rPr>
              <w:t>8.</w:t>
            </w:r>
          </w:p>
        </w:tc>
        <w:tc>
          <w:tcPr>
            <w:tcW w:w="10062"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b/>
                <w:color w:val="363636"/>
                <w:sz w:val="24"/>
              </w:rPr>
              <w:t xml:space="preserve">GOODWILL. </w:t>
            </w:r>
            <w:r>
              <w:rPr>
                <w:rFonts w:ascii="Times New Roman;Times;serif" w:hAnsi="Times New Roman;Times;serif"/>
                <w:color w:val="363636"/>
                <w:sz w:val="24"/>
              </w:rPr>
              <w:t xml:space="preserve">Goodwill shall mean that goodwill associated with the Company during the term of this Agreement, including, but not limited to, the benefits that have been or will be purchased, developed, accrued, and maintained as a result of the Company’s expenditure of time, money and effort in developing and maintaining, among other things </w:t>
            </w:r>
            <w:r>
              <w:rPr>
                <w:rFonts w:ascii="Times New Roman;Times;serif" w:hAnsi="Times New Roman;Times;serif"/>
                <w:b/>
                <w:color w:val="363636"/>
                <w:sz w:val="24"/>
              </w:rPr>
              <w:t xml:space="preserve">(“Goodwill’): </w:t>
            </w:r>
            <w:r>
              <w:rPr>
                <w:rFonts w:ascii="Times New Roman;Times;serif" w:hAnsi="Times New Roman;Times;serif"/>
                <w:color w:val="363636"/>
                <w:sz w:val="24"/>
              </w:rPr>
              <w:t xml:space="preserve">(i) the Company’s reputation and the reputation and the skill, training, and, </w:t>
            </w:r>
            <w:r>
              <w:rPr>
                <w:rFonts w:ascii="Times New Roman;Times;serif" w:hAnsi="Times New Roman;Times;serif"/>
                <w:color w:val="343434"/>
                <w:sz w:val="24"/>
              </w:rPr>
              <w:t>expertise of the Company’s officers, employees, advisors, Directors and partners; (ii) the quality of the products and services provided; (iii) personal contacts of the Company’s officers, employees, advisors, directors and partners within the state-regulated cannabis industry and local, national and global business community in general, which relationships are vital to the Company’s business; (iv) the Company’s knowledge and expertise; (v) the Company’s business acumen; (vi) the Company’s ability to attract other employees, investors, financing, and business partners in order to grow its business; (vii) the Company’s Confidential Information; and (viii) other attributes and actions that result in the retention of existing and the acquisition of new patronage. Employee understands that by being employed by the Company, he/she shall have the opportunity to be associated with the Company’s Goodwill and receive its benefits of it. At the outset and during the term of this Agreement, the Company promises to provide Employee access to the benefits of its Goodwill, through various means. Employee agrees not to take any action that is intended to degrade or lessen the Company’s Goodwill.</w:t>
            </w:r>
          </w:p>
        </w:tc>
      </w:tr>
    </w:tbl>
    <w:p>
      <w:pPr>
        <w:pStyle w:val="TextBody"/>
        <w:spacing w:before="0" w:after="1"/>
        <w:ind w:left="0" w:right="0" w:hanging="0"/>
        <w:jc w:val="both"/>
        <w:rPr/>
      </w:pPr>
      <w:r>
        <w:rPr/>
        <w:t>​</w:t>
      </w:r>
    </w:p>
    <w:tbl>
      <w:tblPr>
        <w:tblW w:w="8755" w:type="dxa"/>
        <w:jc w:val="left"/>
        <w:tblInd w:w="0" w:type="dxa"/>
        <w:tblCellMar>
          <w:top w:w="0" w:type="dxa"/>
          <w:left w:w="0" w:type="dxa"/>
          <w:bottom w:w="0" w:type="dxa"/>
          <w:right w:w="0" w:type="dxa"/>
        </w:tblCellMar>
      </w:tblPr>
      <w:tblGrid>
        <w:gridCol w:w="200"/>
        <w:gridCol w:w="8555"/>
      </w:tblGrid>
      <w:tr>
        <w:trPr/>
        <w:tc>
          <w:tcPr>
            <w:tcW w:w="200" w:type="dxa"/>
            <w:tcBorders/>
            <w:shd w:fill="auto" w:val="clear"/>
            <w:vAlign w:val="center"/>
          </w:tcPr>
          <w:p>
            <w:pPr>
              <w:pStyle w:val="TableContents"/>
              <w:spacing w:before="0" w:after="0"/>
              <w:jc w:val="both"/>
              <w:rPr>
                <w:rFonts w:ascii="Times New Roman;Times;serif" w:hAnsi="Times New Roman;Times;serif"/>
                <w:color w:val="343434"/>
                <w:sz w:val="24"/>
              </w:rPr>
            </w:pPr>
            <w:r>
              <w:rPr>
                <w:rFonts w:ascii="Times New Roman;Times;serif" w:hAnsi="Times New Roman;Times;serif"/>
                <w:color w:val="343434"/>
                <w:sz w:val="24"/>
              </w:rPr>
              <w:t>9.</w:t>
            </w:r>
          </w:p>
        </w:tc>
        <w:tc>
          <w:tcPr>
            <w:tcW w:w="8555"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b/>
                <w:color w:val="343434"/>
                <w:sz w:val="24"/>
              </w:rPr>
              <w:t xml:space="preserve">NON-DISPARAGEMENT. </w:t>
            </w:r>
            <w:r>
              <w:rPr>
                <w:rFonts w:ascii="Times New Roman;Times;serif" w:hAnsi="Times New Roman;Times;serif"/>
                <w:color w:val="343434"/>
                <w:sz w:val="24"/>
              </w:rPr>
              <w:t>After the Employee’s termination date for cause, neither the</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7</w:t>
      </w:r>
    </w:p>
    <w:p>
      <w:pPr>
        <w:pStyle w:val="HorizontalLine"/>
        <w:rPr/>
      </w:pPr>
      <w:r>
        <w:rPr/>
      </w:r>
    </w:p>
    <w:p>
      <w:pPr>
        <w:pStyle w:val="TextBody"/>
        <w:spacing w:before="0" w:after="1"/>
        <w:ind w:left="0" w:right="0" w:hanging="0"/>
        <w:rPr/>
      </w:pPr>
      <w:r>
        <w:rPr/>
        <w:t>​</w:t>
      </w:r>
    </w:p>
    <w:p>
      <w:pPr>
        <w:pStyle w:val="TextBody"/>
        <w:spacing w:before="0" w:after="0"/>
        <w:ind w:left="720" w:right="0" w:hanging="0"/>
        <w:jc w:val="both"/>
        <w:rPr>
          <w:rFonts w:ascii="Times New Roman;Times;serif" w:hAnsi="Times New Roman;Times;serif"/>
          <w:color w:val="343434"/>
          <w:sz w:val="24"/>
        </w:rPr>
      </w:pPr>
      <w:r>
        <w:rPr>
          <w:rFonts w:ascii="Times New Roman;Times;serif" w:hAnsi="Times New Roman;Times;serif"/>
          <w:color w:val="343434"/>
          <w:sz w:val="24"/>
        </w:rPr>
        <w:t>Company nor Employee shall make any statements that are professionally or personally disparaging about or adverse to the interests of the other party, including but not limited to any statements that disparage any person, service or capability of the other party, and each such party agrees not to engage in any conduct that is intended to harm professionally or personally the reputation of any party to this Agreement .</w:t>
      </w:r>
    </w:p>
    <w:p>
      <w:pPr>
        <w:pStyle w:val="TextBody"/>
        <w:spacing w:before="0" w:after="1"/>
        <w:ind w:left="720" w:right="0" w:hanging="0"/>
        <w:rPr/>
      </w:pPr>
      <w:r>
        <w:rPr/>
        <w:t>​</w:t>
      </w:r>
    </w:p>
    <w:tbl>
      <w:tblPr>
        <w:tblW w:w="10205" w:type="dxa"/>
        <w:jc w:val="left"/>
        <w:tblInd w:w="0" w:type="dxa"/>
        <w:tblCellMar>
          <w:top w:w="0" w:type="dxa"/>
          <w:left w:w="0" w:type="dxa"/>
          <w:bottom w:w="0" w:type="dxa"/>
          <w:right w:w="0" w:type="dxa"/>
        </w:tblCellMar>
      </w:tblPr>
      <w:tblGrid>
        <w:gridCol w:w="269"/>
        <w:gridCol w:w="9936"/>
      </w:tblGrid>
      <w:tr>
        <w:trPr/>
        <w:tc>
          <w:tcPr>
            <w:tcW w:w="269" w:type="dxa"/>
            <w:tcBorders/>
            <w:shd w:fill="auto" w:val="clear"/>
            <w:vAlign w:val="center"/>
          </w:tcPr>
          <w:p>
            <w:pPr>
              <w:pStyle w:val="TableContents"/>
              <w:spacing w:before="0" w:after="0"/>
              <w:jc w:val="both"/>
              <w:rPr>
                <w:rFonts w:ascii="Times New Roman;Times;serif" w:hAnsi="Times New Roman;Times;serif"/>
                <w:color w:val="343434"/>
                <w:sz w:val="24"/>
              </w:rPr>
            </w:pPr>
            <w:r>
              <w:rPr>
                <w:rFonts w:ascii="Times New Roman;Times;serif" w:hAnsi="Times New Roman;Times;serif"/>
                <w:color w:val="343434"/>
                <w:sz w:val="24"/>
              </w:rPr>
              <w:t>10.</w:t>
            </w:r>
          </w:p>
        </w:tc>
        <w:tc>
          <w:tcPr>
            <w:tcW w:w="9936"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b/>
                <w:color w:val="343434"/>
                <w:sz w:val="24"/>
              </w:rPr>
              <w:t xml:space="preserve">NAME &amp; LIKENESS RIGHTS. </w:t>
            </w:r>
            <w:r>
              <w:rPr>
                <w:rFonts w:ascii="Times New Roman;Times;serif" w:hAnsi="Times New Roman;Times;serif"/>
                <w:color w:val="343434"/>
                <w:sz w:val="24"/>
              </w:rPr>
              <w:t>Employee hereby authorizes the Company to use, reuse, and to grant others the right to use and reuse, Employee’s name, photograph, likeness (including caricature), voice, and biographical information, and any reproduction or simulation thereof, in any form of media or technology now known or hereafter developed (including, but not limited to, film, video and digital or other electronic media), both during and after Employee’s employment, for any purposes related to the Company’s business, such as marketing, advertising, credits, and presentations.</w:t>
            </w:r>
          </w:p>
        </w:tc>
      </w:tr>
    </w:tbl>
    <w:p>
      <w:pPr>
        <w:pStyle w:val="TextBody"/>
        <w:spacing w:before="0" w:after="1"/>
        <w:ind w:left="720" w:right="0" w:hanging="0"/>
        <w:rPr/>
      </w:pPr>
      <w:r>
        <w:rPr/>
        <w:t>​</w:t>
      </w:r>
    </w:p>
    <w:tbl>
      <w:tblPr>
        <w:tblW w:w="10205" w:type="dxa"/>
        <w:jc w:val="left"/>
        <w:tblInd w:w="0" w:type="dxa"/>
        <w:tblCellMar>
          <w:top w:w="0" w:type="dxa"/>
          <w:left w:w="0" w:type="dxa"/>
          <w:bottom w:w="0" w:type="dxa"/>
          <w:right w:w="0" w:type="dxa"/>
        </w:tblCellMar>
      </w:tblPr>
      <w:tblGrid>
        <w:gridCol w:w="269"/>
        <w:gridCol w:w="9936"/>
      </w:tblGrid>
      <w:tr>
        <w:trPr/>
        <w:tc>
          <w:tcPr>
            <w:tcW w:w="269" w:type="dxa"/>
            <w:tcBorders/>
            <w:shd w:fill="auto" w:val="clear"/>
            <w:vAlign w:val="center"/>
          </w:tcPr>
          <w:p>
            <w:pPr>
              <w:pStyle w:val="TableContents"/>
              <w:spacing w:before="0" w:after="0"/>
              <w:jc w:val="both"/>
              <w:rPr>
                <w:rFonts w:ascii="Times New Roman;Times;serif" w:hAnsi="Times New Roman;Times;serif"/>
                <w:color w:val="343434"/>
                <w:sz w:val="24"/>
              </w:rPr>
            </w:pPr>
            <w:r>
              <w:rPr>
                <w:rFonts w:ascii="Times New Roman;Times;serif" w:hAnsi="Times New Roman;Times;serif"/>
                <w:color w:val="343434"/>
                <w:sz w:val="24"/>
              </w:rPr>
              <w:t>11.</w:t>
            </w:r>
          </w:p>
        </w:tc>
        <w:tc>
          <w:tcPr>
            <w:tcW w:w="9936"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b/>
                <w:sz w:val="24"/>
              </w:rPr>
              <w:t xml:space="preserve">SEVERABILITY. </w:t>
            </w:r>
            <w:r>
              <w:rPr>
                <w:rFonts w:ascii="Times New Roman;Times;serif" w:hAnsi="Times New Roman;Times;serif"/>
                <w:sz w:val="24"/>
              </w:rPr>
              <w:t>If any provision of this Agreement is held to be illegal, invalid or unenforceable under present or future laws effective during the terms of this Agreement, the legality, validity and enforceability of the remaining provisions of this Agreement shall not be affected thereby, and in lieu of each such illegal, invalid and unenforceable provisions there shall be added automatically as part of this Agreement a provision similar in terms to such illegal, invalid or unenforceable provision as may be possible and be legal, valid and enforceable.</w:t>
            </w:r>
          </w:p>
        </w:tc>
      </w:tr>
    </w:tbl>
    <w:p>
      <w:pPr>
        <w:pStyle w:val="TextBody"/>
        <w:spacing w:before="0" w:after="1"/>
        <w:ind w:left="720" w:right="0" w:hanging="0"/>
        <w:rPr/>
      </w:pPr>
      <w:r>
        <w:rPr/>
        <w:t>​</w:t>
      </w:r>
    </w:p>
    <w:tbl>
      <w:tblPr>
        <w:tblW w:w="10205" w:type="dxa"/>
        <w:jc w:val="left"/>
        <w:tblInd w:w="0" w:type="dxa"/>
        <w:tblCellMar>
          <w:top w:w="0" w:type="dxa"/>
          <w:left w:w="0" w:type="dxa"/>
          <w:bottom w:w="0" w:type="dxa"/>
          <w:right w:w="0" w:type="dxa"/>
        </w:tblCellMar>
      </w:tblPr>
      <w:tblGrid>
        <w:gridCol w:w="272"/>
        <w:gridCol w:w="9933"/>
      </w:tblGrid>
      <w:tr>
        <w:trPr/>
        <w:tc>
          <w:tcPr>
            <w:tcW w:w="272" w:type="dxa"/>
            <w:tcBorders/>
            <w:shd w:fill="auto" w:val="clear"/>
            <w:vAlign w:val="center"/>
          </w:tcPr>
          <w:p>
            <w:pPr>
              <w:pStyle w:val="TableContents"/>
              <w:spacing w:before="0" w:after="0"/>
              <w:jc w:val="both"/>
              <w:rPr>
                <w:rFonts w:ascii="Times New Roman;Times;serif" w:hAnsi="Times New Roman;Times;serif"/>
                <w:color w:val="343434"/>
                <w:sz w:val="24"/>
              </w:rPr>
            </w:pPr>
            <w:r>
              <w:rPr>
                <w:rFonts w:ascii="Times New Roman;Times;serif" w:hAnsi="Times New Roman;Times;serif"/>
                <w:color w:val="343434"/>
                <w:sz w:val="24"/>
              </w:rPr>
              <w:t>12.</w:t>
            </w:r>
          </w:p>
        </w:tc>
        <w:tc>
          <w:tcPr>
            <w:tcW w:w="9933"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b/>
                <w:sz w:val="24"/>
              </w:rPr>
              <w:t xml:space="preserve">MANDATORY ARBITRATION. </w:t>
            </w:r>
            <w:r>
              <w:rPr>
                <w:rFonts w:ascii="Times New Roman;Times;serif" w:hAnsi="Times New Roman;Times;serif"/>
                <w:sz w:val="24"/>
              </w:rPr>
              <w:t>Any controversy or claim arising out of or relating to this Agreement, or the breach thereof, shall be settled by arbitration in accordance with the Commercial Arbitration Rules of the American Arbitration Association, and judgment upon the award rendered by the arbitrator(s) may be entered in any court having jurisdiction thereof. Such Arbitration shall take place in the City and County of Denver, Colorado.</w:t>
            </w:r>
          </w:p>
        </w:tc>
      </w:tr>
    </w:tbl>
    <w:p>
      <w:pPr>
        <w:pStyle w:val="TextBody"/>
        <w:spacing w:before="0" w:after="1"/>
        <w:ind w:left="720" w:right="0" w:hanging="0"/>
        <w:rPr/>
      </w:pPr>
      <w:r>
        <w:rPr/>
        <w:t>​</w:t>
      </w:r>
    </w:p>
    <w:tbl>
      <w:tblPr>
        <w:tblW w:w="10205" w:type="dxa"/>
        <w:jc w:val="left"/>
        <w:tblInd w:w="0" w:type="dxa"/>
        <w:tblCellMar>
          <w:top w:w="0" w:type="dxa"/>
          <w:left w:w="0" w:type="dxa"/>
          <w:bottom w:w="0" w:type="dxa"/>
          <w:right w:w="0" w:type="dxa"/>
        </w:tblCellMar>
      </w:tblPr>
      <w:tblGrid>
        <w:gridCol w:w="274"/>
        <w:gridCol w:w="9931"/>
      </w:tblGrid>
      <w:tr>
        <w:trPr/>
        <w:tc>
          <w:tcPr>
            <w:tcW w:w="274" w:type="dxa"/>
            <w:tcBorders/>
            <w:shd w:fill="auto" w:val="clear"/>
            <w:vAlign w:val="center"/>
          </w:tcPr>
          <w:p>
            <w:pPr>
              <w:pStyle w:val="TableContents"/>
              <w:spacing w:before="0" w:after="0"/>
              <w:jc w:val="both"/>
              <w:rPr>
                <w:rFonts w:ascii="Times New Roman;Times;serif" w:hAnsi="Times New Roman;Times;serif"/>
                <w:color w:val="343434"/>
                <w:sz w:val="24"/>
              </w:rPr>
            </w:pPr>
            <w:r>
              <w:rPr>
                <w:rFonts w:ascii="Times New Roman;Times;serif" w:hAnsi="Times New Roman;Times;serif"/>
                <w:color w:val="343434"/>
                <w:sz w:val="24"/>
              </w:rPr>
              <w:t>13.</w:t>
            </w:r>
          </w:p>
        </w:tc>
        <w:tc>
          <w:tcPr>
            <w:tcW w:w="9931"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b/>
                <w:sz w:val="24"/>
              </w:rPr>
              <w:t xml:space="preserve">ATTORNEYS FEES AND COSTS. </w:t>
            </w:r>
            <w:r>
              <w:rPr>
                <w:rFonts w:ascii="Times New Roman;Times;serif" w:hAnsi="Times New Roman;Times;serif"/>
                <w:sz w:val="24"/>
              </w:rPr>
              <w:t>In the event of a dispute arising between the parties hereto, and said dispute becomes subject to any arbitration and/or litigation relating to the rights, duties and/or obligations arising out of this Agreement, the prevailing party in such action shall be entitled to recover all applicable costs of said action, including but not limited to, reasonable attorney’s fees.</w:t>
            </w:r>
          </w:p>
        </w:tc>
      </w:tr>
    </w:tbl>
    <w:p>
      <w:pPr>
        <w:pStyle w:val="TextBody"/>
        <w:spacing w:before="0" w:after="1"/>
        <w:ind w:left="720" w:right="0" w:hanging="0"/>
        <w:rPr/>
      </w:pPr>
      <w:r>
        <w:rPr/>
        <w:t>​</w:t>
      </w:r>
    </w:p>
    <w:tbl>
      <w:tblPr>
        <w:tblW w:w="10205" w:type="dxa"/>
        <w:jc w:val="left"/>
        <w:tblInd w:w="0" w:type="dxa"/>
        <w:tblCellMar>
          <w:top w:w="0" w:type="dxa"/>
          <w:left w:w="0" w:type="dxa"/>
          <w:bottom w:w="0" w:type="dxa"/>
          <w:right w:w="0" w:type="dxa"/>
        </w:tblCellMar>
      </w:tblPr>
      <w:tblGrid>
        <w:gridCol w:w="293"/>
        <w:gridCol w:w="9912"/>
      </w:tblGrid>
      <w:tr>
        <w:trPr/>
        <w:tc>
          <w:tcPr>
            <w:tcW w:w="293" w:type="dxa"/>
            <w:tcBorders/>
            <w:shd w:fill="auto" w:val="clear"/>
            <w:vAlign w:val="center"/>
          </w:tcPr>
          <w:p>
            <w:pPr>
              <w:pStyle w:val="TableContents"/>
              <w:spacing w:before="0" w:after="0"/>
              <w:jc w:val="both"/>
              <w:rPr>
                <w:rFonts w:ascii="Times New Roman;Times;serif" w:hAnsi="Times New Roman;Times;serif"/>
                <w:color w:val="343434"/>
                <w:sz w:val="24"/>
              </w:rPr>
            </w:pPr>
            <w:r>
              <w:rPr>
                <w:rFonts w:ascii="Times New Roman;Times;serif" w:hAnsi="Times New Roman;Times;serif"/>
                <w:color w:val="343434"/>
                <w:sz w:val="24"/>
              </w:rPr>
              <w:t>14.</w:t>
            </w:r>
          </w:p>
        </w:tc>
        <w:tc>
          <w:tcPr>
            <w:tcW w:w="9912"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b/>
                <w:sz w:val="24"/>
              </w:rPr>
              <w:t xml:space="preserve">AMENDMENTS. </w:t>
            </w:r>
            <w:r>
              <w:rPr>
                <w:rFonts w:ascii="Times New Roman;Times;serif" w:hAnsi="Times New Roman;Times;serif"/>
                <w:sz w:val="24"/>
              </w:rPr>
              <w:t>This Agreement may only be amended by the mutual consent of all the parties hereto, which Amendment shall be in writing duly executed by the parties.</w:t>
            </w:r>
          </w:p>
        </w:tc>
      </w:tr>
    </w:tbl>
    <w:p>
      <w:pPr>
        <w:pStyle w:val="TextBody"/>
        <w:spacing w:before="0" w:after="1"/>
        <w:ind w:left="720" w:right="0" w:hanging="0"/>
        <w:rPr/>
      </w:pPr>
      <w:r>
        <w:rPr/>
        <w:t>​</w:t>
      </w:r>
    </w:p>
    <w:tbl>
      <w:tblPr>
        <w:tblW w:w="10205" w:type="dxa"/>
        <w:jc w:val="left"/>
        <w:tblInd w:w="0" w:type="dxa"/>
        <w:tblCellMar>
          <w:top w:w="0" w:type="dxa"/>
          <w:left w:w="0" w:type="dxa"/>
          <w:bottom w:w="0" w:type="dxa"/>
          <w:right w:w="0" w:type="dxa"/>
        </w:tblCellMar>
      </w:tblPr>
      <w:tblGrid>
        <w:gridCol w:w="280"/>
        <w:gridCol w:w="9925"/>
      </w:tblGrid>
      <w:tr>
        <w:trPr/>
        <w:tc>
          <w:tcPr>
            <w:tcW w:w="280" w:type="dxa"/>
            <w:tcBorders/>
            <w:shd w:fill="auto" w:val="clear"/>
            <w:vAlign w:val="center"/>
          </w:tcPr>
          <w:p>
            <w:pPr>
              <w:pStyle w:val="TableContents"/>
              <w:spacing w:before="0" w:after="0"/>
              <w:jc w:val="both"/>
              <w:rPr>
                <w:rFonts w:ascii="Times New Roman;Times;serif" w:hAnsi="Times New Roman;Times;serif"/>
                <w:color w:val="343434"/>
                <w:sz w:val="24"/>
              </w:rPr>
            </w:pPr>
            <w:r>
              <w:rPr>
                <w:rFonts w:ascii="Times New Roman;Times;serif" w:hAnsi="Times New Roman;Times;serif"/>
                <w:color w:val="343434"/>
                <w:sz w:val="24"/>
              </w:rPr>
              <w:t>15.</w:t>
            </w:r>
          </w:p>
        </w:tc>
        <w:tc>
          <w:tcPr>
            <w:tcW w:w="9925"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b/>
                <w:sz w:val="24"/>
              </w:rPr>
              <w:t xml:space="preserve">ENTIRE AGREEMENT. </w:t>
            </w:r>
            <w:r>
              <w:rPr>
                <w:rFonts w:ascii="Times New Roman;Times;serif" w:hAnsi="Times New Roman;Times;serif"/>
                <w:sz w:val="24"/>
              </w:rPr>
              <w:t>This Agreement constitutes the entire understanding and agreement between the parties hereto with regard to all matters herein. There are no other agreements, conditions or representations, oral or written, express or implied, with regard thereto.</w:t>
            </w:r>
          </w:p>
        </w:tc>
      </w:tr>
    </w:tbl>
    <w:p>
      <w:pPr>
        <w:pStyle w:val="TextBody"/>
        <w:spacing w:before="0" w:after="1"/>
        <w:ind w:left="720" w:right="0" w:hanging="0"/>
        <w:rPr/>
      </w:pPr>
      <w:r>
        <w:rPr/>
        <w:t>​</w:t>
      </w:r>
    </w:p>
    <w:tbl>
      <w:tblPr>
        <w:tblW w:w="10205" w:type="dxa"/>
        <w:jc w:val="left"/>
        <w:tblInd w:w="0" w:type="dxa"/>
        <w:tblCellMar>
          <w:top w:w="0" w:type="dxa"/>
          <w:left w:w="0" w:type="dxa"/>
          <w:bottom w:w="0" w:type="dxa"/>
          <w:right w:w="0" w:type="dxa"/>
        </w:tblCellMar>
      </w:tblPr>
      <w:tblGrid>
        <w:gridCol w:w="317"/>
        <w:gridCol w:w="9888"/>
      </w:tblGrid>
      <w:tr>
        <w:trPr/>
        <w:tc>
          <w:tcPr>
            <w:tcW w:w="317" w:type="dxa"/>
            <w:tcBorders/>
            <w:shd w:fill="auto" w:val="clear"/>
            <w:vAlign w:val="center"/>
          </w:tcPr>
          <w:p>
            <w:pPr>
              <w:pStyle w:val="TableContents"/>
              <w:spacing w:before="0" w:after="0"/>
              <w:jc w:val="both"/>
              <w:rPr>
                <w:rFonts w:ascii="Times New Roman;Times;serif" w:hAnsi="Times New Roman;Times;serif"/>
                <w:color w:val="343434"/>
                <w:sz w:val="24"/>
              </w:rPr>
            </w:pPr>
            <w:r>
              <w:rPr>
                <w:rFonts w:ascii="Times New Roman;Times;serif" w:hAnsi="Times New Roman;Times;serif"/>
                <w:color w:val="343434"/>
                <w:sz w:val="24"/>
              </w:rPr>
              <w:t>16.</w:t>
            </w:r>
          </w:p>
        </w:tc>
        <w:tc>
          <w:tcPr>
            <w:tcW w:w="9888"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b/>
                <w:sz w:val="24"/>
              </w:rPr>
              <w:t xml:space="preserve">JURISDICTION. </w:t>
            </w:r>
            <w:r>
              <w:rPr>
                <w:rFonts w:ascii="Times New Roman;Times;serif" w:hAnsi="Times New Roman;Times;serif"/>
                <w:sz w:val="24"/>
              </w:rPr>
              <w:t>This Agreement shall be construed in accordance with the laws of the State of Colorado.</w:t>
            </w:r>
          </w:p>
        </w:tc>
      </w:tr>
    </w:tbl>
    <w:p>
      <w:pPr>
        <w:pStyle w:val="TextBody"/>
        <w:spacing w:before="0" w:after="1"/>
        <w:ind w:left="720" w:right="0" w:hanging="0"/>
        <w:rPr/>
      </w:pPr>
      <w:r>
        <w:rPr/>
        <w:t>​</w:t>
      </w:r>
    </w:p>
    <w:tbl>
      <w:tblPr>
        <w:tblW w:w="10205" w:type="dxa"/>
        <w:jc w:val="left"/>
        <w:tblInd w:w="0" w:type="dxa"/>
        <w:tblCellMar>
          <w:top w:w="0" w:type="dxa"/>
          <w:left w:w="0" w:type="dxa"/>
          <w:bottom w:w="0" w:type="dxa"/>
          <w:right w:w="0" w:type="dxa"/>
        </w:tblCellMar>
      </w:tblPr>
      <w:tblGrid>
        <w:gridCol w:w="290"/>
        <w:gridCol w:w="9915"/>
      </w:tblGrid>
      <w:tr>
        <w:trPr/>
        <w:tc>
          <w:tcPr>
            <w:tcW w:w="290" w:type="dxa"/>
            <w:tcBorders/>
            <w:shd w:fill="auto" w:val="clear"/>
            <w:vAlign w:val="center"/>
          </w:tcPr>
          <w:p>
            <w:pPr>
              <w:pStyle w:val="TableContents"/>
              <w:spacing w:before="0" w:after="0"/>
              <w:jc w:val="both"/>
              <w:rPr>
                <w:rFonts w:ascii="Times New Roman;Times;serif" w:hAnsi="Times New Roman;Times;serif"/>
                <w:color w:val="343434"/>
                <w:sz w:val="24"/>
              </w:rPr>
            </w:pPr>
            <w:r>
              <w:rPr>
                <w:rFonts w:ascii="Times New Roman;Times;serif" w:hAnsi="Times New Roman;Times;serif"/>
                <w:color w:val="343434"/>
                <w:sz w:val="24"/>
              </w:rPr>
              <w:t>17.</w:t>
            </w:r>
          </w:p>
        </w:tc>
        <w:tc>
          <w:tcPr>
            <w:tcW w:w="9915"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b/>
                <w:sz w:val="24"/>
              </w:rPr>
              <w:t xml:space="preserve">NON-WAIVER. </w:t>
            </w:r>
            <w:r>
              <w:rPr>
                <w:rFonts w:ascii="Times New Roman;Times;serif" w:hAnsi="Times New Roman;Times;serif"/>
                <w:sz w:val="24"/>
              </w:rPr>
              <w:t>A delay or failure by either party to exercise a right under this Agreement, or a partial or single exercise of that right, shall not constitute a waiver of that or any other right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8</w:t>
      </w:r>
    </w:p>
    <w:p>
      <w:pPr>
        <w:pStyle w:val="HorizontalLine"/>
        <w:rPr/>
      </w:pPr>
      <w:r>
        <w:rPr/>
      </w:r>
    </w:p>
    <w:p>
      <w:pPr>
        <w:pStyle w:val="TextBody"/>
        <w:spacing w:before="0" w:after="1"/>
        <w:ind w:left="0" w:right="0" w:hanging="0"/>
        <w:rPr/>
      </w:pPr>
      <w:r>
        <w:rPr/>
        <w:t>​</w:t>
      </w:r>
    </w:p>
    <w:p>
      <w:pPr>
        <w:pStyle w:val="TextBody"/>
        <w:spacing w:before="0" w:after="0"/>
        <w:ind w:left="720" w:right="0" w:hanging="0"/>
        <w:jc w:val="both"/>
        <w:rPr>
          <w:rFonts w:ascii="Times New Roman;Times;serif" w:hAnsi="Times New Roman;Times;serif"/>
          <w:sz w:val="24"/>
        </w:rPr>
      </w:pPr>
      <w:r>
        <w:rPr>
          <w:rFonts w:ascii="Times New Roman;Times;serif" w:hAnsi="Times New Roman;Times;serif"/>
          <w:sz w:val="24"/>
        </w:rPr>
        <w:t>herein.</w:t>
      </w:r>
    </w:p>
    <w:p>
      <w:pPr>
        <w:pStyle w:val="TextBody"/>
        <w:spacing w:before="0" w:after="1"/>
        <w:ind w:left="720" w:right="0" w:hanging="0"/>
        <w:rPr/>
      </w:pPr>
      <w:r>
        <w:rPr/>
        <w:t>​</w:t>
      </w:r>
    </w:p>
    <w:tbl>
      <w:tblPr>
        <w:tblW w:w="10205" w:type="dxa"/>
        <w:jc w:val="left"/>
        <w:tblInd w:w="0" w:type="dxa"/>
        <w:tblCellMar>
          <w:top w:w="0" w:type="dxa"/>
          <w:left w:w="0" w:type="dxa"/>
          <w:bottom w:w="0" w:type="dxa"/>
          <w:right w:w="0" w:type="dxa"/>
        </w:tblCellMar>
      </w:tblPr>
      <w:tblGrid>
        <w:gridCol w:w="297"/>
        <w:gridCol w:w="9908"/>
      </w:tblGrid>
      <w:tr>
        <w:trPr/>
        <w:tc>
          <w:tcPr>
            <w:tcW w:w="297" w:type="dxa"/>
            <w:tcBorders/>
            <w:shd w:fill="auto" w:val="clear"/>
            <w:vAlign w:val="center"/>
          </w:tcPr>
          <w:p>
            <w:pPr>
              <w:pStyle w:val="TableContents"/>
              <w:spacing w:before="0" w:after="0"/>
              <w:jc w:val="both"/>
              <w:rPr>
                <w:rFonts w:ascii="Times New Roman;Times;serif" w:hAnsi="Times New Roman;Times;serif"/>
                <w:color w:val="343434"/>
                <w:sz w:val="24"/>
              </w:rPr>
            </w:pPr>
            <w:r>
              <w:rPr>
                <w:rFonts w:ascii="Times New Roman;Times;serif" w:hAnsi="Times New Roman;Times;serif"/>
                <w:color w:val="343434"/>
                <w:sz w:val="24"/>
              </w:rPr>
              <w:t>18.</w:t>
            </w:r>
          </w:p>
        </w:tc>
        <w:tc>
          <w:tcPr>
            <w:tcW w:w="9908"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b/>
                <w:sz w:val="24"/>
              </w:rPr>
              <w:t xml:space="preserve">BINDING EFFECT. </w:t>
            </w:r>
            <w:r>
              <w:rPr>
                <w:rFonts w:ascii="Times New Roman;Times;serif" w:hAnsi="Times New Roman;Times;serif"/>
                <w:sz w:val="24"/>
              </w:rPr>
              <w:t>The provisions of this Agreement shall be binding upon and inure to the benefit of both parties and their respective successors and assigns.</w:t>
            </w:r>
          </w:p>
        </w:tc>
      </w:tr>
    </w:tbl>
    <w:p>
      <w:pPr>
        <w:pStyle w:val="TextBody"/>
        <w:spacing w:before="0" w:after="1"/>
        <w:ind w:left="720" w:right="0" w:hanging="0"/>
        <w:rPr/>
      </w:pPr>
      <w:r>
        <w:rPr/>
        <w:t>​</w:t>
      </w:r>
    </w:p>
    <w:tbl>
      <w:tblPr>
        <w:tblW w:w="10205" w:type="dxa"/>
        <w:jc w:val="left"/>
        <w:tblInd w:w="0" w:type="dxa"/>
        <w:tblCellMar>
          <w:top w:w="0" w:type="dxa"/>
          <w:left w:w="0" w:type="dxa"/>
          <w:bottom w:w="0" w:type="dxa"/>
          <w:right w:w="0" w:type="dxa"/>
        </w:tblCellMar>
      </w:tblPr>
      <w:tblGrid>
        <w:gridCol w:w="304"/>
        <w:gridCol w:w="9901"/>
      </w:tblGrid>
      <w:tr>
        <w:trPr/>
        <w:tc>
          <w:tcPr>
            <w:tcW w:w="304" w:type="dxa"/>
            <w:tcBorders/>
            <w:shd w:fill="auto" w:val="clear"/>
            <w:vAlign w:val="center"/>
          </w:tcPr>
          <w:p>
            <w:pPr>
              <w:pStyle w:val="TableContents"/>
              <w:spacing w:before="0" w:after="0"/>
              <w:jc w:val="both"/>
              <w:rPr>
                <w:rFonts w:ascii="Times New Roman;Times;serif" w:hAnsi="Times New Roman;Times;serif"/>
                <w:color w:val="343434"/>
                <w:sz w:val="24"/>
              </w:rPr>
            </w:pPr>
            <w:r>
              <w:rPr>
                <w:rFonts w:ascii="Times New Roman;Times;serif" w:hAnsi="Times New Roman;Times;serif"/>
                <w:color w:val="343434"/>
                <w:sz w:val="24"/>
              </w:rPr>
              <w:t>19.</w:t>
            </w:r>
          </w:p>
        </w:tc>
        <w:tc>
          <w:tcPr>
            <w:tcW w:w="9901"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b/>
                <w:sz w:val="24"/>
              </w:rPr>
              <w:t xml:space="preserve">PRIOR AGREEMENTS. </w:t>
            </w:r>
            <w:r>
              <w:rPr>
                <w:rFonts w:ascii="Times New Roman;Times;serif" w:hAnsi="Times New Roman;Times;serif"/>
                <w:sz w:val="24"/>
              </w:rPr>
              <w:t>This Agreement supersedes and replaces all prior agreements and understandings, whether written or oral.</w:t>
            </w:r>
          </w:p>
        </w:tc>
      </w:tr>
    </w:tbl>
    <w:p>
      <w:pPr>
        <w:pStyle w:val="TextBody"/>
        <w:spacing w:before="0" w:after="1"/>
        <w:ind w:left="720" w:right="0" w:hanging="0"/>
        <w:rPr/>
      </w:pPr>
      <w:r>
        <w:rPr/>
        <w:t>​</w:t>
      </w:r>
    </w:p>
    <w:tbl>
      <w:tblPr>
        <w:tblW w:w="10205" w:type="dxa"/>
        <w:jc w:val="left"/>
        <w:tblInd w:w="0" w:type="dxa"/>
        <w:tblCellMar>
          <w:top w:w="0" w:type="dxa"/>
          <w:left w:w="0" w:type="dxa"/>
          <w:bottom w:w="0" w:type="dxa"/>
          <w:right w:w="0" w:type="dxa"/>
        </w:tblCellMar>
      </w:tblPr>
      <w:tblGrid>
        <w:gridCol w:w="285"/>
        <w:gridCol w:w="9920"/>
      </w:tblGrid>
      <w:tr>
        <w:trPr/>
        <w:tc>
          <w:tcPr>
            <w:tcW w:w="285" w:type="dxa"/>
            <w:tcBorders/>
            <w:shd w:fill="auto" w:val="clear"/>
            <w:vAlign w:val="center"/>
          </w:tcPr>
          <w:p>
            <w:pPr>
              <w:pStyle w:val="TableContents"/>
              <w:spacing w:before="0" w:after="0"/>
              <w:jc w:val="both"/>
              <w:rPr>
                <w:rFonts w:ascii="Times New Roman;Times;serif" w:hAnsi="Times New Roman;Times;serif"/>
                <w:color w:val="343434"/>
                <w:sz w:val="24"/>
              </w:rPr>
            </w:pPr>
            <w:r>
              <w:rPr>
                <w:rFonts w:ascii="Times New Roman;Times;serif" w:hAnsi="Times New Roman;Times;serif"/>
                <w:color w:val="343434"/>
                <w:sz w:val="24"/>
              </w:rPr>
              <w:t>20.</w:t>
            </w:r>
          </w:p>
        </w:tc>
        <w:tc>
          <w:tcPr>
            <w:tcW w:w="9920"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b/>
                <w:sz w:val="24"/>
              </w:rPr>
              <w:t xml:space="preserve">SECTION 409A. </w:t>
            </w:r>
            <w:r>
              <w:rPr>
                <w:rFonts w:ascii="Times New Roman;Times;serif" w:hAnsi="Times New Roman;Times;serif"/>
                <w:sz w:val="24"/>
              </w:rPr>
              <w:t>This Agreement and the various provisions within it are intended to either be exempt from or to meet the requirements of Section 409A of the Code, and shall be interpreted and construed consistent with that intent.</w:t>
            </w:r>
          </w:p>
        </w:tc>
      </w:tr>
    </w:tbl>
    <w:p>
      <w:pPr>
        <w:pStyle w:val="TextBody"/>
        <w:spacing w:before="0" w:after="1"/>
        <w:ind w:left="720" w:right="0" w:hanging="0"/>
        <w:rPr/>
      </w:pPr>
      <w:r>
        <w:rPr/>
        <w:t>​</w:t>
      </w:r>
    </w:p>
    <w:tbl>
      <w:tblPr>
        <w:tblW w:w="10205" w:type="dxa"/>
        <w:jc w:val="left"/>
        <w:tblInd w:w="0" w:type="dxa"/>
        <w:tblCellMar>
          <w:top w:w="0" w:type="dxa"/>
          <w:left w:w="0" w:type="dxa"/>
          <w:bottom w:w="0" w:type="dxa"/>
          <w:right w:w="0" w:type="dxa"/>
        </w:tblCellMar>
      </w:tblPr>
      <w:tblGrid>
        <w:gridCol w:w="23"/>
        <w:gridCol w:w="185"/>
        <w:gridCol w:w="9997"/>
      </w:tblGrid>
      <w:tr>
        <w:trPr/>
        <w:tc>
          <w:tcPr>
            <w:tcW w:w="2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1"/>
              <w:jc w:val="both"/>
              <w:rPr>
                <w:rFonts w:ascii="Times New Roman;Times;serif" w:hAnsi="Times New Roman;Times;serif"/>
                <w:color w:val="343434"/>
                <w:sz w:val="24"/>
              </w:rPr>
            </w:pPr>
            <w:r>
              <w:rPr>
                <w:rFonts w:ascii="Times New Roman;Times;serif" w:hAnsi="Times New Roman;Times;serif"/>
                <w:color w:val="343434"/>
                <w:sz w:val="24"/>
              </w:rPr>
              <w:t>a.</w:t>
            </w:r>
          </w:p>
        </w:tc>
        <w:tc>
          <w:tcPr>
            <w:tcW w:w="9997" w:type="dxa"/>
            <w:tcBorders/>
            <w:shd w:fill="auto" w:val="clear"/>
            <w:vAlign w:val="center"/>
          </w:tcPr>
          <w:p>
            <w:pPr>
              <w:pStyle w:val="TableContents"/>
              <w:spacing w:before="0" w:after="1"/>
              <w:jc w:val="both"/>
              <w:rPr>
                <w:rFonts w:ascii="Times New Roman;Times;serif" w:hAnsi="Times New Roman;Times;serif"/>
                <w:sz w:val="24"/>
              </w:rPr>
            </w:pPr>
            <w:r>
              <w:rPr>
                <w:rFonts w:ascii="Times New Roman;Times;serif" w:hAnsi="Times New Roman;Times;serif"/>
                <w:sz w:val="24"/>
              </w:rPr>
              <w:t>Payments with respect to reimbursements of expenses or benefits or provision of fringe or other in-kind benefits shall be made on or before the last day of the calendar year following the calendar year in which the relevant expense or benefit is incurred. The amount of expenses or benefits eligible for reimbursement, pay</w:t>
              <w:softHyphen/>
              <w:t>ment or provision during a calendar year shall not affect the expenses or benefits eligible for reimbursement, payment or provision in any other calendar year.</w:t>
            </w:r>
          </w:p>
        </w:tc>
      </w:tr>
    </w:tbl>
    <w:p>
      <w:pPr>
        <w:pStyle w:val="TextBody"/>
        <w:pBdr/>
        <w:spacing w:before="0" w:after="1"/>
        <w:ind w:left="720" w:right="0" w:hanging="630"/>
        <w:jc w:val="both"/>
        <w:rPr/>
      </w:pPr>
      <w:r>
        <w:rPr/>
        <w:t>​</w:t>
      </w:r>
    </w:p>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1"/>
              <w:jc w:val="both"/>
              <w:rPr>
                <w:rFonts w:ascii="Times New Roman;Times;serif" w:hAnsi="Times New Roman;Times;serif"/>
                <w:color w:val="343434"/>
                <w:sz w:val="24"/>
              </w:rPr>
            </w:pPr>
            <w:r>
              <w:rPr>
                <w:rFonts w:ascii="Times New Roman;Times;serif" w:hAnsi="Times New Roman;Times;serif"/>
                <w:color w:val="343434"/>
                <w:sz w:val="24"/>
              </w:rPr>
              <w:t>b.</w:t>
            </w:r>
          </w:p>
        </w:tc>
        <w:tc>
          <w:tcPr>
            <w:tcW w:w="9982" w:type="dxa"/>
            <w:tcBorders/>
            <w:shd w:fill="auto" w:val="clear"/>
            <w:vAlign w:val="center"/>
          </w:tcPr>
          <w:p>
            <w:pPr>
              <w:pStyle w:val="TableContents"/>
              <w:spacing w:before="0" w:after="1"/>
              <w:jc w:val="both"/>
              <w:rPr>
                <w:rFonts w:ascii="Times New Roman;Times;serif" w:hAnsi="Times New Roman;Times;serif"/>
                <w:sz w:val="24"/>
              </w:rPr>
            </w:pPr>
            <w:r>
              <w:rPr>
                <w:rFonts w:ascii="Times New Roman;Times;serif" w:hAnsi="Times New Roman;Times;serif"/>
                <w:sz w:val="24"/>
              </w:rPr>
              <w:t>A termination of employment shall not be deemed to have occurred for purposes of any provision of this Agreement providing for the payment of any amounts or benefits upon or following a termination of employment unless such termination is also a “separation from service” within the meaning of Section 409A of the Code and, for purposes of any such provision of this letter agreement, references to a “termination,” “termination of employment” or like terms shall mean “separation from service.”</w:t>
            </w:r>
          </w:p>
        </w:tc>
      </w:tr>
    </w:tbl>
    <w:p>
      <w:pPr>
        <w:pStyle w:val="TextBody"/>
        <w:pBdr/>
        <w:spacing w:before="0" w:after="1"/>
        <w:ind w:left="720" w:right="0" w:hanging="630"/>
        <w:rPr/>
      </w:pPr>
      <w:r>
        <w:rPr/>
        <w:t>​</w:t>
      </w:r>
    </w:p>
    <w:tbl>
      <w:tblPr>
        <w:tblW w:w="10205" w:type="dxa"/>
        <w:jc w:val="left"/>
        <w:tblInd w:w="0" w:type="dxa"/>
        <w:tblCellMar>
          <w:top w:w="0" w:type="dxa"/>
          <w:left w:w="0" w:type="dxa"/>
          <w:bottom w:w="0" w:type="dxa"/>
          <w:right w:w="0" w:type="dxa"/>
        </w:tblCellMar>
      </w:tblPr>
      <w:tblGrid>
        <w:gridCol w:w="23"/>
        <w:gridCol w:w="185"/>
        <w:gridCol w:w="9997"/>
      </w:tblGrid>
      <w:tr>
        <w:trPr/>
        <w:tc>
          <w:tcPr>
            <w:tcW w:w="2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1"/>
              <w:jc w:val="both"/>
              <w:rPr>
                <w:rFonts w:ascii="Times New Roman;Times;serif" w:hAnsi="Times New Roman;Times;serif"/>
                <w:color w:val="343434"/>
                <w:sz w:val="24"/>
              </w:rPr>
            </w:pPr>
            <w:r>
              <w:rPr>
                <w:rFonts w:ascii="Times New Roman;Times;serif" w:hAnsi="Times New Roman;Times;serif"/>
                <w:color w:val="343434"/>
                <w:sz w:val="24"/>
              </w:rPr>
              <w:t>c.</w:t>
            </w:r>
          </w:p>
        </w:tc>
        <w:tc>
          <w:tcPr>
            <w:tcW w:w="9997" w:type="dxa"/>
            <w:tcBorders/>
            <w:shd w:fill="auto" w:val="clear"/>
            <w:vAlign w:val="center"/>
          </w:tcPr>
          <w:p>
            <w:pPr>
              <w:pStyle w:val="TableContents"/>
              <w:spacing w:before="0" w:after="1"/>
              <w:jc w:val="both"/>
              <w:rPr>
                <w:rFonts w:ascii="Times New Roman;Times;serif" w:hAnsi="Times New Roman;Times;serif"/>
                <w:sz w:val="24"/>
              </w:rPr>
            </w:pPr>
            <w:r>
              <w:rPr>
                <w:rFonts w:ascii="Times New Roman;Times;serif" w:hAnsi="Times New Roman;Times;serif"/>
                <w:sz w:val="24"/>
              </w:rPr>
              <w:t>Notwithstanding any other payment schedule provided herein to the contrary, if the Employee is deemed on the date of termination to be a “specified employee” within the meaning of that term under Section 409A(a)(2)(B) of the Code, then with regard to any payment that is considered “nonqualified deferred compensation” under Section 409A of the Code payable on account of a “separation from service,” such payment shall be made on the date which is the earlier of (A) the expiration of the six-month period measured from the date of the Employee’s “separation from service”, and (B) the date of the Employee’s death (the “Delay Period”) to the extent required under Section 409A of the Code. Upon the expiration of the Delay Period, all payments delayed pursuant to this Section 20 (whether they would have otherwise been payable in a single sum or in installments in the absence of such delay) shall be paid to the Employee in a lump sum, and all remaining payments due under this Agreement shall be paid or provided in accordance with the normal payment dates specified for them herein.</w:t>
            </w:r>
          </w:p>
        </w:tc>
      </w:tr>
    </w:tbl>
    <w:p>
      <w:pPr>
        <w:pStyle w:val="TextBody"/>
        <w:pBdr/>
        <w:spacing w:before="0" w:after="0"/>
        <w:ind w:left="720" w:right="0" w:hanging="63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4"/>
        </w:rPr>
        <w:t>IN WITNESS WHEREOF</w:t>
      </w:r>
      <w:r>
        <w:rPr>
          <w:rFonts w:ascii="Times New Roman;Times;serif" w:hAnsi="Times New Roman;Times;serif"/>
          <w:sz w:val="24"/>
        </w:rPr>
        <w:t>, the parties have executed this Agreement on the date set forth above.</w:t>
      </w:r>
    </w:p>
    <w:p>
      <w:pPr>
        <w:pStyle w:val="TextBody"/>
        <w:spacing w:before="0" w:after="0"/>
        <w:ind w:left="0" w:right="0" w:firstLine="720"/>
        <w:jc w:val="both"/>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9</w:t>
      </w:r>
    </w:p>
    <w:p>
      <w:pPr>
        <w:pStyle w:val="HorizontalLine"/>
        <w:rPr/>
      </w:pPr>
      <w:r>
        <w:rPr/>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b/>
          <w:sz w:val="24"/>
        </w:rPr>
      </w:pPr>
      <w:r>
        <w:rPr>
          <w:rFonts w:ascii="Times New Roman;Times;serif" w:hAnsi="Times New Roman;Times;serif"/>
          <w:b/>
          <w:sz w:val="24"/>
        </w:rPr>
        <w:t>MEDICINE MAN TECHNOLOGIES, INC.</w:t>
      </w:r>
    </w:p>
    <w:p>
      <w:pPr>
        <w:pStyle w:val="TextBody"/>
        <w:spacing w:before="0" w:after="0"/>
        <w:ind w:left="0" w:right="0" w:hanging="0"/>
        <w:jc w:val="both"/>
        <w:rPr/>
      </w:pPr>
      <w:r>
        <w:rPr/>
        <w:t>​</w:t>
      </w:r>
    </w:p>
    <w:tbl>
      <w:tblPr>
        <w:tblW w:w="3305" w:type="dxa"/>
        <w:jc w:val="center"/>
        <w:tblInd w:w="0" w:type="dxa"/>
        <w:tblCellMar>
          <w:top w:w="0" w:type="dxa"/>
          <w:left w:w="0" w:type="dxa"/>
          <w:bottom w:w="28" w:type="dxa"/>
          <w:right w:w="0" w:type="dxa"/>
        </w:tblCellMar>
      </w:tblPr>
      <w:tblGrid>
        <w:gridCol w:w="3151"/>
        <w:gridCol w:w="154"/>
      </w:tblGrid>
      <w:tr>
        <w:trPr/>
        <w:tc>
          <w:tcPr>
            <w:tcW w:w="3151" w:type="dxa"/>
            <w:tcBorders>
              <w:bottom w:val="single" w:sz="2" w:space="0" w:color="000000"/>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/s/Nirup Krishnamurthy</w:t>
            </w:r>
          </w:p>
        </w:tc>
        <w:tc>
          <w:tcPr>
            <w:tcW w:w="154" w:type="dxa"/>
            <w:tcBorders>
              <w:bottom w:val="single" w:sz="2" w:space="0" w:color="000000"/>
            </w:tcBorders>
            <w:shd w:fill="auto" w:val="clear"/>
            <w:vAlign w:val="center"/>
          </w:tcPr>
          <w:p>
            <w:pPr>
              <w:pStyle w:val="TableContents"/>
              <w:spacing w:before="0" w:after="0"/>
              <w:ind w:left="0" w:right="0" w:hanging="0"/>
              <w:rPr/>
            </w:pPr>
            <w:r>
              <w:rPr/>
              <w:t>​</w:t>
            </w:r>
          </w:p>
        </w:tc>
      </w:tr>
      <w:tr>
        <w:trPr/>
        <w:tc>
          <w:tcPr>
            <w:tcW w:w="3151" w:type="dxa"/>
            <w:tcBorders>
              <w:top w:val="single" w:sz="2" w:space="0" w:color="000000"/>
            </w:tcBorders>
            <w:shd w:fill="auto" w:val="clear"/>
            <w:tcMar>
              <w:top w:w="28" w:type="dxa"/>
              <w:bottom w:w="0"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Nirup Krishnamurthy, President</w:t>
            </w:r>
          </w:p>
        </w:tc>
        <w:tc>
          <w:tcPr>
            <w:tcW w:w="154" w:type="dxa"/>
            <w:tcBorders/>
            <w:shd w:fill="auto" w:val="clear"/>
            <w:tcMar>
              <w:bottom w:w="0" w:type="dxa"/>
            </w:tcMar>
            <w:vAlign w:val="center"/>
          </w:tcPr>
          <w:p>
            <w:pPr>
              <w:pStyle w:val="TableContents"/>
              <w:spacing w:before="0" w:after="0"/>
              <w:ind w:left="0" w:right="0" w:hanging="0"/>
              <w:rPr/>
            </w:pPr>
            <w:r>
              <w:rPr/>
              <w:t>​</w:t>
            </w:r>
          </w:p>
        </w:tc>
      </w:tr>
      <w:tr>
        <w:trPr/>
        <w:tc>
          <w:tcPr>
            <w:tcW w:w="3151" w:type="dxa"/>
            <w:tcBorders/>
            <w:shd w:fill="auto" w:val="clear"/>
            <w:tcMar>
              <w:bottom w:w="0" w:type="dxa"/>
            </w:tcMar>
            <w:vAlign w:val="center"/>
          </w:tcPr>
          <w:p>
            <w:pPr>
              <w:pStyle w:val="TableContents"/>
              <w:spacing w:before="0" w:after="0"/>
              <w:ind w:left="0" w:right="0" w:hanging="0"/>
              <w:rPr/>
            </w:pPr>
            <w:r>
              <w:rPr/>
              <w:t>​</w:t>
            </w:r>
          </w:p>
        </w:tc>
        <w:tc>
          <w:tcPr>
            <w:tcW w:w="154" w:type="dxa"/>
            <w:tcBorders/>
            <w:shd w:fill="auto" w:val="clear"/>
            <w:tcMar>
              <w:bottom w:w="0" w:type="dxa"/>
            </w:tcMar>
            <w:vAlign w:val="center"/>
          </w:tcPr>
          <w:p>
            <w:pPr>
              <w:pStyle w:val="TableContents"/>
              <w:spacing w:before="0" w:after="0"/>
              <w:ind w:left="0" w:right="0" w:hanging="0"/>
              <w:rPr/>
            </w:pPr>
            <w:r>
              <w:rPr/>
              <w:t>​</w:t>
            </w:r>
          </w:p>
        </w:tc>
      </w:tr>
      <w:tr>
        <w:trPr/>
        <w:tc>
          <w:tcPr>
            <w:tcW w:w="3151" w:type="dxa"/>
            <w:tcBorders/>
            <w:shd w:fill="auto" w:val="clear"/>
            <w:tcMar>
              <w:bottom w:w="0" w:type="dxa"/>
            </w:tcM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EMPLOYEE</w:t>
            </w:r>
          </w:p>
        </w:tc>
        <w:tc>
          <w:tcPr>
            <w:tcW w:w="154" w:type="dxa"/>
            <w:tcBorders/>
            <w:shd w:fill="auto" w:val="clear"/>
            <w:tcMar>
              <w:bottom w:w="0" w:type="dxa"/>
            </w:tcMar>
            <w:vAlign w:val="center"/>
          </w:tcPr>
          <w:p>
            <w:pPr>
              <w:pStyle w:val="TableContents"/>
              <w:spacing w:before="0" w:after="0"/>
              <w:ind w:left="0" w:right="0" w:hanging="0"/>
              <w:rPr/>
            </w:pPr>
            <w:r>
              <w:rPr/>
              <w:t>​</w:t>
            </w:r>
          </w:p>
        </w:tc>
      </w:tr>
      <w:tr>
        <w:trPr/>
        <w:tc>
          <w:tcPr>
            <w:tcW w:w="3151" w:type="dxa"/>
            <w:tcBorders/>
            <w:shd w:fill="auto" w:val="clear"/>
            <w:tcMar>
              <w:bottom w:w="0" w:type="dxa"/>
            </w:tcMar>
            <w:vAlign w:val="center"/>
          </w:tcPr>
          <w:p>
            <w:pPr>
              <w:pStyle w:val="TableContents"/>
              <w:spacing w:before="0" w:after="0"/>
              <w:ind w:left="0" w:right="0" w:hanging="0"/>
              <w:rPr/>
            </w:pPr>
            <w:r>
              <w:rPr/>
              <w:t>​</w:t>
            </w:r>
          </w:p>
        </w:tc>
        <w:tc>
          <w:tcPr>
            <w:tcW w:w="154" w:type="dxa"/>
            <w:tcBorders/>
            <w:shd w:fill="auto" w:val="clear"/>
            <w:tcMar>
              <w:bottom w:w="0" w:type="dxa"/>
            </w:tcMar>
            <w:vAlign w:val="center"/>
          </w:tcPr>
          <w:p>
            <w:pPr>
              <w:pStyle w:val="TableContents"/>
              <w:spacing w:before="0" w:after="0"/>
              <w:ind w:left="0" w:right="0" w:hanging="0"/>
              <w:rPr/>
            </w:pPr>
            <w:r>
              <w:rPr/>
              <w:t>​</w:t>
            </w:r>
          </w:p>
        </w:tc>
      </w:tr>
      <w:tr>
        <w:trPr/>
        <w:tc>
          <w:tcPr>
            <w:tcW w:w="3151" w:type="dxa"/>
            <w:tcBorders>
              <w:bottom w:val="single" w:sz="2" w:space="0" w:color="000000"/>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/s/ Christine Jones</w:t>
            </w:r>
          </w:p>
        </w:tc>
        <w:tc>
          <w:tcPr>
            <w:tcW w:w="154" w:type="dxa"/>
            <w:tcBorders>
              <w:bottom w:val="single" w:sz="2" w:space="0" w:color="000000"/>
            </w:tcBorders>
            <w:shd w:fill="auto" w:val="clear"/>
            <w:vAlign w:val="center"/>
          </w:tcPr>
          <w:p>
            <w:pPr>
              <w:pStyle w:val="TableContents"/>
              <w:spacing w:before="0" w:after="0"/>
              <w:ind w:left="0" w:right="0" w:hanging="0"/>
              <w:rPr/>
            </w:pPr>
            <w:r>
              <w:rPr/>
              <w:t>​</w:t>
            </w:r>
          </w:p>
        </w:tc>
      </w:tr>
      <w:tr>
        <w:trPr/>
        <w:tc>
          <w:tcPr>
            <w:tcW w:w="3151" w:type="dxa"/>
            <w:tcBorders>
              <w:top w:val="single" w:sz="2" w:space="0" w:color="000000"/>
            </w:tcBorders>
            <w:shd w:fill="auto" w:val="clear"/>
            <w:tcMar>
              <w:top w:w="28" w:type="dxa"/>
              <w:bottom w:w="0"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Christine Jones, Employee</w:t>
            </w:r>
          </w:p>
        </w:tc>
        <w:tc>
          <w:tcPr>
            <w:tcW w:w="154" w:type="dxa"/>
            <w:tcBorders/>
            <w:shd w:fill="auto" w:val="clear"/>
            <w:tcMar>
              <w:bottom w:w="0" w:type="dxa"/>
            </w:tcM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10</w:t>
      </w:r>
    </w:p>
    <w:p>
      <w:pPr>
        <w:pStyle w:val="HorizontalLine"/>
        <w:rPr/>
      </w:pPr>
      <w:r>
        <w:rPr/>
      </w:r>
      <w:r>
        <w:br w:type="page"/>
      </w:r>
    </w:p>
    <w:p>
      <w:pPr>
        <w:pStyle w:val="TextBody"/>
        <w:spacing w:before="0" w:after="60"/>
        <w:ind w:left="0" w:right="0" w:hanging="0"/>
        <w:jc w:val="right"/>
        <w:rPr>
          <w:rFonts w:ascii="Times New Roman;Times;serif" w:hAnsi="Times New Roman;Times;serif"/>
          <w:b/>
          <w:sz w:val="24"/>
        </w:rPr>
      </w:pPr>
      <w:bookmarkStart w:id="1256" w:name="shwz-20221231xex10d41.htm"/>
      <w:bookmarkStart w:id="1257" w:name="ksshwz20221231xex10d41"/>
      <w:bookmarkEnd w:id="1256"/>
      <w:bookmarkEnd w:id="1257"/>
      <w:r>
        <w:rPr>
          <w:rFonts w:ascii="Times New Roman;Times;serif" w:hAnsi="Times New Roman;Times;serif"/>
          <w:b/>
          <w:sz w:val="24"/>
        </w:rPr>
        <w:t>Exhibit 10.41</w:t>
      </w:r>
    </w:p>
    <w:p>
      <w:pPr>
        <w:pStyle w:val="TextBody"/>
        <w:spacing w:before="0" w:after="60"/>
        <w:ind w:left="0" w:right="0" w:hanging="0"/>
        <w:jc w:val="center"/>
        <w:rPr/>
      </w:pPr>
      <w:r>
        <w:rPr/>
        <w:t>​</w:t>
      </w:r>
    </w:p>
    <w:p>
      <w:pPr>
        <w:pStyle w:val="TextBody"/>
        <w:spacing w:before="0" w:after="60"/>
        <w:ind w:left="0" w:right="0" w:hanging="0"/>
        <w:jc w:val="center"/>
        <w:rPr>
          <w:rFonts w:ascii="Times New Roman;Times;serif" w:hAnsi="Times New Roman;Times;serif"/>
          <w:b/>
          <w:sz w:val="24"/>
        </w:rPr>
      </w:pPr>
      <w:r>
        <w:rPr>
          <w:rFonts w:ascii="Times New Roman;Times;serif" w:hAnsi="Times New Roman;Times;serif"/>
          <w:b/>
          <w:sz w:val="24"/>
        </w:rPr>
        <w:t>SEVERANCE AGREEMENT AND RELEASE</w:t>
      </w:r>
    </w:p>
    <w:p>
      <w:pPr>
        <w:pStyle w:val="TextBody"/>
        <w:spacing w:before="0" w:after="0"/>
        <w:ind w:left="0" w:right="0" w:firstLine="720"/>
        <w:jc w:val="both"/>
        <w:rPr/>
      </w:pPr>
      <w:r>
        <w:rPr/>
        <w: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4"/>
        </w:rPr>
        <w:t xml:space="preserve">This Severance Agreement and Release (referred to herein as “Agreement”) is made and entered into by </w:t>
      </w:r>
      <w:r>
        <w:rPr>
          <w:rFonts w:ascii="Times New Roman;Times;serif" w:hAnsi="Times New Roman;Times;serif"/>
          <w:b/>
          <w:sz w:val="24"/>
        </w:rPr>
        <w:t xml:space="preserve">NANCY HUBER </w:t>
      </w:r>
      <w:r>
        <w:rPr>
          <w:rFonts w:ascii="Times New Roman;Times;serif" w:hAnsi="Times New Roman;Times;serif"/>
          <w:sz w:val="24"/>
        </w:rPr>
        <w:t xml:space="preserve">(“Employee”) and </w:t>
      </w:r>
      <w:r>
        <w:rPr>
          <w:rFonts w:ascii="Times New Roman;Times;serif" w:hAnsi="Times New Roman;Times;serif"/>
          <w:b/>
          <w:sz w:val="24"/>
        </w:rPr>
        <w:t>MEDICINE MAN TECHNOLOGIES, INC. (MMT)</w:t>
      </w:r>
      <w:r>
        <w:rPr>
          <w:rFonts w:ascii="Times New Roman;Times;serif" w:hAnsi="Times New Roman;Times;serif"/>
          <w:sz w:val="24"/>
        </w:rPr>
        <w:t>, a corporation duly organized under the laws of the state of Nevada and having its principal place of business at 4880 Havana Street, Suite 201 South, Denver, Colorado 80239 (hereinafter referred to as the “Employer” “MMT” or “the Company”). The parties to this Agreement are referred to collectively herein as the “Parties.”</w:t>
      </w:r>
    </w:p>
    <w:p>
      <w:pPr>
        <w:pStyle w:val="TextBody"/>
        <w:spacing w:before="0" w:after="240"/>
        <w:ind w:left="0" w:right="0" w:hanging="0"/>
        <w:jc w:val="center"/>
        <w:rPr>
          <w:rFonts w:ascii="Times New Roman;Times;serif" w:hAnsi="Times New Roman;Times;serif"/>
          <w:b/>
          <w:sz w:val="24"/>
        </w:rPr>
      </w:pPr>
      <w:r>
        <w:rPr>
          <w:rFonts w:ascii="Times New Roman;Times;serif" w:hAnsi="Times New Roman;Times;serif"/>
          <w:b/>
          <w:sz w:val="24"/>
        </w:rPr>
        <w:t>RECITALS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sz w:val="24"/>
        </w:rPr>
        <w:t>WHEREAS</w:t>
      </w:r>
      <w:r>
        <w:rPr>
          <w:rFonts w:ascii="Times New Roman;Times;serif" w:hAnsi="Times New Roman;Times;serif"/>
          <w:sz w:val="20"/>
        </w:rPr>
        <w:t xml:space="preserve"> </w:t>
      </w:r>
      <w:r>
        <w:rPr>
          <w:rFonts w:ascii="Times New Roman;Times;serif" w:hAnsi="Times New Roman;Times;serif"/>
          <w:sz w:val="24"/>
        </w:rPr>
        <w:t>Employee has been employed by the Company since August 19, 2019;</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sz w:val="24"/>
        </w:rPr>
        <w:t>WHEREAS</w:t>
      </w:r>
      <w:r>
        <w:rPr>
          <w:rFonts w:ascii="Times New Roman;Times;serif" w:hAnsi="Times New Roman;Times;serif"/>
          <w:sz w:val="20"/>
        </w:rPr>
        <w:t xml:space="preserve"> </w:t>
      </w:r>
      <w:r>
        <w:rPr>
          <w:rFonts w:ascii="Times New Roman;Times;serif" w:hAnsi="Times New Roman;Times;serif"/>
          <w:sz w:val="24"/>
        </w:rPr>
        <w:t>Employee and the Company desire to mutually agree to terminate Employee’s employment pursuant Section 4(a)(1) to Employee’s December 5, 2019 Employment Agreement (the “Employment Agreement”);</w:t>
      </w:r>
    </w:p>
    <w:p>
      <w:pPr>
        <w:pStyle w:val="TextBody"/>
        <w:spacing w:before="0" w:after="240"/>
        <w:ind w:left="0" w:right="0" w:hanging="0"/>
        <w:jc w:val="center"/>
        <w:rPr>
          <w:rFonts w:ascii="Times New Roman;Times;serif" w:hAnsi="Times New Roman;Times;serif"/>
          <w:b/>
          <w:sz w:val="24"/>
        </w:rPr>
      </w:pPr>
      <w:r>
        <w:rPr>
          <w:rFonts w:ascii="Times New Roman;Times;serif" w:hAnsi="Times New Roman;Times;serif"/>
          <w:b/>
          <w:sz w:val="24"/>
        </w:rPr>
        <w:t>AGREEMENT</w:t>
      </w:r>
    </w:p>
    <w:p>
      <w:pPr>
        <w:pStyle w:val="TextBody"/>
        <w:spacing w:before="0" w:after="240"/>
        <w:ind w:left="0" w:right="0" w:firstLine="720"/>
        <w:jc w:val="both"/>
        <w:rPr>
          <w:rFonts w:ascii="Times New Roman;Times;serif" w:hAnsi="Times New Roman;Times;serif"/>
          <w:sz w:val="24"/>
        </w:rPr>
      </w:pPr>
      <w:r>
        <w:rPr>
          <w:rFonts w:ascii="Times New Roman;Times;serif" w:hAnsi="Times New Roman;Times;serif"/>
          <w:sz w:val="24"/>
        </w:rPr>
        <w:t>NOW, THEREFORE, for and in consideration of the premises, agreements, covenants and conditions contained herein, the adequacy and sufficiency of which are hereby expressly acknowledged, Employee agrees as follows:</w:t>
      </w:r>
    </w:p>
    <w:tbl>
      <w:tblPr>
        <w:tblW w:w="4690" w:type="dxa"/>
        <w:jc w:val="left"/>
        <w:tblInd w:w="0" w:type="dxa"/>
        <w:tblCellMar>
          <w:top w:w="0" w:type="dxa"/>
          <w:left w:w="0" w:type="dxa"/>
          <w:bottom w:w="0" w:type="dxa"/>
          <w:right w:w="0" w:type="dxa"/>
        </w:tblCellMar>
      </w:tblPr>
      <w:tblGrid>
        <w:gridCol w:w="200"/>
        <w:gridCol w:w="4490"/>
      </w:tblGrid>
      <w:tr>
        <w:trPr/>
        <w:tc>
          <w:tcPr>
            <w:tcW w:w="20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1.</w:t>
            </w:r>
          </w:p>
        </w:tc>
        <w:tc>
          <w:tcPr>
            <w:tcW w:w="449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SEPARATION AND ACCRUED WAGES</w:t>
            </w:r>
          </w:p>
        </w:tc>
      </w:tr>
    </w:tbl>
    <w:p>
      <w:pPr>
        <w:pStyle w:val="TextBody"/>
        <w:spacing w:before="0" w:after="240"/>
        <w:ind w:left="0" w:right="0" w:firstLine="720"/>
        <w:jc w:val="both"/>
        <w:rPr>
          <w:rFonts w:ascii="Times New Roman;Times;serif" w:hAnsi="Times New Roman;Times;serif"/>
          <w:sz w:val="24"/>
        </w:rPr>
      </w:pPr>
      <w:r>
        <w:rPr>
          <w:rFonts w:ascii="Times New Roman;Times;serif" w:hAnsi="Times New Roman;Times;serif"/>
          <w:sz w:val="24"/>
        </w:rPr>
        <w:t>Employee was terminated from the Company on [omitted] (“Separation Date” which has been mutually agreed to be no later than March 31, 2023). On the Separation Date, the Company paid Employee all accrued wages through the Separation Date, subject to standard payroll deductions and withholdings. The Company also reimbursed Employee for all approved expenses made on behalf of the Company. Employee agrees that upon receipt of his final check, Employee has received all wages, bonus, and benefits owed to her by the Company.</w:t>
      </w:r>
    </w:p>
    <w:tbl>
      <w:tblPr>
        <w:tblW w:w="4000" w:type="dxa"/>
        <w:jc w:val="left"/>
        <w:tblInd w:w="0" w:type="dxa"/>
        <w:tblCellMar>
          <w:top w:w="0" w:type="dxa"/>
          <w:left w:w="0" w:type="dxa"/>
          <w:bottom w:w="0" w:type="dxa"/>
          <w:right w:w="0" w:type="dxa"/>
        </w:tblCellMar>
      </w:tblPr>
      <w:tblGrid>
        <w:gridCol w:w="200"/>
        <w:gridCol w:w="3800"/>
      </w:tblGrid>
      <w:tr>
        <w:trPr/>
        <w:tc>
          <w:tcPr>
            <w:tcW w:w="20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2.</w:t>
            </w:r>
          </w:p>
        </w:tc>
        <w:tc>
          <w:tcPr>
            <w:tcW w:w="380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PAYMENT AND TAX LIABILITY</w:t>
            </w:r>
          </w:p>
        </w:tc>
      </w:tr>
    </w:tbl>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In consideration for the covenants undertaken and releases given herein by Employee, and provided that Employee executes and does not revoke this Agreement, is not in breach or default of this Agreement, and has performed all of his obligations under this Agreement, the Company agrees that it shall provide Employee with the following:</w:t>
      </w:r>
    </w:p>
    <w:p>
      <w:pPr>
        <w:pStyle w:val="TextBody"/>
        <w:spacing w:before="0" w:after="240"/>
        <w:ind w:left="0" w:right="0" w:firstLine="1440"/>
        <w:jc w:val="both"/>
        <w:rPr>
          <w:rFonts w:ascii="Times New Roman;Times;serif" w:hAnsi="Times New Roman;Times;serif"/>
          <w:sz w:val="24"/>
        </w:rPr>
      </w:pPr>
      <w:r>
        <w:rPr>
          <w:rFonts w:ascii="Times New Roman;Times;serif" w:hAnsi="Times New Roman;Times;serif"/>
          <w:sz w:val="24"/>
        </w:rPr>
        <w:t>(i) 12 months’ pay, in the total net amount of Two Hundred Twenty-Five Thousand Dollars ($225,000.00), payable in 26 equal disbursements pursuant to the Company’s regularly-scheduled payroll and subject to appropriate and required withholdings, if any.</w:t>
      </w:r>
    </w:p>
    <w:p>
      <w:pPr>
        <w:pStyle w:val="TextBody"/>
        <w:spacing w:before="0" w:after="100"/>
        <w:ind w:left="0" w:right="0" w:firstLine="1440"/>
        <w:jc w:val="both"/>
        <w:rPr>
          <w:rFonts w:ascii="Times New Roman;Times;serif" w:hAnsi="Times New Roman;Times;serif"/>
          <w:sz w:val="24"/>
        </w:rPr>
      </w:pPr>
      <w:r>
        <w:rPr>
          <w:rFonts w:ascii="Times New Roman;Times;serif" w:hAnsi="Times New Roman;Times;serif"/>
          <w:sz w:val="24"/>
        </w:rPr>
        <w:t>(ii) the number of shares of Common Stock subject to the Option which would have vested, had the Employee maintained employment with the Company, through December 6, 2023.</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-1-</w:t>
      </w:r>
    </w:p>
    <w:p>
      <w:pPr>
        <w:pStyle w:val="HorizontalLine"/>
        <w:rPr/>
      </w:pPr>
      <w:r>
        <w:rPr/>
      </w:r>
    </w:p>
    <w:p>
      <w:pPr>
        <w:pStyle w:val="TextBody"/>
        <w:spacing w:before="0" w:after="240"/>
        <w:ind w:left="0" w:right="0" w:firstLine="1440"/>
        <w:jc w:val="both"/>
        <w:rPr>
          <w:rFonts w:ascii="Times New Roman;Times;serif" w:hAnsi="Times New Roman;Times;serif"/>
          <w:sz w:val="24"/>
        </w:rPr>
      </w:pPr>
      <w:r>
        <w:rPr>
          <w:rFonts w:ascii="Times New Roman;Times;serif" w:hAnsi="Times New Roman;Times;serif"/>
          <w:sz w:val="24"/>
        </w:rPr>
        <w:t>(iii) subject to Board approval, the number of shares of Common Stock subject to the Option which would have vested, had the Employee maintained employment with the Company, through April 1, 2024 following the date on which the termination without Cause occurred</w:t>
      </w:r>
    </w:p>
    <w:p>
      <w:pPr>
        <w:pStyle w:val="TextBody"/>
        <w:spacing w:before="0" w:after="240"/>
        <w:ind w:left="720" w:right="0" w:firstLine="720"/>
        <w:jc w:val="both"/>
        <w:rPr>
          <w:rFonts w:ascii="Times New Roman;Times;serif" w:hAnsi="Times New Roman;Times;serif"/>
          <w:sz w:val="24"/>
        </w:rPr>
      </w:pPr>
      <w:r>
        <w:rPr>
          <w:rFonts w:ascii="Times New Roman;Times;serif" w:hAnsi="Times New Roman;Times;serif"/>
          <w:sz w:val="24"/>
        </w:rPr>
        <w:t>(iv) continuation of family health care coverage on the Company’s regular and customary payroll cycle until and ending one year from the Effective Date of this Agreement (defined below), at the Company’s expense and subject to the Company’s compliance with applicable state and federal law.</w:t>
      </w:r>
    </w:p>
    <w:p>
      <w:pPr>
        <w:pStyle w:val="TextBody"/>
        <w:spacing w:before="0" w:after="240"/>
        <w:ind w:left="720" w:right="0" w:firstLine="720"/>
        <w:jc w:val="both"/>
        <w:rPr>
          <w:rFonts w:ascii="Times New Roman;Times;serif" w:hAnsi="Times New Roman;Times;serif"/>
          <w:sz w:val="24"/>
        </w:rPr>
      </w:pPr>
      <w:r>
        <w:rPr>
          <w:rFonts w:ascii="Times New Roman;Times;serif" w:hAnsi="Times New Roman;Times;serif"/>
          <w:sz w:val="24"/>
        </w:rPr>
        <w:t>(v) applicable relocation expenses from Denver to Phoenix including buyout of any remaining term of current lease, which would have been incurred after 9/22/2022 and not to exceed $15,000 in approved relocation expenses.</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Employee shall incur any and all tax liability on the payment that is being provided by the Company, as outlined above.</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4"/>
        </w:rPr>
        <w:t xml:space="preserve">This consideration is over and above all wages due, and Employee agrees that she is not otherwise entitled to receive an additional severance sum from the Company above and beyond what is set out in her Employment Agreement and that the severance sum is above and in addition to all wages owed to her. </w:t>
      </w:r>
      <w:r>
        <w:rPr>
          <w:rFonts w:ascii="Times New Roman;Times;serif" w:hAnsi="Times New Roman;Times;serif"/>
          <w:sz w:val="24"/>
        </w:rPr>
        <w:t>Employee further agrees that the consideration set forth above constitutes the entire consideration provided to her under this Agreement and that she shall not seek any further compensation or consideration (including additional stock options) from the Releasees (defined below) for claimed damages, costs, or attorneys’ fees in connection with any claim released here.</w:t>
      </w:r>
    </w:p>
    <w:p>
      <w:pPr>
        <w:pStyle w:val="TextBody"/>
        <w:spacing w:before="0" w:after="0"/>
        <w:ind w:left="0" w:right="0" w:firstLine="720"/>
        <w:jc w:val="both"/>
        <w:rPr/>
      </w:pPr>
      <w:r>
        <w:rPr/>
        <w:t>​</w:t>
      </w:r>
    </w:p>
    <w:tbl>
      <w:tblPr>
        <w:tblW w:w="2650" w:type="dxa"/>
        <w:jc w:val="left"/>
        <w:tblInd w:w="0" w:type="dxa"/>
        <w:tblCellMar>
          <w:top w:w="0" w:type="dxa"/>
          <w:left w:w="0" w:type="dxa"/>
          <w:bottom w:w="0" w:type="dxa"/>
          <w:right w:w="0" w:type="dxa"/>
        </w:tblCellMar>
      </w:tblPr>
      <w:tblGrid>
        <w:gridCol w:w="200"/>
        <w:gridCol w:w="2450"/>
      </w:tblGrid>
      <w:tr>
        <w:trPr/>
        <w:tc>
          <w:tcPr>
            <w:tcW w:w="20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3.</w:t>
            </w:r>
          </w:p>
        </w:tc>
        <w:tc>
          <w:tcPr>
            <w:tcW w:w="245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GENERAL RELEASE</w:t>
            </w:r>
          </w:p>
        </w:tc>
      </w:tr>
    </w:tbl>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In exchange for the payment described in Paragraph 2A and the other promises contained herein, Employee hereby forever releases and discharges the Company, its affiliates, owners, predecessors, successors, parents, subsidiaries, divisions, heirs, assigns, executives, present and former representatives, present and former employees, consultants, agents, insurers and attorneys from any and all claims, federal or state actions, appeals, demands, causes of action, liabilities, damages, interest, attorneys’ fees and expenses whatsoever, whether in law or equity or otherwise, and whether known or unknown.</w:t>
      </w:r>
    </w:p>
    <w:p>
      <w:pPr>
        <w:pStyle w:val="TextBody"/>
        <w:spacing w:before="0" w:after="240"/>
        <w:ind w:left="0" w:right="0" w:firstLine="720"/>
        <w:rPr>
          <w:rFonts w:ascii="Times New Roman;Times;serif" w:hAnsi="Times New Roman;Times;serif"/>
          <w:sz w:val="24"/>
        </w:rPr>
      </w:pPr>
      <w:r>
        <w:rPr>
          <w:rFonts w:ascii="Times New Roman;Times;serif" w:hAnsi="Times New Roman;Times;serif"/>
          <w:sz w:val="24"/>
        </w:rPr>
        <w:t>All of the released entities described above are collectively referred to as the “Releasees.”</w:t>
      </w:r>
    </w:p>
    <w:p>
      <w:pPr>
        <w:pStyle w:val="TextBody"/>
        <w:spacing w:before="0" w:after="240"/>
        <w:ind w:left="0" w:right="0" w:firstLine="720"/>
        <w:jc w:val="both"/>
        <w:rPr>
          <w:rFonts w:ascii="Times New Roman;Times;serif" w:hAnsi="Times New Roman;Times;serif"/>
          <w:sz w:val="24"/>
        </w:rPr>
      </w:pPr>
      <w:r>
        <w:rPr>
          <w:rFonts w:ascii="Times New Roman;Times;serif" w:hAnsi="Times New Roman;Times;serif"/>
          <w:sz w:val="24"/>
        </w:rPr>
        <w:t>This release includes, but is not limited to, all claims, demands, federal or state administrative actions, appeals, and causes of action arising out of or in any way related to: (a) all federal, state, and local laws, including, without limitation, the following federal and state statutes, as amended, and their corresponding regulations: the Americans with Disabilities Act Amendments Act of 2008 and any subsequent amendments, the Civil Rights Act of 1991, the Civil Rights Acts of 1866 and 1871, 42 U.S.C. § 1981, 42 U.S.C. § 1983, Title VII of the Civil Rights Act of 1964, the Age Discrimination in Employment Act of 1967 and any subsequent amendments, the Fair Labor Standards Act, the Employee Retirement Income Security Act, the Americans with Disabilities Act of 1990, the Equal Pay Act of 1963, the Family and Medical Leave Act of 1993 and any subsequent amendments, the National Labor Relations Act, the Labor</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rPr/>
      </w:pPr>
      <w:r>
        <w:rPr/>
      </w:r>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4"/>
        </w:rPr>
        <w:t>Management Relations Act, the Occupational Safety and Health Act of 1970, the Older Workers Benefit Protection Act of 1990, the Rehabilitation Act of 1973t; and (b) any claim or action under the common law of the State of Colorado including but not limited to, any claim for compensation, damages, tort, breach of express or implied employment contract, breach of duty of good faith, discrimination, intentional interference with contractual relations, fraud, misrepresentation, outrageous conduct, slander, libel, negligent and/or intentional infliction of emotional distress, violation of public policy, negligent supervision, assault, battery, breach of contract, implied breach of good faith and fair dealing, promissory estoppel, wrongful discharge, harassment, or retaliation, and for any other damages or injuries incurred on the job; and (c) any claim under the constitution of the United States or the State of Colorado; in relation to Employee’s employment or incurred as a result of loss of employment. This release excludes any claims or rights that cannot be waived by state or federal law or executive order.</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b/>
          <w:sz w:val="24"/>
        </w:rPr>
        <w:t>Released Claims</w:t>
      </w:r>
      <w:r>
        <w:rPr>
          <w:rFonts w:ascii="Times New Roman;Times;serif" w:hAnsi="Times New Roman;Times;serif"/>
          <w:sz w:val="24"/>
        </w:rPr>
        <w:t>. The claims, charges, causes of actions, appeals, demands, losses, damages, attorneys’ fees, expenses, costs and liabilities released in Paragraph 3A shall be referred to collectively herein as the “Released Claims.”</w:t>
      </w:r>
    </w:p>
    <w:tbl>
      <w:tblPr>
        <w:tblW w:w="3895" w:type="dxa"/>
        <w:jc w:val="left"/>
        <w:tblInd w:w="0" w:type="dxa"/>
        <w:tblCellMar>
          <w:top w:w="0" w:type="dxa"/>
          <w:left w:w="0" w:type="dxa"/>
          <w:bottom w:w="0" w:type="dxa"/>
          <w:right w:w="0" w:type="dxa"/>
        </w:tblCellMar>
      </w:tblPr>
      <w:tblGrid>
        <w:gridCol w:w="200"/>
        <w:gridCol w:w="3695"/>
      </w:tblGrid>
      <w:tr>
        <w:trPr/>
        <w:tc>
          <w:tcPr>
            <w:tcW w:w="20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4.</w:t>
            </w:r>
          </w:p>
        </w:tc>
        <w:tc>
          <w:tcPr>
            <w:tcW w:w="3695"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PROMISE NOT TO PROSECUTE</w:t>
            </w:r>
          </w:p>
        </w:tc>
      </w:tr>
    </w:tbl>
    <w:p>
      <w:pPr>
        <w:pStyle w:val="TextBody"/>
        <w:spacing w:before="0" w:after="360"/>
        <w:ind w:left="0" w:right="0" w:firstLine="720"/>
        <w:jc w:val="both"/>
        <w:rPr>
          <w:rFonts w:ascii="Times New Roman;Times;serif" w:hAnsi="Times New Roman;Times;serif"/>
          <w:sz w:val="24"/>
        </w:rPr>
      </w:pPr>
      <w:r>
        <w:rPr>
          <w:rFonts w:ascii="Times New Roman;Times;serif" w:hAnsi="Times New Roman;Times;serif"/>
          <w:sz w:val="24"/>
        </w:rPr>
        <w:t>Employee further agrees that he shall not, at any time hereafter, commence, maintain or prosecute any action, suit, proceeding, investigation, complaint, claim, grievance or charge with any court, administrative agency, arbitrator or any other body or person, whether Federal, State, contractual or otherwise, or aid or assist others in prosecuting such action, suit, proceeding, investigation, complaint, claim, grievance or charge on their behalf, except in response to governmental agency or court inquiries or as compelled by legal process, against the other, or any of them, based in whole or in part upon, or arising out of or in an way connected with, any of the claims released or any of the matters referred to in this Agreement. Employee further agrees to indemnify and hold the Releasees harmless from and against any and all claims, demands, causes of action, damages or liability of any kind, including the cost of defense and reasonable attorneys’ fees arising out of or in connection with, any action, suit, proceeding, investigation, complaint, claim, grievance or charge commenced, maintained, or prosecuted by them contrary to the terms of this Agreement.</w:t>
      </w:r>
    </w:p>
    <w:tbl>
      <w:tblPr>
        <w:tblW w:w="5125" w:type="dxa"/>
        <w:jc w:val="left"/>
        <w:tblInd w:w="0" w:type="dxa"/>
        <w:tblCellMar>
          <w:top w:w="0" w:type="dxa"/>
          <w:left w:w="0" w:type="dxa"/>
          <w:bottom w:w="0" w:type="dxa"/>
          <w:right w:w="0" w:type="dxa"/>
        </w:tblCellMar>
      </w:tblPr>
      <w:tblGrid>
        <w:gridCol w:w="200"/>
        <w:gridCol w:w="4925"/>
      </w:tblGrid>
      <w:tr>
        <w:trPr/>
        <w:tc>
          <w:tcPr>
            <w:tcW w:w="20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5.</w:t>
            </w:r>
          </w:p>
        </w:tc>
        <w:tc>
          <w:tcPr>
            <w:tcW w:w="4925"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RELEASE INCLUDES UNKNOWN CLAIMS</w:t>
            </w:r>
          </w:p>
        </w:tc>
      </w:tr>
    </w:tbl>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To the extent allowable under state and federal law, the Parties understand and agree that the Released Claims are intended to and do include any and all claims of every nature and kind whatsoever, whether known, unknown, suspected, or unsuspected.</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The Parties further acknowledge that they may hereafter discover facts different from or in addition to those that they now know or believe to be true with respect to the Released Claims and agree that, in such event, this Agreement shall nevertheless be and remain effective in all respects, notwithstanding such different or additional facts, or the discovery thereof.</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The Parties represent and acknowledge (i) that they have conducted whatever investigation was deemed necessary to ascertain all facts and matters related to this Release; (ii) that they have had the opportunity to consult with and to receive advice from legal counsel</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rPr/>
      </w:pPr>
      <w:r>
        <w:rPr/>
      </w:r>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4"/>
        </w:rPr>
        <w:t>concerning this Release; and (iii) that they are not relying in any way on any statement or representation by the other party or that party’s attorneys, except as expressly stated herein, in reaching his decision to enter into this Agreement.</w:t>
      </w:r>
    </w:p>
    <w:tbl>
      <w:tblPr>
        <w:tblW w:w="6910" w:type="dxa"/>
        <w:jc w:val="left"/>
        <w:tblInd w:w="0" w:type="dxa"/>
        <w:tblCellMar>
          <w:top w:w="0" w:type="dxa"/>
          <w:left w:w="0" w:type="dxa"/>
          <w:bottom w:w="0" w:type="dxa"/>
          <w:right w:w="0" w:type="dxa"/>
        </w:tblCellMar>
      </w:tblPr>
      <w:tblGrid>
        <w:gridCol w:w="200"/>
        <w:gridCol w:w="6710"/>
      </w:tblGrid>
      <w:tr>
        <w:trPr/>
        <w:tc>
          <w:tcPr>
            <w:tcW w:w="20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6.</w:t>
            </w:r>
          </w:p>
        </w:tc>
        <w:tc>
          <w:tcPr>
            <w:tcW w:w="671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NO ASSIGNMENT OR TRANSFER OF RELEASED CLAIMS</w:t>
            </w:r>
          </w:p>
        </w:tc>
      </w:tr>
    </w:tbl>
    <w:p>
      <w:pPr>
        <w:pStyle w:val="TextBody"/>
        <w:spacing w:before="0" w:after="240"/>
        <w:ind w:left="0" w:right="0" w:firstLine="720"/>
        <w:jc w:val="both"/>
        <w:rPr>
          <w:rFonts w:ascii="Times New Roman;Times;serif" w:hAnsi="Times New Roman;Times;serif"/>
          <w:sz w:val="24"/>
        </w:rPr>
      </w:pPr>
      <w:r>
        <w:rPr>
          <w:rFonts w:ascii="Times New Roman;Times;serif" w:hAnsi="Times New Roman;Times;serif"/>
          <w:sz w:val="24"/>
        </w:rPr>
        <w:t>The Parties represent and warrant that they have not assigned, transferred, or hypothecated, or purported to assign, transfer, or hypothecate, to any person, firm, corporation, association, or entity whatsoever any of the Released Claims.</w:t>
      </w:r>
    </w:p>
    <w:tbl>
      <w:tblPr>
        <w:tblW w:w="3775" w:type="dxa"/>
        <w:jc w:val="left"/>
        <w:tblInd w:w="0" w:type="dxa"/>
        <w:tblCellMar>
          <w:top w:w="0" w:type="dxa"/>
          <w:left w:w="0" w:type="dxa"/>
          <w:bottom w:w="0" w:type="dxa"/>
          <w:right w:w="0" w:type="dxa"/>
        </w:tblCellMar>
      </w:tblPr>
      <w:tblGrid>
        <w:gridCol w:w="200"/>
        <w:gridCol w:w="3575"/>
      </w:tblGrid>
      <w:tr>
        <w:trPr/>
        <w:tc>
          <w:tcPr>
            <w:tcW w:w="20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7.</w:t>
            </w:r>
          </w:p>
        </w:tc>
        <w:tc>
          <w:tcPr>
            <w:tcW w:w="3575"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NO ADMISSION OF LIABILITY</w:t>
            </w:r>
          </w:p>
        </w:tc>
      </w:tr>
    </w:tbl>
    <w:p>
      <w:pPr>
        <w:pStyle w:val="TextBody"/>
        <w:spacing w:before="0" w:after="240"/>
        <w:ind w:left="0" w:right="0" w:firstLine="720"/>
        <w:jc w:val="both"/>
        <w:rPr>
          <w:rFonts w:ascii="Times New Roman;Times;serif" w:hAnsi="Times New Roman;Times;serif"/>
          <w:sz w:val="24"/>
        </w:rPr>
      </w:pPr>
      <w:r>
        <w:rPr>
          <w:rFonts w:ascii="Times New Roman;Times;serif" w:hAnsi="Times New Roman;Times;serif"/>
          <w:sz w:val="24"/>
        </w:rPr>
        <w:t>Employee understands and agrees that this Agreement is a release of disputed claims and does not constitute an admission of liability on the part of the Company as to any matters whatsoever and that the Company merely intend by this Agreement to avoid further proceedings and buy peace. The Company specifically denies liability for any harm allegedly suffered by Employee.</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8.</w:t>
      </w:r>
      <w:r>
        <w:rPr>
          <w:rFonts w:ascii="Times New Roman;Times;serif" w:hAnsi="Times New Roman;Times;serif"/>
          <w:b/>
          <w:sz w:val="24"/>
        </w:rPr>
        <w:t>RETURN OF PROPERTY AND RECORDS</w:t>
      </w:r>
    </w:p>
    <w:p>
      <w:pPr>
        <w:pStyle w:val="TextBody"/>
        <w:spacing w:before="0" w:after="240"/>
        <w:ind w:left="0" w:right="0" w:firstLine="720"/>
        <w:jc w:val="both"/>
        <w:rPr>
          <w:rFonts w:ascii="Times New Roman;Times;serif" w:hAnsi="Times New Roman;Times;serif"/>
          <w:sz w:val="24"/>
        </w:rPr>
      </w:pPr>
      <w:r>
        <w:rPr>
          <w:rFonts w:ascii="Times New Roman;Times;serif" w:hAnsi="Times New Roman;Times;serif"/>
          <w:sz w:val="24"/>
        </w:rPr>
        <w:t>Employee agrees to return all of the Company’s property immediately including keys, badges, cell phones, laptops and all other property belonging to the Company that Employee has in her possession. Employee understands that he is not entitled to keep or preserve records of the Company. This prohibition does not include any relevant employee files or records of Employee.</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9.</w:t>
      </w:r>
      <w:r>
        <w:rPr>
          <w:rFonts w:ascii="Times New Roman;Times;serif" w:hAnsi="Times New Roman;Times;serif"/>
          <w:b/>
          <w:sz w:val="24"/>
        </w:rPr>
        <w:t>CONFIDENTIALITY</w:t>
      </w:r>
    </w:p>
    <w:p>
      <w:pPr>
        <w:pStyle w:val="TextBody"/>
        <w:spacing w:before="0" w:after="240"/>
        <w:ind w:left="0" w:right="0" w:firstLine="720"/>
        <w:jc w:val="both"/>
        <w:rPr>
          <w:rFonts w:ascii="Times New Roman;Times;serif" w:hAnsi="Times New Roman;Times;serif"/>
          <w:sz w:val="24"/>
        </w:rPr>
      </w:pPr>
      <w:r>
        <w:rPr>
          <w:rFonts w:ascii="Times New Roman;Times;serif" w:hAnsi="Times New Roman;Times;serif"/>
          <w:sz w:val="24"/>
        </w:rPr>
        <w:t>Employee agrees she will keep this Agreement confidential, and that the Agreement and its terms and conditions, including the fact of Release and the facts and circumstances underlying any potential claims, shall not be discussed with, or revealed to, any person other than Employee’s spouse, attorneys, accountants, or tax or financial advisors, except as otherwise required by law or by order of a court. Employee agrees that if she discusses or reveals the terms or conditions of the Release to or with any of the aforementioned persons or entities, she will instruct those persons or entities that the terms and conditions of the Agreement are confidential, and that such persons or entities shall be under the same confidentiality obligations as to Employee and the Company. Employee understands and agrees that confidentiality is a material provision of this Agreement.</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10.</w:t>
      </w:r>
      <w:r>
        <w:rPr>
          <w:rFonts w:ascii="Times New Roman;Times;serif" w:hAnsi="Times New Roman;Times;serif"/>
          <w:b/>
          <w:sz w:val="24"/>
        </w:rPr>
        <w:t>NON-DISPARAGEMENT</w:t>
      </w:r>
    </w:p>
    <w:p>
      <w:pPr>
        <w:pStyle w:val="TextBody"/>
        <w:spacing w:before="0" w:after="240"/>
        <w:ind w:left="0" w:right="0" w:firstLine="720"/>
        <w:jc w:val="both"/>
        <w:rPr>
          <w:rFonts w:ascii="Times New Roman;Times;serif" w:hAnsi="Times New Roman;Times;serif"/>
          <w:sz w:val="24"/>
        </w:rPr>
      </w:pPr>
      <w:r>
        <w:rPr>
          <w:rFonts w:ascii="Times New Roman;Times;serif" w:hAnsi="Times New Roman;Times;serif"/>
          <w:sz w:val="24"/>
        </w:rPr>
        <w:t>Employee and Company agree not to make any statements to any third party that disparages the other party. Nothing in the foregoing sentence, however, is intended to nor shall it be construed to prevent Employee or Company from making true statements to a third party pursuant to a valid subpoena or under oath and penalty of perjury in a deposition or other court proceeding.</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11.</w:t>
      </w:r>
      <w:r>
        <w:rPr>
          <w:rFonts w:ascii="Times New Roman;Times;serif" w:hAnsi="Times New Roman;Times;serif"/>
          <w:b/>
          <w:sz w:val="24"/>
        </w:rPr>
        <w:t>COOPERATION</w:t>
      </w:r>
    </w:p>
    <w:p>
      <w:pPr>
        <w:pStyle w:val="TextBody"/>
        <w:spacing w:before="0" w:after="0"/>
        <w:ind w:left="0" w:right="0" w:hanging="0"/>
        <w:jc w:val="both"/>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HorizontalLine"/>
        <w:rPr/>
      </w:pPr>
      <w:r>
        <w:rPr/>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4"/>
        </w:rPr>
      </w:pPr>
      <w:r>
        <w:rPr>
          <w:rFonts w:ascii="Times New Roman;Times;serif" w:hAnsi="Times New Roman;Times;serif"/>
          <w:sz w:val="24"/>
        </w:rPr>
        <w:t>Employee agrees to cooperate with the Company with respect to the prosecution and/or defense of legal claims which arose during Employee’s tenure as an employee of the Company, or which relate to events which occurred during Employee’s tenure as an employee of the Company or to which Employee has any information. Such cooperation shall include, but is not limited to, making herself available for interview by the Company and/or its counsel, reviewing and/or identifying documents, giving testimony and/or testifying at trial, and further that Employee shall immediately notify the Company in writing if Employee is ever subpoenaed or otherwise requested to testify in any matter involving the Company.</w:t>
      </w:r>
    </w:p>
    <w:p>
      <w:pPr>
        <w:pStyle w:val="TextBody"/>
        <w:spacing w:before="0" w:after="0"/>
        <w:ind w:left="0" w:right="0" w:hanging="0"/>
        <w:rPr/>
      </w:pPr>
      <w:r>
        <w:rPr/>
        <w:t>​</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12.</w:t>
      </w:r>
      <w:r>
        <w:rPr>
          <w:rFonts w:ascii="Times New Roman;Times;serif" w:hAnsi="Times New Roman;Times;serif"/>
          <w:b/>
          <w:sz w:val="24"/>
        </w:rPr>
        <w:t>PARTIES TO BEAR THEIR OWN COSTS</w:t>
      </w:r>
    </w:p>
    <w:p>
      <w:pPr>
        <w:pStyle w:val="TextBody"/>
        <w:spacing w:before="0" w:after="240"/>
        <w:ind w:left="0" w:right="0" w:firstLine="720"/>
        <w:jc w:val="both"/>
        <w:rPr>
          <w:rFonts w:ascii="Times New Roman;Times;serif" w:hAnsi="Times New Roman;Times;serif"/>
          <w:sz w:val="24"/>
        </w:rPr>
      </w:pPr>
      <w:r>
        <w:rPr>
          <w:rFonts w:ascii="Times New Roman;Times;serif" w:hAnsi="Times New Roman;Times;serif"/>
          <w:sz w:val="24"/>
        </w:rPr>
        <w:t>Employee understands that she and the Company will each bear their own costs, expenses, and attorneys’ fees, if any, in relation to this Agreement.</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13.</w:t>
      </w:r>
      <w:r>
        <w:rPr>
          <w:rFonts w:ascii="Times New Roman;Times;serif" w:hAnsi="Times New Roman;Times;serif"/>
          <w:b/>
          <w:sz w:val="24"/>
        </w:rPr>
        <w:t>REPRESENTATIONS</w:t>
      </w:r>
    </w:p>
    <w:p>
      <w:pPr>
        <w:pStyle w:val="TextBody"/>
        <w:spacing w:before="0" w:after="0"/>
        <w:ind w:left="0" w:right="0" w:hanging="0"/>
        <w:jc w:val="both"/>
        <w:rPr/>
      </w:pPr>
      <w:r>
        <w:rPr/>
        <w:t>​</w:t>
      </w:r>
    </w:p>
    <w:p>
      <w:pPr>
        <w:pStyle w:val="TextBody"/>
        <w:spacing w:before="0" w:after="0"/>
        <w:ind w:left="0" w:right="0" w:firstLine="720"/>
        <w:jc w:val="both"/>
        <w:rPr>
          <w:rFonts w:ascii="Times New Roman;Times;serif" w:hAnsi="Times New Roman;Times;serif"/>
          <w:sz w:val="24"/>
        </w:rPr>
      </w:pPr>
      <w:r>
        <w:rPr>
          <w:rFonts w:ascii="Times New Roman;Times;serif" w:hAnsi="Times New Roman;Times;serif"/>
          <w:sz w:val="24"/>
        </w:rPr>
        <w:t>Each signatory hereto warrants that she/it is legally competent and/or authorized to execute this Agreement and has not relied on any statements or explanations in connection therewith. Moreover, each party hereby acknowledges that s/he/it has been afforded the opportunity to be advised by legal counsel regarding the terms of this Agreement, including the release of all claims and waiver of rights.</w:t>
      </w:r>
    </w:p>
    <w:p>
      <w:pPr>
        <w:pStyle w:val="TextBody"/>
        <w:spacing w:before="0" w:after="0"/>
        <w:ind w:left="0" w:right="0" w:hanging="0"/>
        <w:jc w:val="both"/>
        <w:rPr/>
      </w:pPr>
      <w:r>
        <w:rPr/>
        <w:t>​</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14.</w:t>
      </w:r>
      <w:r>
        <w:rPr>
          <w:rFonts w:ascii="Times New Roman;Times;serif" w:hAnsi="Times New Roman;Times;serif"/>
          <w:b/>
          <w:sz w:val="24"/>
        </w:rPr>
        <w:t>KNOWLEDGE, CAPACITY, AND AUTHORITY</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4"/>
        </w:rPr>
      </w:pPr>
      <w:r>
        <w:rPr>
          <w:rFonts w:ascii="Times New Roman;Times;serif" w:hAnsi="Times New Roman;Times;serif"/>
          <w:sz w:val="24"/>
        </w:rPr>
        <w:t>Employee represents and warrants that she had the opportunity to have counsel explain the contents of this Agreement to her. Employee represents that he understands the contents of this Agreement and that he executed it knowingly and voluntarily and understands that after executing it he cannot proceed against any Releasee on account of the matters referred to herein. Each party to this Agreement represents and warrants that s/he/it has the authority and capacity to execute this Agreement.</w:t>
      </w:r>
    </w:p>
    <w:p>
      <w:pPr>
        <w:pStyle w:val="TextBody"/>
        <w:spacing w:before="0" w:after="0"/>
        <w:ind w:left="0" w:right="0" w:hanging="0"/>
        <w:jc w:val="both"/>
        <w:rPr/>
      </w:pPr>
      <w:r>
        <w:rPr/>
        <w:t>​</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15.</w:t>
      </w:r>
      <w:r>
        <w:rPr>
          <w:rFonts w:ascii="Times New Roman;Times;serif" w:hAnsi="Times New Roman;Times;serif"/>
          <w:b/>
          <w:sz w:val="24"/>
        </w:rPr>
        <w:t>MODIFICATION</w:t>
      </w:r>
    </w:p>
    <w:p>
      <w:pPr>
        <w:pStyle w:val="TextBody"/>
        <w:spacing w:before="0" w:after="240"/>
        <w:ind w:left="0" w:right="0" w:firstLine="720"/>
        <w:jc w:val="both"/>
        <w:rPr>
          <w:rFonts w:ascii="Times New Roman;Times;serif" w:hAnsi="Times New Roman;Times;serif"/>
          <w:sz w:val="24"/>
        </w:rPr>
      </w:pPr>
      <w:r>
        <w:rPr>
          <w:rFonts w:ascii="Times New Roman;Times;serif" w:hAnsi="Times New Roman;Times;serif"/>
          <w:sz w:val="24"/>
        </w:rPr>
        <w:t>No provision of this Agreement may be changed, altered, modified or waived except in writing signed by both Employee and the Company or other Releasees, which writing shall specifically reference this Agreement and the provision that the parties intend to waive or modify.</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16.</w:t>
      </w:r>
      <w:r>
        <w:rPr>
          <w:rFonts w:ascii="Times New Roman;Times;serif" w:hAnsi="Times New Roman;Times;serif"/>
          <w:b/>
          <w:sz w:val="24"/>
        </w:rPr>
        <w:t>NON-WAIVER</w:t>
      </w:r>
    </w:p>
    <w:p>
      <w:pPr>
        <w:pStyle w:val="TextBody"/>
        <w:spacing w:before="0" w:after="0"/>
        <w:ind w:left="0" w:right="0" w:firstLine="720"/>
        <w:jc w:val="both"/>
        <w:rPr>
          <w:rFonts w:ascii="Times New Roman;Times;serif" w:hAnsi="Times New Roman;Times;serif"/>
          <w:sz w:val="24"/>
        </w:rPr>
      </w:pPr>
      <w:r>
        <w:rPr>
          <w:rFonts w:ascii="Times New Roman;Times;serif" w:hAnsi="Times New Roman;Times;serif"/>
          <w:sz w:val="24"/>
        </w:rPr>
        <w:t>No provision of this Agreement may be waived unless in writing and signed by all the parties to this Agreement. Waiver of any one provision shall not constitute waiver of any other provision. A delay of failure by either party to exercise a right under this Agreement, or a partial or single exercise of that right, shall not constitute a waiver of that or any other right herein.</w:t>
      </w:r>
    </w:p>
    <w:p>
      <w:pPr>
        <w:pStyle w:val="TextBody"/>
        <w:spacing w:before="0" w:after="0"/>
        <w:ind w:left="0" w:right="0" w:firstLine="720"/>
        <w:jc w:val="both"/>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-5-</w:t>
      </w:r>
    </w:p>
    <w:p>
      <w:pPr>
        <w:pStyle w:val="HorizontalLine"/>
        <w:rPr/>
      </w:pPr>
      <w:r>
        <w:rPr/>
      </w:r>
    </w:p>
    <w:p>
      <w:pPr>
        <w:pStyle w:val="TextBody"/>
        <w:spacing w:before="0" w:after="0"/>
        <w:ind w:left="0" w:right="0" w:hanging="0"/>
        <w:rPr/>
      </w:pPr>
      <w:r>
        <w:rPr/>
        <w:t>​</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17.</w:t>
      </w:r>
      <w:r>
        <w:rPr>
          <w:rFonts w:ascii="Times New Roman;Times;serif" w:hAnsi="Times New Roman;Times;serif"/>
          <w:b/>
          <w:sz w:val="24"/>
        </w:rPr>
        <w:t>SEVERABILITY</w:t>
      </w:r>
    </w:p>
    <w:p>
      <w:pPr>
        <w:pStyle w:val="TextBody"/>
        <w:spacing w:before="0" w:after="240"/>
        <w:ind w:left="0" w:right="0" w:firstLine="720"/>
        <w:jc w:val="both"/>
        <w:rPr>
          <w:rFonts w:ascii="Times New Roman;Times;serif" w:hAnsi="Times New Roman;Times;serif"/>
          <w:sz w:val="24"/>
        </w:rPr>
      </w:pPr>
      <w:r>
        <w:rPr>
          <w:rFonts w:ascii="Times New Roman;Times;serif" w:hAnsi="Times New Roman;Times;serif"/>
          <w:sz w:val="24"/>
        </w:rPr>
        <w:t>In the event any provision of this Agreement should be held to be unenforceable, each and all of the other provisions of this Agreement shall remain in full force and effect.</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18.</w:t>
      </w:r>
      <w:r>
        <w:rPr>
          <w:rFonts w:ascii="Times New Roman;Times;serif" w:hAnsi="Times New Roman;Times;serif"/>
          <w:b/>
          <w:sz w:val="24"/>
        </w:rPr>
        <w:t>WAIVER OF CLAIMS UNDER THE AGE DISCRIMINATION IN EMPLOYMENT ACT</w:t>
      </w:r>
    </w:p>
    <w:p>
      <w:pPr>
        <w:pStyle w:val="TextBody"/>
        <w:spacing w:before="0" w:after="240"/>
        <w:ind w:left="0" w:right="0" w:firstLine="720"/>
        <w:jc w:val="both"/>
        <w:rPr>
          <w:rFonts w:ascii="Times New Roman;Times;serif" w:hAnsi="Times New Roman;Times;serif"/>
          <w:sz w:val="24"/>
        </w:rPr>
      </w:pPr>
      <w:r>
        <w:rPr>
          <w:rFonts w:ascii="Times New Roman;Times;serif" w:hAnsi="Times New Roman;Times;serif"/>
          <w:sz w:val="24"/>
        </w:rPr>
        <w:t>The Severance Sum is intended in part as consideration for Employee’s release and waiver of any and all claims under the ADEA, excepting any rights or claims that may arise under the ADEA after the date this Agreement is signed. Employee should consult with her attorneys about this release and waiver before executing this Agreement. Further, Employee has twenty-one (21) calendar days from her receipt of this Agreement to consider the release and waiver of any and all claims (including those arising under the ADEA), and, for a period of seven (7) calendar days following execution of the Agreement by her, Employee may revoke this release and waiver in a writing received by counsel for the Company on or before the expiration of the seven (7) calendar day period. This Agreement shall not become effective or enforceable until the seven (7) calendar day revocation period set forth herein has expired without Employee having exercised her right of revocation (defined herein as the “Effective Date”). Notice should be sent in writing to the following: Daniel Pabon, Medicine Man Technologies, Inc. 4801 Havana Street, Suite 201, Denver, Colorado 80239.</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19.</w:t>
      </w:r>
      <w:r>
        <w:rPr>
          <w:rFonts w:ascii="Times New Roman;Times;serif" w:hAnsi="Times New Roman;Times;serif"/>
          <w:b/>
          <w:sz w:val="24"/>
        </w:rPr>
        <w:t>APPLICABLE LAW</w:t>
      </w:r>
    </w:p>
    <w:p>
      <w:pPr>
        <w:pStyle w:val="TextBody"/>
        <w:spacing w:before="0" w:after="240"/>
        <w:ind w:left="0" w:right="0" w:firstLine="720"/>
        <w:jc w:val="both"/>
        <w:rPr>
          <w:rFonts w:ascii="Times New Roman;Times;serif" w:hAnsi="Times New Roman;Times;serif"/>
          <w:sz w:val="24"/>
        </w:rPr>
      </w:pPr>
      <w:r>
        <w:rPr>
          <w:rFonts w:ascii="Times New Roman;Times;serif" w:hAnsi="Times New Roman;Times;serif"/>
          <w:sz w:val="24"/>
        </w:rPr>
        <w:t>This Agreement shall be construed and enforced according to the laws of the State of Colorado.</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20.</w:t>
      </w:r>
      <w:r>
        <w:rPr>
          <w:rFonts w:ascii="Times New Roman;Times;serif" w:hAnsi="Times New Roman;Times;serif"/>
          <w:b/>
          <w:sz w:val="24"/>
        </w:rPr>
        <w:t>COUNTERPARTS ACCEPTABLE</w:t>
      </w:r>
    </w:p>
    <w:p>
      <w:pPr>
        <w:pStyle w:val="TextBody"/>
        <w:spacing w:before="0" w:after="240"/>
        <w:ind w:left="0" w:right="0" w:firstLine="720"/>
        <w:jc w:val="both"/>
        <w:rPr>
          <w:rFonts w:ascii="Times New Roman;Times;serif" w:hAnsi="Times New Roman;Times;serif"/>
          <w:sz w:val="24"/>
        </w:rPr>
      </w:pPr>
      <w:r>
        <w:rPr>
          <w:rFonts w:ascii="Times New Roman;Times;serif" w:hAnsi="Times New Roman;Times;serif"/>
          <w:sz w:val="24"/>
        </w:rPr>
        <w:t>This Agreement may be executed in two or more counterparts, each of which shall be deemed to be an original but all of which together shall constitute one and the same instrument.</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21.</w:t>
      </w:r>
      <w:r>
        <w:rPr>
          <w:rFonts w:ascii="Times New Roman;Times;serif" w:hAnsi="Times New Roman;Times;serif"/>
          <w:b/>
          <w:sz w:val="24"/>
        </w:rPr>
        <w:t>SUCCESSORS AND ASSIGNS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4"/>
        </w:rPr>
        <w:t xml:space="preserve">This Agreement shall be binding upon and inure to the benefit of the parties and their successors and assigns. Neither the Company nor Employee shall assign this Agreement or any rights or obligations hereunder without prior written consent of the other. Notwithstanding the foregoing, the terms of this Agreement shall continue and inure to the benefit of Employee’s estate if Employee predeceases the completion of payment as described in </w:t>
      </w:r>
      <w:r>
        <w:rPr>
          <w:rFonts w:ascii="Times New Roman;Times;serif" w:hAnsi="Times New Roman;Times;serif"/>
          <w:sz w:val="24"/>
          <w:u w:val="single"/>
        </w:rPr>
        <w:t>Section 2</w:t>
      </w:r>
      <w:r>
        <w:rPr>
          <w:rFonts w:ascii="Times New Roman;Times;serif" w:hAnsi="Times New Roman;Times;serif"/>
          <w:sz w:val="20"/>
        </w:rPr>
        <w:t xml:space="preserve"> </w:t>
      </w:r>
      <w:r>
        <w:rPr>
          <w:rFonts w:ascii="Times New Roman;Times;serif" w:hAnsi="Times New Roman;Times;serif"/>
          <w:sz w:val="24"/>
        </w:rPr>
        <w:t>above.</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22.</w:t>
      </w:r>
      <w:r>
        <w:rPr>
          <w:rFonts w:ascii="Times New Roman;Times;serif" w:hAnsi="Times New Roman;Times;serif"/>
          <w:b/>
          <w:sz w:val="24"/>
        </w:rPr>
        <w:t>ENTIRE AGREEMENT</w:t>
      </w:r>
    </w:p>
    <w:p>
      <w:pPr>
        <w:pStyle w:val="TextBody"/>
        <w:spacing w:before="0" w:after="240"/>
        <w:ind w:left="0" w:right="0" w:firstLine="720"/>
        <w:jc w:val="both"/>
        <w:rPr>
          <w:rFonts w:ascii="Times New Roman;Times;serif" w:hAnsi="Times New Roman;Times;serif"/>
          <w:sz w:val="24"/>
        </w:rPr>
      </w:pPr>
      <w:r>
        <w:rPr>
          <w:rFonts w:ascii="Times New Roman;Times;serif" w:hAnsi="Times New Roman;Times;serif"/>
          <w:sz w:val="24"/>
        </w:rPr>
        <w:t>Employee acknowledges that this Agreement constitutes a full, final, and complete settlement of the parties’ differences and supersedes and replaces any and all other written or oral exchanges, agreements, understandings, employment contracts, arrangements, or negotiations between or among them relating to the subject matter hereof; and Employee affirmatively represents that there are no other prior or contemporaneous exchanges, agreements, representations, arrangements, or understandings, written or oral, between or among the parties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-6-</w:t>
      </w:r>
    </w:p>
    <w:p>
      <w:pPr>
        <w:pStyle w:val="HorizontalLine"/>
        <w:rPr/>
      </w:pPr>
      <w:r>
        <w:rPr/>
      </w:r>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4"/>
        </w:rPr>
        <w:t>relating to the subject matter hereof other than that as set forth herein, and that this Agreement contains the sole and entire Agreement between them with respect to the subject matter hereof. Employee further acknowledges and agrees that any language proposed for, deleted from, or otherwise changed in any drafts of this Agreement but not included herein shall not be considered in any way in the interpretation and application of this Agreement and shall not in any way affect the rights and obligations of Employee, the Company, or Releasees.</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b/>
          <w:i/>
          <w:sz w:val="28"/>
        </w:rPr>
        <w:t>PLEASE READ CAREFULLY</w:t>
      </w:r>
      <w:r>
        <w:rPr>
          <w:rFonts w:ascii="Times New Roman;Times;serif" w:hAnsi="Times New Roman;Times;serif"/>
          <w:b/>
          <w:sz w:val="28"/>
        </w:rPr>
        <w:t>.</w:t>
      </w:r>
    </w:p>
    <w:p>
      <w:pPr>
        <w:pStyle w:val="TextBody"/>
        <w:spacing w:before="0" w:after="0"/>
        <w:ind w:left="0" w:right="0" w:hanging="0"/>
        <w:jc w:val="center"/>
        <w:rPr>
          <w:rFonts w:ascii="Times New Roman;Times;serif" w:hAnsi="Times New Roman;Times;serif"/>
          <w:b/>
          <w:sz w:val="28"/>
        </w:rPr>
      </w:pPr>
      <w:r>
        <w:rPr>
          <w:rFonts w:ascii="Times New Roman;Times;serif" w:hAnsi="Times New Roman;Times;serif"/>
          <w:b/>
          <w:sz w:val="28"/>
        </w:rPr>
        <w:t xml:space="preserve">THIS AGREEMENT INCLUDES A RELEASE OF ALL CLAIMS </w:t>
        <w:br/>
        <w:t>KNOWN AND UNKNOWN.</w:t>
      </w:r>
    </w:p>
    <w:p>
      <w:pPr>
        <w:pStyle w:val="TextBody"/>
        <w:spacing w:before="0" w:after="0"/>
        <w:ind w:left="0" w:right="0" w:hanging="0"/>
        <w:jc w:val="center"/>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4"/>
        </w:rPr>
        <w:t xml:space="preserve">I, </w:t>
      </w:r>
      <w:r>
        <w:rPr>
          <w:rFonts w:ascii="Times New Roman;Times;serif" w:hAnsi="Times New Roman;Times;serif"/>
          <w:b/>
          <w:sz w:val="24"/>
        </w:rPr>
        <w:t>NANCY HUBER</w:t>
      </w:r>
      <w:r>
        <w:rPr>
          <w:rFonts w:ascii="Times New Roman;Times;serif" w:hAnsi="Times New Roman;Times;serif"/>
          <w:sz w:val="24"/>
        </w:rPr>
        <w:t>, ACKNOWLEDGE THAT I HAVE READ THIS RELEASE, THAT I HAVE BEEN ADVISED TO CONSULT WITH AN ATTORNEY BEFORE EXECUTING THIS RELEASE, AND THAT I UNDERSTAND ALL OF THIS AGREEMENT’S TERMS AND EXECUTE THE AGREEMENT VOLUNTARILY WITH FULL KNOWLEDGE OF ITS SIGNIFICANCE AND CONSEQUENCES. EMPLOYEE ACKNOWLEDGES THAT HE HAD SEVEN DAYS TO DECIDE IF HE WANT TO SIGN THIS AGREEMENT.</w:t>
      </w:r>
    </w:p>
    <w:p>
      <w:pPr>
        <w:pStyle w:val="TextBody"/>
        <w:spacing w:before="0" w:after="0"/>
        <w:ind w:left="0" w:right="0" w:hanging="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b/>
          <w:sz w:val="24"/>
        </w:rPr>
        <w:t xml:space="preserve">IN WITNESS WHEREOF, </w:t>
      </w:r>
      <w:r>
        <w:rPr>
          <w:rFonts w:ascii="Times New Roman;Times;serif" w:hAnsi="Times New Roman;Times;serif"/>
          <w:sz w:val="24"/>
        </w:rPr>
        <w:t>the Parties have executed this Agreement have set their hands the day and year set forth below their respective signatures.</w:t>
      </w:r>
    </w:p>
    <w:p>
      <w:pPr>
        <w:pStyle w:val="TextBody"/>
        <w:spacing w:before="0" w:after="0"/>
        <w:ind w:left="0" w:right="0" w:hanging="0"/>
        <w:jc w:val="both"/>
        <w:rPr/>
      </w:pPr>
      <w:r>
        <w:rPr/>
        <w:t>​</w:t>
      </w:r>
    </w:p>
    <w:tbl>
      <w:tblPr>
        <w:tblW w:w="5488" w:type="dxa"/>
        <w:jc w:val="left"/>
        <w:tblInd w:w="0" w:type="dxa"/>
        <w:tblCellMar>
          <w:top w:w="0" w:type="dxa"/>
          <w:left w:w="0" w:type="dxa"/>
          <w:bottom w:w="0" w:type="dxa"/>
          <w:right w:w="0" w:type="dxa"/>
        </w:tblCellMar>
      </w:tblPr>
      <w:tblGrid>
        <w:gridCol w:w="3481"/>
        <w:gridCol w:w="206"/>
        <w:gridCol w:w="1801"/>
      </w:tblGrid>
      <w:tr>
        <w:trPr/>
        <w:tc>
          <w:tcPr>
            <w:tcW w:w="34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210435" cy="175260"/>
                      <wp:effectExtent l="0" t="0" r="0" b="0"/>
                      <wp:wrapNone/>
                      <wp:docPr id="267" name="Frame267"/>
                      <a:graphic xmlns:a="http://schemas.openxmlformats.org/drawingml/2006/main">
                        <a:graphicData uri="http://schemas.microsoft.com/office/word/2010/wordprocessingShape">
                          <wps:wsp>
                            <wps:cNvSpPr txBox="1"/>
                            <wps:spPr>
                              <a:xfrm>
                                <a:off x="0" y="0"/>
                                <a:ext cx="2210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0"/>
              <w:ind w:left="0" w:right="0" w:hanging="0"/>
              <w:rPr/>
            </w:pPr>
            <w:r>
              <w:rPr/>
              <w:t>​</w:t>
            </w:r>
          </w:p>
        </w:tc>
        <w:tc>
          <w:tcPr>
            <w:tcW w:w="18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143635" cy="175260"/>
                      <wp:effectExtent l="0" t="0" r="0" b="0"/>
                      <wp:wrapNone/>
                      <wp:docPr id="268" name="Frame268"/>
                      <a:graphic xmlns:a="http://schemas.openxmlformats.org/drawingml/2006/main">
                        <a:graphicData uri="http://schemas.microsoft.com/office/word/2010/wordprocessingShape">
                          <wps:wsp>
                            <wps:cNvSpPr txBox="1"/>
                            <wps:spPr>
                              <a:xfrm>
                                <a:off x="0" y="0"/>
                                <a:ext cx="1143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48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Nancy Huber</w:t>
            </w:r>
          </w:p>
        </w:tc>
        <w:tc>
          <w:tcPr>
            <w:tcW w:w="206" w:type="dxa"/>
            <w:tcBorders/>
            <w:shd w:fill="auto" w:val="clear"/>
            <w:vAlign w:val="center"/>
          </w:tcPr>
          <w:p>
            <w:pPr>
              <w:pStyle w:val="TableContents"/>
              <w:spacing w:before="0" w:after="0"/>
              <w:ind w:left="0" w:right="0" w:hanging="0"/>
              <w:rPr/>
            </w:pPr>
            <w:r>
              <w:rPr/>
              <w:t>  </w:t>
            </w:r>
          </w:p>
        </w:tc>
        <w:tc>
          <w:tcPr>
            <w:tcW w:w="180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Date: 10/21/2022</w:t>
            </w:r>
          </w:p>
        </w:tc>
      </w:tr>
      <w:tr>
        <w:trPr/>
        <w:tc>
          <w:tcPr>
            <w:tcW w:w="348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Nancy Huber</w:t>
            </w:r>
          </w:p>
        </w:tc>
        <w:tc>
          <w:tcPr>
            <w:tcW w:w="206" w:type="dxa"/>
            <w:tcBorders/>
            <w:shd w:fill="auto" w:val="clear"/>
            <w:vAlign w:val="center"/>
          </w:tcPr>
          <w:p>
            <w:pPr>
              <w:pStyle w:val="TableContents"/>
              <w:spacing w:before="0" w:after="0"/>
              <w:ind w:left="0" w:right="0" w:hanging="0"/>
              <w:rPr/>
            </w:pPr>
            <w:r>
              <w:rPr/>
              <w:t>​</w:t>
            </w:r>
          </w:p>
        </w:tc>
        <w:tc>
          <w:tcPr>
            <w:tcW w:w="1801" w:type="dxa"/>
            <w:tcBorders/>
            <w:shd w:fill="auto" w:val="clear"/>
            <w:vAlign w:val="center"/>
          </w:tcPr>
          <w:p>
            <w:pPr>
              <w:pStyle w:val="TableContents"/>
              <w:spacing w:before="0" w:after="0"/>
              <w:ind w:left="0" w:right="0" w:hanging="0"/>
              <w:rPr/>
            </w:pPr>
            <w:r>
              <w:rPr/>
              <w:t>​</w:t>
            </w:r>
          </w:p>
        </w:tc>
      </w:tr>
      <w:tr>
        <w:trPr/>
        <w:tc>
          <w:tcPr>
            <w:tcW w:w="3481"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1801" w:type="dxa"/>
            <w:tcBorders/>
            <w:shd w:fill="auto" w:val="clear"/>
            <w:vAlign w:val="center"/>
          </w:tcPr>
          <w:p>
            <w:pPr>
              <w:pStyle w:val="TableContents"/>
              <w:spacing w:before="0" w:after="0"/>
              <w:ind w:left="0" w:right="0" w:hanging="0"/>
              <w:rPr/>
            </w:pPr>
            <w:r>
              <w:rPr/>
              <w:t>​</w:t>
            </w:r>
          </w:p>
        </w:tc>
      </w:tr>
      <w:tr>
        <w:trPr/>
        <w:tc>
          <w:tcPr>
            <w:tcW w:w="3481" w:type="dxa"/>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Medicine Man Technologies, Inc.</w:t>
            </w:r>
          </w:p>
        </w:tc>
        <w:tc>
          <w:tcPr>
            <w:tcW w:w="206" w:type="dxa"/>
            <w:tcBorders/>
            <w:shd w:fill="auto" w:val="clear"/>
            <w:vAlign w:val="center"/>
          </w:tcPr>
          <w:p>
            <w:pPr>
              <w:pStyle w:val="TableContents"/>
              <w:spacing w:before="0" w:after="0"/>
              <w:ind w:left="0" w:right="0" w:hanging="0"/>
              <w:rPr/>
            </w:pPr>
            <w:r>
              <w:rPr/>
              <w:t>​</w:t>
            </w:r>
          </w:p>
        </w:tc>
        <w:tc>
          <w:tcPr>
            <w:tcW w:w="1801" w:type="dxa"/>
            <w:tcBorders/>
            <w:shd w:fill="auto" w:val="clear"/>
            <w:vAlign w:val="center"/>
          </w:tcPr>
          <w:p>
            <w:pPr>
              <w:pStyle w:val="TableContents"/>
              <w:spacing w:before="0" w:after="0"/>
              <w:ind w:left="0" w:right="0" w:hanging="0"/>
              <w:rPr/>
            </w:pPr>
            <w:r>
              <w:rPr/>
              <w:t>​</w:t>
            </w:r>
          </w:p>
        </w:tc>
      </w:tr>
      <w:tr>
        <w:trPr/>
        <w:tc>
          <w:tcPr>
            <w:tcW w:w="3481"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1801" w:type="dxa"/>
            <w:tcBorders/>
            <w:shd w:fill="auto" w:val="clear"/>
            <w:vAlign w:val="center"/>
          </w:tcPr>
          <w:p>
            <w:pPr>
              <w:pStyle w:val="TableContents"/>
              <w:spacing w:before="0" w:after="0"/>
              <w:ind w:left="0" w:right="0" w:hanging="0"/>
              <w:rPr/>
            </w:pPr>
            <w:r>
              <w:rPr/>
              <w:t>​</w:t>
            </w:r>
          </w:p>
        </w:tc>
      </w:tr>
      <w:tr>
        <w:trPr/>
        <w:tc>
          <w:tcPr>
            <w:tcW w:w="348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Dan Pabon</w:t>
            </w:r>
          </w:p>
        </w:tc>
        <w:tc>
          <w:tcPr>
            <w:tcW w:w="206" w:type="dxa"/>
            <w:tcBorders/>
            <w:shd w:fill="auto" w:val="clear"/>
            <w:vAlign w:val="center"/>
          </w:tcPr>
          <w:p>
            <w:pPr>
              <w:pStyle w:val="TableContents"/>
              <w:spacing w:before="0" w:after="0"/>
              <w:ind w:left="0" w:right="0" w:hanging="0"/>
              <w:rPr/>
            </w:pPr>
            <w:r>
              <w:rPr/>
              <w:t>​</w:t>
            </w:r>
          </w:p>
        </w:tc>
        <w:tc>
          <w:tcPr>
            <w:tcW w:w="180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Date: 10/28/2022</w:t>
            </w:r>
          </w:p>
        </w:tc>
      </w:tr>
      <w:tr>
        <w:trPr/>
        <w:tc>
          <w:tcPr>
            <w:tcW w:w="348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By: Dan Pabon</w:t>
            </w:r>
          </w:p>
        </w:tc>
        <w:tc>
          <w:tcPr>
            <w:tcW w:w="206" w:type="dxa"/>
            <w:tcBorders/>
            <w:shd w:fill="auto" w:val="clear"/>
            <w:vAlign w:val="center"/>
          </w:tcPr>
          <w:p>
            <w:pPr>
              <w:pStyle w:val="TableContents"/>
              <w:spacing w:before="0" w:after="0"/>
              <w:ind w:left="0" w:right="0" w:hanging="0"/>
              <w:rPr/>
            </w:pPr>
            <w:r>
              <w:rPr/>
              <w:t>​</w:t>
            </w:r>
          </w:p>
        </w:tc>
        <w:tc>
          <w:tcPr>
            <w:tcW w:w="1801" w:type="dxa"/>
            <w:tcBorders/>
            <w:shd w:fill="auto" w:val="clear"/>
            <w:vAlign w:val="center"/>
          </w:tcPr>
          <w:p>
            <w:pPr>
              <w:pStyle w:val="TableContents"/>
              <w:spacing w:before="0" w:after="0"/>
              <w:ind w:left="0" w:right="0" w:hanging="0"/>
              <w:rPr/>
            </w:pPr>
            <w:r>
              <w:rPr/>
              <w:t>​</w:t>
            </w:r>
          </w:p>
        </w:tc>
      </w:tr>
      <w:tr>
        <w:trPr/>
        <w:tc>
          <w:tcPr>
            <w:tcW w:w="348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Title: General Counsel</w:t>
            </w:r>
          </w:p>
        </w:tc>
        <w:tc>
          <w:tcPr>
            <w:tcW w:w="206" w:type="dxa"/>
            <w:tcBorders/>
            <w:shd w:fill="auto" w:val="clear"/>
            <w:vAlign w:val="center"/>
          </w:tcPr>
          <w:p>
            <w:pPr>
              <w:pStyle w:val="TableContents"/>
              <w:spacing w:before="0" w:after="0"/>
              <w:ind w:left="0" w:right="0" w:hanging="0"/>
              <w:rPr/>
            </w:pPr>
            <w:r>
              <w:rPr/>
              <w:t>​</w:t>
            </w:r>
          </w:p>
        </w:tc>
        <w:tc>
          <w:tcPr>
            <w:tcW w:w="1801"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4"/>
        </w:rPr>
      </w:pPr>
      <w:r>
        <w:rPr>
          <w:rFonts w:ascii="Times New Roman;Times;serif" w:hAnsi="Times New Roman;Times;serif"/>
          <w:sz w:val="24"/>
        </w:rPr>
        <w:t>-7-</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1258" w:name="shwz-20221231xex21d1.htm"/>
      <w:bookmarkStart w:id="1259" w:name="ksshwz20221231xex21d1"/>
      <w:bookmarkEnd w:id="1258"/>
      <w:bookmarkEnd w:id="1259"/>
      <w:r>
        <w:rPr>
          <w:rFonts w:ascii="Times New Roman;Times;serif" w:hAnsi="Times New Roman;Times;serif"/>
          <w:b/>
          <w:sz w:val="20"/>
        </w:rPr>
        <w:t>Exhibit 21.1</w:t>
      </w:r>
    </w:p>
    <w:p>
      <w:pPr>
        <w:pStyle w:val="TextBody"/>
        <w:spacing w:before="0" w:after="0"/>
        <w:ind w:left="0" w:right="0" w:hanging="0"/>
        <w:jc w:val="right"/>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Medicine Man Technologies,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List of Subsidiaries</w:t>
      </w:r>
    </w:p>
    <w:p>
      <w:pPr>
        <w:pStyle w:val="TextBody"/>
        <w:spacing w:before="0" w:after="0"/>
        <w:ind w:left="0" w:right="0" w:hanging="0"/>
        <w:jc w:val="center"/>
        <w:rPr/>
      </w:pPr>
      <w:r>
        <w:rPr/>
        <w:t>​</w:t>
      </w:r>
    </w:p>
    <w:tbl>
      <w:tblPr>
        <w:tblW w:w="4817" w:type="dxa"/>
        <w:jc w:val="center"/>
        <w:tblInd w:w="0" w:type="dxa"/>
        <w:tblCellMar>
          <w:top w:w="0" w:type="dxa"/>
          <w:left w:w="0" w:type="dxa"/>
          <w:bottom w:w="0" w:type="dxa"/>
          <w:right w:w="0" w:type="dxa"/>
        </w:tblCellMar>
      </w:tblPr>
      <w:tblGrid>
        <w:gridCol w:w="2791"/>
        <w:gridCol w:w="2026"/>
      </w:tblGrid>
      <w:tr>
        <w:trPr/>
        <w:tc>
          <w:tcPr>
            <w:tcW w:w="2791" w:type="dxa"/>
            <w:tcBorders/>
            <w:shd w:fill="auto" w:val="clear"/>
            <w:vAlign w:val="center"/>
          </w:tcPr>
          <w:p>
            <w:pPr>
              <w:pStyle w:val="TableContents"/>
              <w:spacing w:before="0" w:after="0"/>
              <w:ind w:left="0" w:right="0" w:hanging="0"/>
              <w:rPr/>
            </w:pPr>
            <w:r>
              <w:rPr/>
              <w:t>​</w:t>
            </w:r>
          </w:p>
        </w:tc>
        <w:tc>
          <w:tcPr>
            <w:tcW w:w="2026" w:type="dxa"/>
            <w:tcBorders/>
            <w:shd w:fill="auto" w:val="clear"/>
            <w:vAlign w:val="center"/>
          </w:tcPr>
          <w:p>
            <w:pPr>
              <w:pStyle w:val="TableContents"/>
              <w:spacing w:before="0" w:after="0"/>
              <w:ind w:left="0" w:right="0" w:hanging="0"/>
              <w:rPr/>
            </w:pPr>
            <w:r>
              <w:rPr/>
              <w:t>​</w:t>
            </w:r>
          </w:p>
        </w:tc>
      </w:tr>
      <w:tr>
        <w:trPr/>
        <w:tc>
          <w:tcPr>
            <w:tcW w:w="2791"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Subsidiary</w:t>
            </w:r>
          </w:p>
        </w:tc>
        <w:tc>
          <w:tcPr>
            <w:tcW w:w="2026"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State of Incorporation</w:t>
            </w:r>
          </w:p>
        </w:tc>
      </w:tr>
      <w:tr>
        <w:trPr/>
        <w:tc>
          <w:tcPr>
            <w:tcW w:w="2791"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Schwazze IP Holdco LLC</w:t>
            </w:r>
          </w:p>
        </w:tc>
        <w:tc>
          <w:tcPr>
            <w:tcW w:w="2026"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Colorado</w:t>
            </w:r>
          </w:p>
        </w:tc>
      </w:tr>
      <w:tr>
        <w:trPr/>
        <w:tc>
          <w:tcPr>
            <w:tcW w:w="2791"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SCG Holding, LLC</w:t>
            </w:r>
          </w:p>
        </w:tc>
        <w:tc>
          <w:tcPr>
            <w:tcW w:w="2026"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Colorado</w:t>
            </w:r>
          </w:p>
        </w:tc>
      </w:tr>
      <w:tr>
        <w:trPr/>
        <w:tc>
          <w:tcPr>
            <w:tcW w:w="2791"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Schwazze Colorado LLC</w:t>
            </w:r>
          </w:p>
        </w:tc>
        <w:tc>
          <w:tcPr>
            <w:tcW w:w="2026"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Colorado</w:t>
            </w:r>
          </w:p>
        </w:tc>
      </w:tr>
      <w:tr>
        <w:trPr/>
        <w:tc>
          <w:tcPr>
            <w:tcW w:w="2791"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Medicine Man Consulting, Inc.</w:t>
            </w:r>
          </w:p>
        </w:tc>
        <w:tc>
          <w:tcPr>
            <w:tcW w:w="2026"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Colorado</w:t>
            </w:r>
          </w:p>
        </w:tc>
      </w:tr>
      <w:tr>
        <w:trPr/>
        <w:tc>
          <w:tcPr>
            <w:tcW w:w="2791"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144" w:right="0" w:hanging="0"/>
              <w:rPr>
                <w:rFonts w:ascii="Times New Roman;Times;serif" w:hAnsi="Times New Roman;Times;serif"/>
                <w:sz w:val="20"/>
              </w:rPr>
            </w:pPr>
            <w:r>
              <w:rPr>
                <w:rFonts w:ascii="Times New Roman;Times;serif" w:hAnsi="Times New Roman;Times;serif"/>
                <w:sz w:val="20"/>
              </w:rPr>
              <w:t>Two J’s LLC</w:t>
            </w:r>
          </w:p>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d/b/a The Big Tomato</w:t>
            </w:r>
          </w:p>
        </w:tc>
        <w:tc>
          <w:tcPr>
            <w:tcW w:w="2026"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Colorado</w:t>
            </w:r>
          </w:p>
        </w:tc>
      </w:tr>
      <w:tr>
        <w:trPr/>
        <w:tc>
          <w:tcPr>
            <w:tcW w:w="2791"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144" w:right="0" w:hanging="0"/>
              <w:rPr>
                <w:rFonts w:ascii="Times New Roman;Times;serif" w:hAnsi="Times New Roman;Times;serif"/>
                <w:sz w:val="20"/>
              </w:rPr>
            </w:pPr>
            <w:r>
              <w:rPr>
                <w:rFonts w:ascii="Times New Roman;Times;serif" w:hAnsi="Times New Roman;Times;serif"/>
                <w:sz w:val="20"/>
              </w:rPr>
              <w:t>PBS Holdco LLC</w:t>
            </w:r>
          </w:p>
          <w:p>
            <w:pPr>
              <w:pStyle w:val="TableContents"/>
              <w:spacing w:before="0" w:after="0"/>
              <w:ind w:left="144" w:right="0" w:hanging="0"/>
              <w:rPr>
                <w:rFonts w:ascii="Times New Roman;Times;serif" w:hAnsi="Times New Roman;Times;serif"/>
                <w:i/>
                <w:sz w:val="20"/>
              </w:rPr>
            </w:pPr>
            <w:r>
              <w:rPr>
                <w:rFonts w:ascii="Times New Roman;Times;serif" w:hAnsi="Times New Roman;Times;serif"/>
                <w:i/>
                <w:sz w:val="20"/>
              </w:rPr>
              <w:t>d/b/a Mesa Organics</w:t>
            </w:r>
          </w:p>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d/b/a Purplebee’s</w:t>
            </w:r>
          </w:p>
        </w:tc>
        <w:tc>
          <w:tcPr>
            <w:tcW w:w="2026"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Colorado</w:t>
            </w:r>
          </w:p>
        </w:tc>
      </w:tr>
      <w:tr>
        <w:trPr/>
        <w:tc>
          <w:tcPr>
            <w:tcW w:w="2791"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MIH Manager LLC</w:t>
            </w:r>
          </w:p>
        </w:tc>
        <w:tc>
          <w:tcPr>
            <w:tcW w:w="2026"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Colorado</w:t>
            </w:r>
          </w:p>
        </w:tc>
      </w:tr>
      <w:tr>
        <w:trPr/>
        <w:tc>
          <w:tcPr>
            <w:tcW w:w="2791"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Schwazze Biosciences, LLC</w:t>
            </w:r>
          </w:p>
        </w:tc>
        <w:tc>
          <w:tcPr>
            <w:tcW w:w="2026"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Colorado</w:t>
            </w:r>
          </w:p>
        </w:tc>
      </w:tr>
      <w:tr>
        <w:trPr/>
        <w:tc>
          <w:tcPr>
            <w:tcW w:w="2791"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144" w:right="0" w:hanging="0"/>
              <w:rPr>
                <w:rFonts w:ascii="Times New Roman;Times;serif" w:hAnsi="Times New Roman;Times;serif"/>
                <w:sz w:val="20"/>
              </w:rPr>
            </w:pPr>
            <w:r>
              <w:rPr>
                <w:rFonts w:ascii="Times New Roman;Times;serif" w:hAnsi="Times New Roman;Times;serif"/>
                <w:sz w:val="20"/>
              </w:rPr>
              <w:t>SBUD LLC</w:t>
            </w:r>
          </w:p>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d/b/a Star Buds</w:t>
            </w:r>
          </w:p>
        </w:tc>
        <w:tc>
          <w:tcPr>
            <w:tcW w:w="2026"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Colorado</w:t>
            </w:r>
          </w:p>
        </w:tc>
      </w:tr>
      <w:tr>
        <w:trPr/>
        <w:tc>
          <w:tcPr>
            <w:tcW w:w="2791"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Emerald Fields Merger Sub, LLC</w:t>
            </w:r>
          </w:p>
        </w:tc>
        <w:tc>
          <w:tcPr>
            <w:tcW w:w="2026"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Colorado</w:t>
            </w:r>
          </w:p>
        </w:tc>
      </w:tr>
      <w:tr>
        <w:trPr/>
        <w:tc>
          <w:tcPr>
            <w:tcW w:w="2791"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144" w:right="0" w:hanging="0"/>
              <w:rPr>
                <w:rFonts w:ascii="Times New Roman;Times;serif" w:hAnsi="Times New Roman;Times;serif"/>
                <w:sz w:val="20"/>
              </w:rPr>
            </w:pPr>
            <w:r>
              <w:rPr>
                <w:rFonts w:ascii="Times New Roman;Times;serif" w:hAnsi="Times New Roman;Times;serif"/>
                <w:sz w:val="20"/>
              </w:rPr>
              <w:t>Reserve1, LLC</w:t>
            </w:r>
          </w:p>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d/b/a Emerald Fields</w:t>
            </w:r>
          </w:p>
        </w:tc>
        <w:tc>
          <w:tcPr>
            <w:tcW w:w="2026"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Colorado</w:t>
            </w:r>
          </w:p>
        </w:tc>
      </w:tr>
      <w:tr>
        <w:trPr/>
        <w:tc>
          <w:tcPr>
            <w:tcW w:w="2791"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144" w:right="0" w:hanging="0"/>
              <w:rPr>
                <w:rFonts w:ascii="Times New Roman;Times;serif" w:hAnsi="Times New Roman;Times;serif"/>
                <w:sz w:val="20"/>
              </w:rPr>
            </w:pPr>
            <w:r>
              <w:rPr>
                <w:rFonts w:ascii="Times New Roman;Times;serif" w:hAnsi="Times New Roman;Times;serif"/>
                <w:sz w:val="20"/>
              </w:rPr>
              <w:t>Reserve 1 Manitou, LLC</w:t>
            </w:r>
          </w:p>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d/b/a Emerald Fields</w:t>
            </w:r>
          </w:p>
        </w:tc>
        <w:tc>
          <w:tcPr>
            <w:tcW w:w="2026"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Colorado</w:t>
            </w:r>
          </w:p>
        </w:tc>
      </w:tr>
      <w:tr>
        <w:trPr/>
        <w:tc>
          <w:tcPr>
            <w:tcW w:w="2791"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Liberty Fields, LLC</w:t>
            </w:r>
          </w:p>
        </w:tc>
        <w:tc>
          <w:tcPr>
            <w:tcW w:w="2026"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Colorado</w:t>
            </w:r>
          </w:p>
        </w:tc>
      </w:tr>
      <w:tr>
        <w:trPr/>
        <w:tc>
          <w:tcPr>
            <w:tcW w:w="2791"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144" w:right="0" w:hanging="0"/>
              <w:rPr>
                <w:rFonts w:ascii="Times New Roman;Times;serif" w:hAnsi="Times New Roman;Times;serif"/>
                <w:sz w:val="20"/>
              </w:rPr>
            </w:pPr>
            <w:r>
              <w:rPr>
                <w:rFonts w:ascii="Times New Roman;Times;serif" w:hAnsi="Times New Roman;Times;serif"/>
                <w:sz w:val="20"/>
              </w:rPr>
              <w:t>Colorado Black Diamond</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Cannabis Company, LLC</w:t>
            </w:r>
          </w:p>
        </w:tc>
        <w:tc>
          <w:tcPr>
            <w:tcW w:w="2026"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Colorado</w:t>
            </w:r>
          </w:p>
        </w:tc>
      </w:tr>
      <w:tr>
        <w:trPr/>
        <w:tc>
          <w:tcPr>
            <w:tcW w:w="2791"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144" w:right="0" w:hanging="0"/>
              <w:rPr>
                <w:rFonts w:ascii="Times New Roman;Times;serif" w:hAnsi="Times New Roman;Times;serif"/>
                <w:sz w:val="20"/>
              </w:rPr>
            </w:pPr>
            <w:r>
              <w:rPr>
                <w:rFonts w:ascii="Times New Roman;Times;serif" w:hAnsi="Times New Roman;Times;serif"/>
                <w:sz w:val="20"/>
              </w:rPr>
              <w:t>Double Brow, LLC</w:t>
            </w:r>
          </w:p>
          <w:p>
            <w:pPr>
              <w:pStyle w:val="TableContents"/>
              <w:spacing w:before="0" w:after="0"/>
              <w:ind w:left="144" w:right="0" w:hanging="0"/>
              <w:rPr>
                <w:rFonts w:ascii="Times New Roman;Times;serif" w:hAnsi="Times New Roman;Times;serif"/>
                <w:i/>
                <w:sz w:val="20"/>
              </w:rPr>
            </w:pPr>
            <w:r>
              <w:rPr>
                <w:rFonts w:ascii="Times New Roman;Times;serif" w:hAnsi="Times New Roman;Times;serif"/>
                <w:i/>
                <w:sz w:val="20"/>
              </w:rPr>
              <w:t>d/b/a Star Buds</w:t>
            </w:r>
          </w:p>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d/b/a Emerald Fields</w:t>
            </w:r>
          </w:p>
        </w:tc>
        <w:tc>
          <w:tcPr>
            <w:tcW w:w="2026"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Colorado</w:t>
            </w:r>
          </w:p>
        </w:tc>
      </w:tr>
      <w:tr>
        <w:trPr/>
        <w:tc>
          <w:tcPr>
            <w:tcW w:w="2791"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144" w:right="0" w:hanging="0"/>
              <w:rPr>
                <w:rFonts w:ascii="Times New Roman;Times;serif" w:hAnsi="Times New Roman;Times;serif"/>
                <w:sz w:val="20"/>
              </w:rPr>
            </w:pPr>
            <w:r>
              <w:rPr>
                <w:rFonts w:ascii="Times New Roman;Times;serif" w:hAnsi="Times New Roman;Times;serif"/>
                <w:sz w:val="20"/>
              </w:rPr>
              <w:t>Smoke Holdco, LLC</w:t>
            </w:r>
          </w:p>
          <w:p>
            <w:pPr>
              <w:pStyle w:val="TableContents"/>
              <w:spacing w:before="0" w:after="0"/>
              <w:ind w:left="144" w:right="0" w:hanging="0"/>
              <w:rPr>
                <w:rFonts w:ascii="Times New Roman;Times;serif" w:hAnsi="Times New Roman;Times;serif"/>
                <w:i/>
                <w:sz w:val="20"/>
              </w:rPr>
            </w:pPr>
            <w:r>
              <w:rPr>
                <w:rFonts w:ascii="Times New Roman;Times;serif" w:hAnsi="Times New Roman;Times;serif"/>
                <w:i/>
                <w:sz w:val="20"/>
              </w:rPr>
              <w:t>d/b/a Star Buds</w:t>
            </w:r>
          </w:p>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d/b/a Emerald Fields</w:t>
            </w:r>
          </w:p>
        </w:tc>
        <w:tc>
          <w:tcPr>
            <w:tcW w:w="2026"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Colorado</w:t>
            </w:r>
          </w:p>
        </w:tc>
      </w:tr>
      <w:tr>
        <w:trPr/>
        <w:tc>
          <w:tcPr>
            <w:tcW w:w="2791"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Flower Mountain Holdings, LLC</w:t>
            </w:r>
          </w:p>
        </w:tc>
        <w:tc>
          <w:tcPr>
            <w:tcW w:w="2026"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Colorado</w:t>
            </w:r>
          </w:p>
        </w:tc>
      </w:tr>
      <w:tr>
        <w:trPr/>
        <w:tc>
          <w:tcPr>
            <w:tcW w:w="2791"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Mesa Organics II Ltd</w:t>
            </w:r>
          </w:p>
        </w:tc>
        <w:tc>
          <w:tcPr>
            <w:tcW w:w="2026"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Colorado</w:t>
            </w:r>
          </w:p>
        </w:tc>
      </w:tr>
      <w:tr>
        <w:trPr/>
        <w:tc>
          <w:tcPr>
            <w:tcW w:w="2791"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Mesa Organics III Ltd</w:t>
            </w:r>
          </w:p>
        </w:tc>
        <w:tc>
          <w:tcPr>
            <w:tcW w:w="2026"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Colorado</w:t>
            </w:r>
          </w:p>
        </w:tc>
      </w:tr>
      <w:tr>
        <w:trPr/>
        <w:tc>
          <w:tcPr>
            <w:tcW w:w="2791"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Mesa Organics IV Ltd</w:t>
            </w:r>
          </w:p>
        </w:tc>
        <w:tc>
          <w:tcPr>
            <w:tcW w:w="2026"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Colorado</w:t>
            </w:r>
          </w:p>
        </w:tc>
      </w:tr>
      <w:tr>
        <w:trPr/>
        <w:tc>
          <w:tcPr>
            <w:tcW w:w="2791"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Schwazze New Mexico, LLC</w:t>
            </w:r>
          </w:p>
        </w:tc>
        <w:tc>
          <w:tcPr>
            <w:tcW w:w="2026"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Mexico</w:t>
            </w:r>
          </w:p>
        </w:tc>
      </w:tr>
      <w:tr>
        <w:trPr/>
        <w:tc>
          <w:tcPr>
            <w:tcW w:w="2791"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Nuevo Holding, LLC</w:t>
            </w:r>
          </w:p>
        </w:tc>
        <w:tc>
          <w:tcPr>
            <w:tcW w:w="2026"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Mexico</w:t>
            </w:r>
          </w:p>
        </w:tc>
      </w:tr>
      <w:tr>
        <w:trPr/>
        <w:tc>
          <w:tcPr>
            <w:tcW w:w="2791"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Nuevo Elemental Holding, LLC</w:t>
            </w:r>
          </w:p>
        </w:tc>
        <w:tc>
          <w:tcPr>
            <w:tcW w:w="2026"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Mexico</w:t>
            </w:r>
          </w:p>
        </w:tc>
      </w:tr>
      <w:tr>
        <w:trPr/>
        <w:tc>
          <w:tcPr>
            <w:tcW w:w="2791"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144" w:right="0" w:hanging="0"/>
              <w:rPr>
                <w:rFonts w:ascii="Times New Roman;Times;serif" w:hAnsi="Times New Roman;Times;serif"/>
                <w:sz w:val="20"/>
              </w:rPr>
            </w:pPr>
            <w:r>
              <w:rPr>
                <w:rFonts w:ascii="Times New Roman;Times;serif" w:hAnsi="Times New Roman;Times;serif"/>
                <w:sz w:val="20"/>
              </w:rPr>
              <w:t>Elemental Kitchen and</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Laboratories, LLC</w:t>
            </w:r>
          </w:p>
        </w:tc>
        <w:tc>
          <w:tcPr>
            <w:tcW w:w="2026"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New Mexico</w:t>
            </w:r>
          </w:p>
        </w:tc>
      </w:tr>
      <w:tr>
        <w:trPr/>
        <w:tc>
          <w:tcPr>
            <w:tcW w:w="2791"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Evergreen Holdco, LLC</w:t>
            </w:r>
          </w:p>
        </w:tc>
        <w:tc>
          <w:tcPr>
            <w:tcW w:w="2026"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spacing w:before="0" w:after="0"/>
              <w:ind w:left="144" w:right="0" w:hanging="0"/>
              <w:rPr>
                <w:rFonts w:ascii="Times New Roman;Times;serif" w:hAnsi="Times New Roman;Times;serif"/>
                <w:sz w:val="20"/>
              </w:rPr>
            </w:pPr>
            <w:r>
              <w:rPr>
                <w:rFonts w:ascii="Times New Roman;Times;serif" w:hAnsi="Times New Roman;Times;serif"/>
                <w:sz w:val="20"/>
              </w:rPr>
              <w:t>New Mexico</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2"/>
        </w:rPr>
      </w:pPr>
      <w:bookmarkStart w:id="1260" w:name="shwz-20221231xex23d1.htm"/>
      <w:bookmarkStart w:id="1261" w:name="ksshwz20221231xex23d1"/>
      <w:bookmarkEnd w:id="1260"/>
      <w:bookmarkEnd w:id="1261"/>
      <w:r>
        <w:rPr>
          <w:rFonts w:ascii="Times New Roman;Times;serif" w:hAnsi="Times New Roman;Times;serif"/>
          <w:b/>
          <w:sz w:val="22"/>
        </w:rPr>
        <w:t>Exhibit 23.1</w:t>
      </w:r>
    </w:p>
    <w:p>
      <w:pPr>
        <w:pStyle w:val="TextBody"/>
        <w:spacing w:before="0" w:after="0"/>
        <w:ind w:left="0" w:right="0" w:hanging="0"/>
        <w:rPr/>
      </w:pPr>
      <w:r>
        <w:rPr/>
        <w:t>​</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2"/>
        </w:rPr>
      </w:pPr>
      <w:r>
        <w:rPr>
          <w:rFonts w:ascii="Times New Roman;Times;serif" w:hAnsi="Times New Roman;Times;serif"/>
          <w:b/>
          <w:sz w:val="22"/>
        </w:rPr>
        <w:t>CONSENT OF INDEPENDENT REGISTERED PUBLIC ACCOUNTING FIRM</w:t>
      </w:r>
    </w:p>
    <w:p>
      <w:pPr>
        <w:pStyle w:val="TextBody"/>
        <w:spacing w:before="0" w:after="0"/>
        <w:ind w:left="0" w:right="0" w:hanging="0"/>
        <w:jc w:val="center"/>
        <w:rPr/>
      </w:pPr>
      <w:r>
        <w:rPr/>
        <w:t>​</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2"/>
        </w:rPr>
      </w:pPr>
      <w:r>
        <w:rPr>
          <w:rFonts w:ascii="Times New Roman;Times;serif" w:hAnsi="Times New Roman;Times;serif"/>
          <w:sz w:val="22"/>
        </w:rPr>
        <w:t xml:space="preserve">We hereby consent to the incorporation by reference in the Registration Statements on Form S-3 (No. 333-262059) and Form S-8 (Nos. 333-265086, 333-218662 and 333-225947), as amended, of Medicine Man Technologies, Inc. of our report, dated March 29, 2023, relating to the consolidated financial statements of Medicine Man Technologies, Inc. for the year ended December 31, 2022, which appears in this Form 10-K. </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2"/>
        </w:rPr>
      </w:pPr>
      <w:r>
        <w:rPr>
          <w:rFonts w:ascii="Times New Roman;Times;serif" w:hAnsi="Times New Roman;Times;serif"/>
          <w:sz w:val="22"/>
        </w:rPr>
        <w:t>/s/ BF Borgers CPA PC</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2"/>
        </w:rPr>
      </w:pPr>
      <w:r>
        <w:rPr>
          <w:rFonts w:ascii="Times New Roman;Times;serif" w:hAnsi="Times New Roman;Times;serif"/>
          <w:sz w:val="22"/>
        </w:rPr>
        <w:t>Certified Public Accountants</w:t>
      </w:r>
    </w:p>
    <w:p>
      <w:pPr>
        <w:pStyle w:val="TextBody"/>
        <w:spacing w:before="0" w:after="0"/>
        <w:ind w:left="0" w:right="0" w:hanging="0"/>
        <w:rPr>
          <w:rFonts w:ascii="Times New Roman;Times;serif" w:hAnsi="Times New Roman;Times;serif"/>
          <w:sz w:val="22"/>
        </w:rPr>
      </w:pPr>
      <w:r>
        <w:rPr>
          <w:rFonts w:ascii="Times New Roman;Times;serif" w:hAnsi="Times New Roman;Times;serif"/>
          <w:sz w:val="22"/>
        </w:rPr>
        <w:t>Lakewood, Colorado</w:t>
      </w:r>
    </w:p>
    <w:p>
      <w:pPr>
        <w:pStyle w:val="TextBody"/>
        <w:spacing w:before="0" w:after="0"/>
        <w:ind w:left="0" w:right="0" w:hanging="0"/>
        <w:rPr>
          <w:rFonts w:ascii="Times New Roman;Times;serif" w:hAnsi="Times New Roman;Times;serif"/>
          <w:sz w:val="22"/>
        </w:rPr>
      </w:pPr>
      <w:r>
        <w:rPr>
          <w:rFonts w:ascii="Times New Roman;Times;serif" w:hAnsi="Times New Roman;Times;serif"/>
          <w:sz w:val="22"/>
        </w:rPr>
        <w:t>March 29, 2023</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1262" w:name="shwz-20221231xex31d1.htm"/>
      <w:bookmarkStart w:id="1263" w:name="ksshwz20221231xex31d1"/>
      <w:bookmarkEnd w:id="1262"/>
      <w:bookmarkEnd w:id="1263"/>
      <w:r>
        <w:rPr>
          <w:rFonts w:ascii="Times New Roman;Times;serif" w:hAnsi="Times New Roman;Times;serif"/>
          <w:b/>
          <w:sz w:val="20"/>
        </w:rPr>
        <w:t>Exhibit 31.1</w:t>
      </w:r>
    </w:p>
    <w:p>
      <w:pPr>
        <w:pStyle w:val="TextBody"/>
        <w:spacing w:before="0" w:after="0"/>
        <w:ind w:left="0" w:right="0" w:hanging="0"/>
        <w:jc w:val="right"/>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 Justin Dye, certify that:</w:t>
      </w:r>
    </w:p>
    <w:p>
      <w:pPr>
        <w:pStyle w:val="TextBody"/>
        <w:spacing w:before="0" w:after="0"/>
        <w:ind w:left="0" w:right="0" w:hanging="0"/>
        <w:jc w:val="both"/>
        <w:rPr/>
      </w:pPr>
      <w:r>
        <w:rPr/>
        <w:t>​</w:t>
      </w:r>
    </w:p>
    <w:tbl>
      <w:tblPr>
        <w:tblW w:w="7188" w:type="dxa"/>
        <w:jc w:val="left"/>
        <w:tblInd w:w="0" w:type="dxa"/>
        <w:tblCellMar>
          <w:top w:w="0" w:type="dxa"/>
          <w:left w:w="0" w:type="dxa"/>
          <w:bottom w:w="0" w:type="dxa"/>
          <w:right w:w="0" w:type="dxa"/>
        </w:tblCellMar>
      </w:tblPr>
      <w:tblGrid>
        <w:gridCol w:w="23"/>
        <w:gridCol w:w="170"/>
        <w:gridCol w:w="699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1.</w:t>
            </w:r>
          </w:p>
        </w:tc>
        <w:tc>
          <w:tcPr>
            <w:tcW w:w="6995"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I have reviewed this annual report on Form 10-K of Medicine Man Technologies, Inc.;</w:t>
            </w:r>
          </w:p>
        </w:tc>
      </w:tr>
    </w:tbl>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23"/>
        <w:gridCol w:w="142"/>
        <w:gridCol w:w="10040"/>
      </w:tblGrid>
      <w:tr>
        <w:trPr/>
        <w:tc>
          <w:tcPr>
            <w:tcW w:w="23"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2.</w:t>
            </w:r>
          </w:p>
        </w:tc>
        <w:tc>
          <w:tcPr>
            <w:tcW w:w="10040"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23"/>
        <w:gridCol w:w="144"/>
        <w:gridCol w:w="10038"/>
      </w:tblGrid>
      <w:tr>
        <w:trPr/>
        <w:tc>
          <w:tcPr>
            <w:tcW w:w="23"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3.</w:t>
            </w:r>
          </w:p>
        </w:tc>
        <w:tc>
          <w:tcPr>
            <w:tcW w:w="10038"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23"/>
        <w:gridCol w:w="141"/>
        <w:gridCol w:w="10041"/>
      </w:tblGrid>
      <w:tr>
        <w:trPr/>
        <w:tc>
          <w:tcPr>
            <w:tcW w:w="23"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4.</w:t>
            </w:r>
          </w:p>
        </w:tc>
        <w:tc>
          <w:tcPr>
            <w:tcW w:w="10041"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23"/>
        <w:gridCol w:w="155"/>
        <w:gridCol w:w="10027"/>
      </w:tblGrid>
      <w:tr>
        <w:trPr/>
        <w:tc>
          <w:tcPr>
            <w:tcW w:w="2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a.</w:t>
            </w:r>
          </w:p>
        </w:tc>
        <w:tc>
          <w:tcPr>
            <w:tcW w:w="10027"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b.</w:t>
            </w:r>
          </w:p>
        </w:tc>
        <w:tc>
          <w:tcPr>
            <w:tcW w:w="10012"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23"/>
        <w:gridCol w:w="155"/>
        <w:gridCol w:w="10027"/>
      </w:tblGrid>
      <w:tr>
        <w:trPr/>
        <w:tc>
          <w:tcPr>
            <w:tcW w:w="2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c.</w:t>
            </w:r>
          </w:p>
        </w:tc>
        <w:tc>
          <w:tcPr>
            <w:tcW w:w="10027"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d.</w:t>
            </w:r>
          </w:p>
        </w:tc>
        <w:tc>
          <w:tcPr>
            <w:tcW w:w="10012"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23"/>
        <w:gridCol w:w="143"/>
        <w:gridCol w:w="10039"/>
      </w:tblGrid>
      <w:tr>
        <w:trPr/>
        <w:tc>
          <w:tcPr>
            <w:tcW w:w="2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5.</w:t>
            </w:r>
          </w:p>
        </w:tc>
        <w:tc>
          <w:tcPr>
            <w:tcW w:w="10039"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23"/>
        <w:gridCol w:w="155"/>
        <w:gridCol w:w="10027"/>
      </w:tblGrid>
      <w:tr>
        <w:trPr/>
        <w:tc>
          <w:tcPr>
            <w:tcW w:w="2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a.</w:t>
            </w:r>
          </w:p>
        </w:tc>
        <w:tc>
          <w:tcPr>
            <w:tcW w:w="10027"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b.</w:t>
            </w:r>
          </w:p>
        </w:tc>
        <w:tc>
          <w:tcPr>
            <w:tcW w:w="10012"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pPr>
      <w:r>
        <w:rPr/>
        <w:t>​</w:t>
      </w:r>
    </w:p>
    <w:tbl>
      <w:tblPr>
        <w:tblW w:w="5012" w:type="dxa"/>
        <w:jc w:val="center"/>
        <w:tblInd w:w="0" w:type="dxa"/>
        <w:tblCellMar>
          <w:top w:w="0" w:type="dxa"/>
          <w:left w:w="0" w:type="dxa"/>
          <w:bottom w:w="0" w:type="dxa"/>
          <w:right w:w="0" w:type="dxa"/>
        </w:tblCellMar>
      </w:tblPr>
      <w:tblGrid>
        <w:gridCol w:w="1996"/>
        <w:gridCol w:w="3016"/>
      </w:tblGrid>
      <w:tr>
        <w:trPr/>
        <w:tc>
          <w:tcPr>
            <w:tcW w:w="1996" w:type="dxa"/>
            <w:tcBorders/>
            <w:shd w:fill="auto" w:val="clear"/>
            <w:vAlign w:val="center"/>
          </w:tcPr>
          <w:p>
            <w:pPr>
              <w:pStyle w:val="TableContents"/>
              <w:spacing w:before="0" w:after="0"/>
              <w:ind w:left="0" w:right="0" w:hanging="0"/>
              <w:rPr/>
            </w:pPr>
            <w:r>
              <w:rPr/>
              <w:t>​</w:t>
            </w:r>
          </w:p>
        </w:tc>
        <w:tc>
          <w:tcPr>
            <w:tcW w:w="3016" w:type="dxa"/>
            <w:tcBorders/>
            <w:shd w:fill="auto" w:val="clear"/>
            <w:vAlign w:val="center"/>
          </w:tcPr>
          <w:p>
            <w:pPr>
              <w:pStyle w:val="TableContents"/>
              <w:spacing w:before="0" w:after="0"/>
              <w:ind w:left="0" w:right="0" w:hanging="0"/>
              <w:rPr/>
            </w:pPr>
            <w:r>
              <w:rPr/>
              <w:t>​</w:t>
            </w:r>
          </w:p>
        </w:tc>
      </w:tr>
      <w:tr>
        <w:trPr/>
        <w:tc>
          <w:tcPr>
            <w:tcW w:w="19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Dated: March 29, 2023</w:t>
            </w:r>
          </w:p>
        </w:tc>
        <w:tc>
          <w:tcPr>
            <w:tcW w:w="301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Justin Dye</w:t>
            </w:r>
          </w:p>
        </w:tc>
      </w:tr>
      <w:tr>
        <w:trPr/>
        <w:tc>
          <w:tcPr>
            <w:tcW w:w="1996" w:type="dxa"/>
            <w:tcBorders/>
            <w:shd w:fill="auto" w:val="clear"/>
            <w:vAlign w:val="center"/>
          </w:tcPr>
          <w:p>
            <w:pPr>
              <w:pStyle w:val="TableContents"/>
              <w:spacing w:before="0" w:after="0"/>
              <w:ind w:left="0" w:right="0" w:hanging="0"/>
              <w:rPr/>
            </w:pPr>
            <w:r>
              <w:rPr/>
              <w:t>​</w:t>
            </w:r>
          </w:p>
        </w:tc>
        <w:tc>
          <w:tcPr>
            <w:tcW w:w="301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Justin Dye, Chief Executive Officer</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1264" w:name="shwz-20221231xex31d2.htm"/>
      <w:bookmarkStart w:id="1265" w:name="ksshwz20221231xex31d2"/>
      <w:bookmarkEnd w:id="1264"/>
      <w:bookmarkEnd w:id="1265"/>
      <w:r>
        <w:rPr>
          <w:rFonts w:ascii="Times New Roman;Times;serif" w:hAnsi="Times New Roman;Times;serif"/>
          <w:b/>
          <w:sz w:val="20"/>
        </w:rPr>
        <w:t>Exhibit 31.2</w:t>
      </w:r>
    </w:p>
    <w:p>
      <w:pPr>
        <w:pStyle w:val="TextBody"/>
        <w:spacing w:before="0" w:after="0"/>
        <w:ind w:left="0" w:right="0" w:hanging="0"/>
        <w:jc w:val="right"/>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 Forrest Hoffmaster, certify that:</w:t>
      </w:r>
    </w:p>
    <w:p>
      <w:pPr>
        <w:pStyle w:val="TextBody"/>
        <w:spacing w:before="0" w:after="0"/>
        <w:ind w:left="0" w:right="0" w:hanging="0"/>
        <w:jc w:val="both"/>
        <w:rPr/>
      </w:pPr>
      <w:r>
        <w:rPr/>
        <w:t>​</w:t>
      </w:r>
    </w:p>
    <w:tbl>
      <w:tblPr>
        <w:tblW w:w="7188" w:type="dxa"/>
        <w:jc w:val="left"/>
        <w:tblInd w:w="0" w:type="dxa"/>
        <w:tblCellMar>
          <w:top w:w="0" w:type="dxa"/>
          <w:left w:w="0" w:type="dxa"/>
          <w:bottom w:w="0" w:type="dxa"/>
          <w:right w:w="0" w:type="dxa"/>
        </w:tblCellMar>
      </w:tblPr>
      <w:tblGrid>
        <w:gridCol w:w="23"/>
        <w:gridCol w:w="170"/>
        <w:gridCol w:w="699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1.</w:t>
            </w:r>
          </w:p>
        </w:tc>
        <w:tc>
          <w:tcPr>
            <w:tcW w:w="6995"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I have reviewed this annual report on Form 10-K of Medicine Man Technologies, Inc.;</w:t>
            </w:r>
          </w:p>
        </w:tc>
      </w:tr>
    </w:tbl>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23"/>
        <w:gridCol w:w="142"/>
        <w:gridCol w:w="10040"/>
      </w:tblGrid>
      <w:tr>
        <w:trPr/>
        <w:tc>
          <w:tcPr>
            <w:tcW w:w="23"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2.</w:t>
            </w:r>
          </w:p>
        </w:tc>
        <w:tc>
          <w:tcPr>
            <w:tcW w:w="10040"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23"/>
        <w:gridCol w:w="144"/>
        <w:gridCol w:w="10038"/>
      </w:tblGrid>
      <w:tr>
        <w:trPr/>
        <w:tc>
          <w:tcPr>
            <w:tcW w:w="23"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3.</w:t>
            </w:r>
          </w:p>
        </w:tc>
        <w:tc>
          <w:tcPr>
            <w:tcW w:w="10038"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23"/>
        <w:gridCol w:w="141"/>
        <w:gridCol w:w="10041"/>
      </w:tblGrid>
      <w:tr>
        <w:trPr/>
        <w:tc>
          <w:tcPr>
            <w:tcW w:w="23"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4.</w:t>
            </w:r>
          </w:p>
        </w:tc>
        <w:tc>
          <w:tcPr>
            <w:tcW w:w="10041"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23"/>
        <w:gridCol w:w="155"/>
        <w:gridCol w:w="10027"/>
      </w:tblGrid>
      <w:tr>
        <w:trPr/>
        <w:tc>
          <w:tcPr>
            <w:tcW w:w="2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a.</w:t>
            </w:r>
          </w:p>
        </w:tc>
        <w:tc>
          <w:tcPr>
            <w:tcW w:w="10027"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b.</w:t>
            </w:r>
          </w:p>
        </w:tc>
        <w:tc>
          <w:tcPr>
            <w:tcW w:w="10012"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23"/>
        <w:gridCol w:w="155"/>
        <w:gridCol w:w="10027"/>
      </w:tblGrid>
      <w:tr>
        <w:trPr/>
        <w:tc>
          <w:tcPr>
            <w:tcW w:w="2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c.</w:t>
            </w:r>
          </w:p>
        </w:tc>
        <w:tc>
          <w:tcPr>
            <w:tcW w:w="10027"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d.</w:t>
            </w:r>
          </w:p>
        </w:tc>
        <w:tc>
          <w:tcPr>
            <w:tcW w:w="10012"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23"/>
        <w:gridCol w:w="143"/>
        <w:gridCol w:w="10039"/>
      </w:tblGrid>
      <w:tr>
        <w:trPr/>
        <w:tc>
          <w:tcPr>
            <w:tcW w:w="2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5.</w:t>
            </w:r>
          </w:p>
        </w:tc>
        <w:tc>
          <w:tcPr>
            <w:tcW w:w="10039"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23"/>
        <w:gridCol w:w="155"/>
        <w:gridCol w:w="10027"/>
      </w:tblGrid>
      <w:tr>
        <w:trPr/>
        <w:tc>
          <w:tcPr>
            <w:tcW w:w="2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a.</w:t>
            </w:r>
          </w:p>
        </w:tc>
        <w:tc>
          <w:tcPr>
            <w:tcW w:w="10027"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b.</w:t>
            </w:r>
          </w:p>
        </w:tc>
        <w:tc>
          <w:tcPr>
            <w:tcW w:w="10012"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pBdr/>
        <w:spacing w:before="0" w:after="0"/>
        <w:ind w:left="0" w:right="0" w:hanging="1440"/>
        <w:jc w:val="both"/>
        <w:rPr/>
      </w:pPr>
      <w:r>
        <w:rPr/>
        <w:t>​</w:t>
      </w:r>
    </w:p>
    <w:tbl>
      <w:tblPr>
        <w:tblW w:w="5582" w:type="dxa"/>
        <w:jc w:val="center"/>
        <w:tblInd w:w="0" w:type="dxa"/>
        <w:tblCellMar>
          <w:top w:w="0" w:type="dxa"/>
          <w:left w:w="0" w:type="dxa"/>
          <w:bottom w:w="0" w:type="dxa"/>
          <w:right w:w="0" w:type="dxa"/>
        </w:tblCellMar>
      </w:tblPr>
      <w:tblGrid>
        <w:gridCol w:w="1996"/>
        <w:gridCol w:w="3586"/>
      </w:tblGrid>
      <w:tr>
        <w:trPr/>
        <w:tc>
          <w:tcPr>
            <w:tcW w:w="1996" w:type="dxa"/>
            <w:tcBorders/>
            <w:shd w:fill="auto" w:val="clear"/>
            <w:vAlign w:val="center"/>
          </w:tcPr>
          <w:p>
            <w:pPr>
              <w:pStyle w:val="TableContents"/>
              <w:spacing w:before="0" w:after="283"/>
              <w:ind w:left="0" w:right="0" w:hanging="0"/>
              <w:rPr>
                <w:sz w:val="4"/>
                <w:szCs w:val="4"/>
              </w:rPr>
            </w:pPr>
            <w:r>
              <w:rPr>
                <w:sz w:val="4"/>
                <w:szCs w:val="4"/>
              </w:rPr>
            </w:r>
          </w:p>
        </w:tc>
        <w:tc>
          <w:tcPr>
            <w:tcW w:w="3586" w:type="dxa"/>
            <w:tcBorders/>
            <w:shd w:fill="auto" w:val="clear"/>
            <w:vAlign w:val="center"/>
          </w:tcPr>
          <w:p>
            <w:pPr>
              <w:pStyle w:val="TableContents"/>
              <w:spacing w:before="0" w:after="283"/>
              <w:ind w:left="0" w:right="0" w:hanging="0"/>
              <w:rPr>
                <w:sz w:val="4"/>
                <w:szCs w:val="4"/>
              </w:rPr>
            </w:pPr>
            <w:r>
              <w:rPr>
                <w:sz w:val="4"/>
                <w:szCs w:val="4"/>
              </w:rPr>
            </w:r>
          </w:p>
        </w:tc>
      </w:tr>
      <w:tr>
        <w:trPr/>
        <w:tc>
          <w:tcPr>
            <w:tcW w:w="199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Dated: March 29, 2023</w:t>
            </w:r>
          </w:p>
        </w:tc>
        <w:tc>
          <w:tcPr>
            <w:tcW w:w="3586" w:type="dxa"/>
            <w:tcBorders>
              <w:bottom w:val="single" w:sz="8" w:space="0" w:color="000000"/>
            </w:tcBorders>
            <w:shd w:fill="auto" w:val="clear"/>
            <w:tcMar>
              <w:bottom w:w="28" w:type="dxa"/>
            </w:tcM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/s/ Forrest Hoffmaster</w:t>
            </w:r>
          </w:p>
        </w:tc>
      </w:tr>
      <w:tr>
        <w:trPr/>
        <w:tc>
          <w:tcPr>
            <w:tcW w:w="1996" w:type="dxa"/>
            <w:tcBorders/>
            <w:shd w:fill="auto" w:val="clear"/>
            <w:vAlign w:val="center"/>
          </w:tcPr>
          <w:p>
            <w:pPr>
              <w:pStyle w:val="TableContents"/>
              <w:spacing w:before="0" w:after="0"/>
              <w:ind w:left="0" w:right="0" w:hanging="0"/>
              <w:jc w:val="both"/>
              <w:rPr/>
            </w:pPr>
            <w:r>
              <w:rPr/>
              <w:t> </w:t>
            </w:r>
          </w:p>
        </w:tc>
        <w:tc>
          <w:tcPr>
            <w:tcW w:w="35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Forrest Hoffmaster, Chief Financial Officer</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1266" w:name="shwz-20221231xex32d1.htm"/>
      <w:bookmarkStart w:id="1267" w:name="ksshwz20221231xex32d1"/>
      <w:bookmarkEnd w:id="1266"/>
      <w:bookmarkEnd w:id="1267"/>
      <w:r>
        <w:rPr>
          <w:rFonts w:ascii="Times New Roman;Times;serif" w:hAnsi="Times New Roman;Times;serif"/>
          <w:b/>
          <w:sz w:val="20"/>
        </w:rPr>
        <w:t>Exhibit 32.1</w:t>
      </w:r>
    </w:p>
    <w:p>
      <w:pPr>
        <w:pStyle w:val="TextBody"/>
        <w:spacing w:before="0" w:after="0"/>
        <w:ind w:left="0" w:right="0" w:hanging="0"/>
        <w:jc w:val="right"/>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spacing w:before="0" w:after="0"/>
        <w:ind w:left="0" w:right="0" w:hanging="0"/>
        <w:jc w:val="center"/>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In connection with this annual report of Medicine Man Technologies, Inc. (the “Company”) on Form 10-K for the fiscal year ended December 31, 2022, as filed with the Securities and Exchange Commission on March 29, 2023 (the “Report”), we, the undersigned, in the capacities and on the date indicated below, certify, pursuant to 18 U.S.C. Section 1350, as adopted pursuant to Section 906 of the Sarbanes-Oxley Act of 2002, that to the best of our knowledge:</w:t>
      </w:r>
    </w:p>
    <w:p>
      <w:pPr>
        <w:pStyle w:val="TextBody"/>
        <w:spacing w:before="0" w:after="0"/>
        <w:ind w:left="0" w:right="0" w:hanging="0"/>
        <w:jc w:val="both"/>
        <w:rPr/>
      </w:pPr>
      <w:r>
        <w:rPr/>
        <w:t>​</w:t>
      </w:r>
    </w:p>
    <w:p>
      <w:pPr>
        <w:pStyle w:val="TextBody"/>
        <w:pBdr/>
        <w:spacing w:before="0" w:after="0"/>
        <w:ind w:left="108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The Report fully complies with the requirements of Rule 13(a) or 15(d) of the Securities Exchange Act of 1934; and</w:t>
      </w:r>
    </w:p>
    <w:p>
      <w:pPr>
        <w:pStyle w:val="TextBody"/>
        <w:spacing w:before="0" w:after="0"/>
        <w:ind w:left="0" w:right="0" w:hanging="0"/>
        <w:rPr/>
      </w:pPr>
      <w:r>
        <w:rPr/>
        <w:t>​</w:t>
      </w:r>
    </w:p>
    <w:p>
      <w:pPr>
        <w:pStyle w:val="TextBody"/>
        <w:pBdr/>
        <w:spacing w:before="0" w:after="0"/>
        <w:ind w:left="108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The information contained in the Report fairly presents, in all material respects, the financial condition and results of operations of the Company.</w:t>
      </w:r>
    </w:p>
    <w:p>
      <w:pPr>
        <w:pStyle w:val="TextBody"/>
        <w:spacing w:before="0" w:after="0"/>
        <w:ind w:left="0" w:right="0" w:hanging="0"/>
        <w:jc w:val="both"/>
        <w:rPr/>
      </w:pPr>
      <w:r>
        <w:rPr/>
        <w:t>​</w:t>
      </w:r>
    </w:p>
    <w:tbl>
      <w:tblPr>
        <w:tblW w:w="5582" w:type="dxa"/>
        <w:jc w:val="center"/>
        <w:tblInd w:w="0" w:type="dxa"/>
        <w:tblCellMar>
          <w:top w:w="0" w:type="dxa"/>
          <w:left w:w="0" w:type="dxa"/>
          <w:bottom w:w="0" w:type="dxa"/>
          <w:right w:w="0" w:type="dxa"/>
        </w:tblCellMar>
      </w:tblPr>
      <w:tblGrid>
        <w:gridCol w:w="1996"/>
        <w:gridCol w:w="3586"/>
      </w:tblGrid>
      <w:tr>
        <w:trPr/>
        <w:tc>
          <w:tcPr>
            <w:tcW w:w="1996" w:type="dxa"/>
            <w:tcBorders/>
            <w:shd w:fill="auto" w:val="clear"/>
            <w:vAlign w:val="center"/>
          </w:tcPr>
          <w:p>
            <w:pPr>
              <w:pStyle w:val="TableContents"/>
              <w:spacing w:before="0" w:after="283"/>
              <w:ind w:left="0" w:right="0" w:hanging="0"/>
              <w:rPr>
                <w:sz w:val="4"/>
                <w:szCs w:val="4"/>
              </w:rPr>
            </w:pPr>
            <w:r>
              <w:rPr>
                <w:sz w:val="4"/>
                <w:szCs w:val="4"/>
              </w:rPr>
            </w:r>
          </w:p>
        </w:tc>
        <w:tc>
          <w:tcPr>
            <w:tcW w:w="3586" w:type="dxa"/>
            <w:tcBorders/>
            <w:shd w:fill="auto" w:val="clear"/>
            <w:vAlign w:val="center"/>
          </w:tcPr>
          <w:p>
            <w:pPr>
              <w:pStyle w:val="TableContents"/>
              <w:spacing w:before="0" w:after="283"/>
              <w:ind w:left="0" w:right="0" w:hanging="0"/>
              <w:rPr>
                <w:sz w:val="4"/>
                <w:szCs w:val="4"/>
              </w:rPr>
            </w:pPr>
            <w:r>
              <w:rPr>
                <w:sz w:val="4"/>
                <w:szCs w:val="4"/>
              </w:rPr>
            </w:r>
          </w:p>
        </w:tc>
      </w:tr>
      <w:tr>
        <w:trPr/>
        <w:tc>
          <w:tcPr>
            <w:tcW w:w="199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Dated: March 29, 2023</w:t>
            </w:r>
          </w:p>
        </w:tc>
        <w:tc>
          <w:tcPr>
            <w:tcW w:w="3586" w:type="dxa"/>
            <w:tcBorders>
              <w:bottom w:val="single" w:sz="8" w:space="0" w:color="000000"/>
            </w:tcBorders>
            <w:shd w:fill="auto" w:val="clear"/>
            <w:tcMar>
              <w:bottom w:w="28" w:type="dxa"/>
            </w:tcM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/s/ Justin Dye</w:t>
            </w:r>
          </w:p>
        </w:tc>
      </w:tr>
      <w:tr>
        <w:trPr/>
        <w:tc>
          <w:tcPr>
            <w:tcW w:w="1996" w:type="dxa"/>
            <w:tcBorders/>
            <w:shd w:fill="auto" w:val="clear"/>
            <w:vAlign w:val="center"/>
          </w:tcPr>
          <w:p>
            <w:pPr>
              <w:pStyle w:val="TableContents"/>
              <w:spacing w:before="0" w:after="0"/>
              <w:ind w:left="0" w:right="0" w:hanging="0"/>
              <w:jc w:val="both"/>
              <w:rPr/>
            </w:pPr>
            <w:r>
              <w:rPr/>
              <w:t> </w:t>
            </w:r>
          </w:p>
        </w:tc>
        <w:tc>
          <w:tcPr>
            <w:tcW w:w="35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Justin Dye, Chief Executive Officer</w:t>
            </w:r>
          </w:p>
        </w:tc>
      </w:tr>
      <w:tr>
        <w:trPr/>
        <w:tc>
          <w:tcPr>
            <w:tcW w:w="1996" w:type="dxa"/>
            <w:tcBorders/>
            <w:shd w:fill="auto" w:val="clear"/>
            <w:vAlign w:val="center"/>
          </w:tcPr>
          <w:p>
            <w:pPr>
              <w:pStyle w:val="TableContents"/>
              <w:spacing w:before="0" w:after="0"/>
              <w:ind w:left="0" w:right="0" w:hanging="0"/>
              <w:jc w:val="both"/>
              <w:rPr/>
            </w:pPr>
            <w:r>
              <w:rPr/>
              <w:t> </w:t>
            </w:r>
          </w:p>
        </w:tc>
        <w:tc>
          <w:tcPr>
            <w:tcW w:w="3586" w:type="dxa"/>
            <w:tcBorders/>
            <w:shd w:fill="auto" w:val="clear"/>
            <w:vAlign w:val="center"/>
          </w:tcPr>
          <w:p>
            <w:pPr>
              <w:pStyle w:val="TableContents"/>
              <w:spacing w:before="0" w:after="0"/>
              <w:ind w:left="0" w:right="0" w:hanging="0"/>
              <w:jc w:val="both"/>
              <w:rPr/>
            </w:pPr>
            <w:r>
              <w:rPr/>
              <w:t> </w:t>
            </w:r>
          </w:p>
        </w:tc>
      </w:tr>
      <w:tr>
        <w:trPr/>
        <w:tc>
          <w:tcPr>
            <w:tcW w:w="1996" w:type="dxa"/>
            <w:tcBorders/>
            <w:shd w:fill="auto" w:val="clear"/>
            <w:vAlign w:val="center"/>
          </w:tcPr>
          <w:p>
            <w:pPr>
              <w:pStyle w:val="TableContents"/>
              <w:spacing w:before="0" w:after="0"/>
              <w:ind w:left="0" w:right="0" w:hanging="0"/>
              <w:jc w:val="both"/>
              <w:rPr/>
            </w:pPr>
            <w:r>
              <w:rPr/>
              <w:t> </w:t>
            </w:r>
          </w:p>
        </w:tc>
        <w:tc>
          <w:tcPr>
            <w:tcW w:w="3586" w:type="dxa"/>
            <w:tcBorders/>
            <w:shd w:fill="auto" w:val="clear"/>
            <w:vAlign w:val="center"/>
          </w:tcPr>
          <w:p>
            <w:pPr>
              <w:pStyle w:val="TableContents"/>
              <w:spacing w:before="0" w:after="0"/>
              <w:ind w:left="0" w:right="0" w:hanging="0"/>
              <w:jc w:val="both"/>
              <w:rPr/>
            </w:pPr>
            <w:r>
              <w:rPr/>
              <w:t> </w:t>
            </w:r>
          </w:p>
        </w:tc>
      </w:tr>
      <w:tr>
        <w:trPr/>
        <w:tc>
          <w:tcPr>
            <w:tcW w:w="199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Dated: March 29, 2023</w:t>
            </w:r>
          </w:p>
        </w:tc>
        <w:tc>
          <w:tcPr>
            <w:tcW w:w="3586" w:type="dxa"/>
            <w:tcBorders>
              <w:bottom w:val="single" w:sz="8" w:space="0" w:color="000000"/>
            </w:tcBorders>
            <w:shd w:fill="auto" w:val="clear"/>
            <w:tcMar>
              <w:bottom w:w="28" w:type="dxa"/>
            </w:tcM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/s/ Forrest Hoffmaster</w:t>
            </w:r>
          </w:p>
        </w:tc>
      </w:tr>
      <w:tr>
        <w:trPr/>
        <w:tc>
          <w:tcPr>
            <w:tcW w:w="1996" w:type="dxa"/>
            <w:tcBorders/>
            <w:shd w:fill="auto" w:val="clear"/>
            <w:vAlign w:val="center"/>
          </w:tcPr>
          <w:p>
            <w:pPr>
              <w:pStyle w:val="TableContents"/>
              <w:spacing w:before="0" w:after="0"/>
              <w:ind w:left="0" w:right="0" w:hanging="0"/>
              <w:jc w:val="both"/>
              <w:rPr/>
            </w:pPr>
            <w:r>
              <w:rPr/>
              <w:t> </w:t>
            </w:r>
          </w:p>
        </w:tc>
        <w:tc>
          <w:tcPr>
            <w:tcW w:w="35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Forrest Hoffmaster, Chief Financial Officer</w:t>
            </w:r>
          </w:p>
        </w:tc>
      </w:tr>
    </w:tbl>
    <w:p>
      <w:pPr>
        <w:pStyle w:val="TextBody"/>
        <w:spacing w:before="0" w:after="0"/>
        <w:ind w:left="0" w:right="0" w:hanging="0"/>
        <w:rPr/>
      </w:pPr>
      <w:r>
        <w:rPr/>
        <w:t>​</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Courier New">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22879/000168316820001894/medman_ex0201.htm" TargetMode="External"/><Relationship Id="rId3" Type="http://schemas.openxmlformats.org/officeDocument/2006/relationships/hyperlink" Target="https://www.sec.gov/Archives/edgar/data/1622879/000168316820001894/medman_ex0202.htm" TargetMode="External"/><Relationship Id="rId4" Type="http://schemas.openxmlformats.org/officeDocument/2006/relationships/hyperlink" Target="https://www.sec.gov/Archives/edgar/data/1622879/000168316820001894/medman_ex0203.htm" TargetMode="External"/><Relationship Id="rId5" Type="http://schemas.openxmlformats.org/officeDocument/2006/relationships/hyperlink" Target="https://www.sec.gov/Archives/edgar/data/1622879/000168316820001894/medman_ex0204.htm" TargetMode="External"/><Relationship Id="rId6" Type="http://schemas.openxmlformats.org/officeDocument/2006/relationships/hyperlink" Target="https://www.sec.gov/Archives/edgar/data/1622879/000168316820001894/medman_ex0205.htm" TargetMode="External"/><Relationship Id="rId7" Type="http://schemas.openxmlformats.org/officeDocument/2006/relationships/hyperlink" Target="https://www.sec.gov/Archives/edgar/data/1622879/000168316820001894/medman_ex0206.htm" TargetMode="External"/><Relationship Id="rId8" Type="http://schemas.openxmlformats.org/officeDocument/2006/relationships/hyperlink" Target="https://www.sec.gov/Archives/edgar/data/1622879/000168316820001894/medman_ex0207.htm" TargetMode="External"/><Relationship Id="rId9" Type="http://schemas.openxmlformats.org/officeDocument/2006/relationships/hyperlink" Target="https://www.sec.gov/Archives/edgar/data/1622879/000168316820001894/medman_ex0208.htm" TargetMode="External"/><Relationship Id="rId10" Type="http://schemas.openxmlformats.org/officeDocument/2006/relationships/hyperlink" Target="https://www.sec.gov/Archives/edgar/data/1622879/000168316820001894/medman_ex0209.htm" TargetMode="External"/><Relationship Id="rId11" Type="http://schemas.openxmlformats.org/officeDocument/2006/relationships/hyperlink" Target="https://www.sec.gov/Archives/edgar/data/1622879/000168316820001894/medman_ex0210.htm" TargetMode="External"/><Relationship Id="rId12" Type="http://schemas.openxmlformats.org/officeDocument/2006/relationships/hyperlink" Target="https://www.sec.gov/Archives/edgar/data/1622879/000168316820001894/medman_ex0211.htm" TargetMode="External"/><Relationship Id="rId13" Type="http://schemas.openxmlformats.org/officeDocument/2006/relationships/hyperlink" Target="https://www.sec.gov/Archives/edgar/data/1622879/000168316820001894/medman_ex0212.htm" TargetMode="External"/><Relationship Id="rId14" Type="http://schemas.openxmlformats.org/officeDocument/2006/relationships/hyperlink" Target="https://www.sec.gov/Archives/edgar/data/1622879/000168316820001894/medman_ex0213.htm" TargetMode="External"/><Relationship Id="rId15" Type="http://schemas.openxmlformats.org/officeDocument/2006/relationships/hyperlink" Target="https://www.sec.gov/Archives/edgar/data/1622879/000168316820003214/medman-ex0201.htm" TargetMode="External"/><Relationship Id="rId16" Type="http://schemas.openxmlformats.org/officeDocument/2006/relationships/hyperlink" Target="https://www.sec.gov/Archives/edgar/data/1622879/000168316820004436/medman_ex0201.htm" TargetMode="External"/><Relationship Id="rId17" Type="http://schemas.openxmlformats.org/officeDocument/2006/relationships/hyperlink" Target="https://www.sec.gov/Archives/edgar/data/1622879/000168316821002305/medman_ex0201.htm" TargetMode="External"/><Relationship Id="rId18" Type="http://schemas.openxmlformats.org/officeDocument/2006/relationships/hyperlink" Target="https://www.sec.gov/Archives/edgar/data/1622879/000168316821002305/medman_ex0202.htm" TargetMode="External"/><Relationship Id="rId19" Type="http://schemas.openxmlformats.org/officeDocument/2006/relationships/hyperlink" Target="https://www.sec.gov/Archives/edgar/data/1622879/000168316821002801/medman_ex0201.htm" TargetMode="External"/><Relationship Id="rId20" Type="http://schemas.openxmlformats.org/officeDocument/2006/relationships/hyperlink" Target="https://www.sec.gov/Archives/edgar/data/1622879/000168316822000580/medman_ex9902.htm" TargetMode="External"/><Relationship Id="rId21" Type="http://schemas.openxmlformats.org/officeDocument/2006/relationships/hyperlink" Target="https://www.sec.gov/Archives/edgar/data/1622879/000168316821003933/medman_ex0201.htm" TargetMode="External"/><Relationship Id="rId22" Type="http://schemas.openxmlformats.org/officeDocument/2006/relationships/hyperlink" Target="https://www.sec.gov/Archives/edgar/data/1622879/000168316821005821/medman_ex0201.htm" TargetMode="External"/><Relationship Id="rId23" Type="http://schemas.openxmlformats.org/officeDocument/2006/relationships/hyperlink" Target="https://www.sec.gov/Archives/edgar/data/1622879/000168316822001040/medman_ex0202.htm" TargetMode="External"/><Relationship Id="rId24" Type="http://schemas.openxmlformats.org/officeDocument/2006/relationships/hyperlink" Target="https://www.sec.gov/Archives/edgar/data/1622879/000168316822001040/medman_ex0203.htm" TargetMode="External"/><Relationship Id="rId25" Type="http://schemas.openxmlformats.org/officeDocument/2006/relationships/hyperlink" Target="https://www.sec.gov/Archives/edgar/data/1622879/000168316822001040/medman_ex0204.htm" TargetMode="External"/><Relationship Id="rId26" Type="http://schemas.openxmlformats.org/officeDocument/2006/relationships/hyperlink" Target="https://www.sec.gov/Archives/edgar/data/1622879/000168316822001040/medman_ex0205.htm" TargetMode="External"/><Relationship Id="rId27" Type="http://schemas.openxmlformats.org/officeDocument/2006/relationships/hyperlink" Target="https://www.sec.gov/Archives/edgar/data/1622879/000168316822001040/medman_ex0206.htm" TargetMode="External"/><Relationship Id="rId28" Type="http://schemas.openxmlformats.org/officeDocument/2006/relationships/hyperlink" Target="https://www.sec.gov/Archives/edgar/data/1622879/000168316822001040/medman_ex0207.htm" TargetMode="External"/><Relationship Id="rId29" Type="http://schemas.openxmlformats.org/officeDocument/2006/relationships/hyperlink" Target="https://www.sec.gov/Archives/edgar/data/1622879/000168316822002216/medman_ex0229.htm" TargetMode="External"/><Relationship Id="rId30" Type="http://schemas.openxmlformats.org/officeDocument/2006/relationships/hyperlink" Target="https://www.sec.gov/Archives/edgar/data/1622879/000168316821006082/medman_ex0201.htm" TargetMode="External"/><Relationship Id="rId31" Type="http://schemas.openxmlformats.org/officeDocument/2006/relationships/hyperlink" Target="https://www.sec.gov/Archives/edgar/data/1622879/000168316822000979/medman_ex0202.htm" TargetMode="External"/><Relationship Id="rId32" Type="http://schemas.openxmlformats.org/officeDocument/2006/relationships/hyperlink" Target="https://www.sec.gov/Archives/edgar/data/1622879/000168316822000979/medman_ex0203.htm" TargetMode="External"/><Relationship Id="rId33" Type="http://schemas.openxmlformats.org/officeDocument/2006/relationships/hyperlink" Target="https://www.sec.gov/Archives/edgar/data/1622879/000168316822000979/medmen_ex0204.htm" TargetMode="External"/><Relationship Id="rId34" Type="http://schemas.openxmlformats.org/officeDocument/2006/relationships/hyperlink" Target="https://www.sec.gov/Archives/edgar/data/1622879/000155837022017270/tmb-20220930xex2d1.htm" TargetMode="External"/><Relationship Id="rId35" Type="http://schemas.openxmlformats.org/officeDocument/2006/relationships/hyperlink" Target="https://www.sec.gov/Archives/edgar/data/1622879/000155837022017270/tmb-20220930xex2d1.htm" TargetMode="External"/><Relationship Id="rId36" Type="http://schemas.openxmlformats.org/officeDocument/2006/relationships/hyperlink" Target="https://www.sec.gov/Archives/edgar/data/1622879/000155837022017270/tmb-20220930xex2d1.htm" TargetMode="External"/><Relationship Id="rId37" Type="http://schemas.openxmlformats.org/officeDocument/2006/relationships/hyperlink" Target="https://www.sec.gov/Archives/edgar/data/1622879/000155837022017270/tmb-20220930xex2d2.htm" TargetMode="External"/><Relationship Id="rId38" Type="http://schemas.openxmlformats.org/officeDocument/2006/relationships/hyperlink" Target="https://www.sec.gov/Archives/edgar/data/1622879/000155837022017270/tmb-20220930xex2d2.htm" TargetMode="External"/><Relationship Id="rId39" Type="http://schemas.openxmlformats.org/officeDocument/2006/relationships/hyperlink" Target="https://www.sec.gov/Archives/edgar/data/1622879/000155837022017270/tmb-20220930xex2d2.htm" TargetMode="External"/><Relationship Id="rId40" Type="http://schemas.openxmlformats.org/officeDocument/2006/relationships/hyperlink" Target="https://www.sec.gov/Archives/edgar/data/1622879/000168316821001161/medman_ex0306.htm" TargetMode="External"/><Relationship Id="rId41" Type="http://schemas.openxmlformats.org/officeDocument/2006/relationships/hyperlink" Target="https://www.sec.gov/Archives/edgar/data/1622879/000168316819003950/medman_8k-ex0301.htm" TargetMode="External"/><Relationship Id="rId42" Type="http://schemas.openxmlformats.org/officeDocument/2006/relationships/hyperlink" Target="https://www.sec.gov/Archives/edgar/data/1622879/000168316821001161/medman_ex0405.htm" TargetMode="External"/><Relationship Id="rId43" Type="http://schemas.openxmlformats.org/officeDocument/2006/relationships/hyperlink" Target="https://www.sec.gov/Archives/edgar/data/1622879/000168316821001161/medman_ex0406.htm" TargetMode="External"/><Relationship Id="rId44" Type="http://schemas.openxmlformats.org/officeDocument/2006/relationships/hyperlink" Target="https://www.sec.gov/Archives/edgar/data/1622879/000168316820004429/medman_ex0401.htm" TargetMode="External"/><Relationship Id="rId45" Type="http://schemas.openxmlformats.org/officeDocument/2006/relationships/hyperlink" Target="https://www.sec.gov/Archives/edgar/data/1622879/000168316822002216/medman_ex0408.htm" TargetMode="External"/><Relationship Id="rId46" Type="http://schemas.openxmlformats.org/officeDocument/2006/relationships/hyperlink" Target="https://www.sec.gov/Archives/edgar/data/1622879/000168316821000784/medman_ex0401.htm" TargetMode="External"/><Relationship Id="rId47" Type="http://schemas.openxmlformats.org/officeDocument/2006/relationships/hyperlink" Target="https://www.sec.gov/Archives/edgar/data/1622879/000168316821006203/medman_ex0401.htm" TargetMode="External"/><Relationship Id="rId48" Type="http://schemas.openxmlformats.org/officeDocument/2006/relationships/hyperlink" Target="https://www.sec.gov/Archives/edgar/data/1622879/000168316821006203/medman_ex0402.htm" TargetMode="External"/><Relationship Id="rId49" Type="http://schemas.openxmlformats.org/officeDocument/2006/relationships/hyperlink" Target="https://www.sec.gov/Archives/edgar/data/1622879/000168316821006203/medman_ex1002.htm" TargetMode="External"/><Relationship Id="rId50" Type="http://schemas.openxmlformats.org/officeDocument/2006/relationships/hyperlink" Target="https://www.sec.gov/Archives/edgar/data/1622879/000168316821006203/medman_ex1003.htm" TargetMode="External"/><Relationship Id="rId51" Type="http://schemas.openxmlformats.org/officeDocument/2006/relationships/hyperlink" Target="https://www.sec.gov/Archives/edgar/data/1622879/000168316821006203/medman_ex1004.htm" TargetMode="External"/><Relationship Id="rId52" Type="http://schemas.openxmlformats.org/officeDocument/2006/relationships/hyperlink" Target="https://www.sec.gov/Archives/edgar/data/1622879/000168316821006631/medman_ex0401.htm" TargetMode="External"/><Relationship Id="rId53" Type="http://schemas.openxmlformats.org/officeDocument/2006/relationships/hyperlink" Target="https://www.sec.gov/Archives/edgar/data/1622879/000168316821006631/medman_ex0402.htm" TargetMode="External"/><Relationship Id="rId54" Type="http://schemas.openxmlformats.org/officeDocument/2006/relationships/hyperlink" Target="https://www.sec.gov/Archives/edgar/data/1622879/000168316821006631/medman_ex0403.htm" TargetMode="External"/><Relationship Id="rId55" Type="http://schemas.openxmlformats.org/officeDocument/2006/relationships/hyperlink" Target="https://www.sec.gov/Archives/edgar/data/1622879/000168316821006631/medman_ex0404.htm" TargetMode="External"/><Relationship Id="rId56" Type="http://schemas.openxmlformats.org/officeDocument/2006/relationships/hyperlink" Target="https://www.sec.gov/Archives/edgar/data/1622879/000168316821006631/medman_ex0405.htm" TargetMode="External"/><Relationship Id="rId57" Type="http://schemas.openxmlformats.org/officeDocument/2006/relationships/hyperlink" Target="https://www.sec.gov/Archives/edgar/data/1622879/000168316821006631/medman_ex0406.htm" TargetMode="External"/><Relationship Id="rId58" Type="http://schemas.openxmlformats.org/officeDocument/2006/relationships/hyperlink" Target="https://www.sec.gov/Archives/edgar/data/1622879/000168316821006631/medman_ex0406.htm" TargetMode="External"/><Relationship Id="rId59" Type="http://schemas.openxmlformats.org/officeDocument/2006/relationships/hyperlink" Target="https://www.sec.gov/Archives/edgar/data/1622879/000168316821006631/medman_ex0407.htm" TargetMode="External"/><Relationship Id="rId60" Type="http://schemas.openxmlformats.org/officeDocument/2006/relationships/hyperlink" Target="https://www.sec.gov/Archives/edgar/data/1622879/000168316821006631/medman_ex0408.htm" TargetMode="External"/><Relationship Id="rId61" Type="http://schemas.openxmlformats.org/officeDocument/2006/relationships/hyperlink" Target="https://www.sec.gov/Archives/edgar/data/1622879/000168316821006631/medman_ex0409.htm" TargetMode="External"/><Relationship Id="rId62" Type="http://schemas.openxmlformats.org/officeDocument/2006/relationships/hyperlink" Target="https://www.sec.gov/Archives/edgar/data/1622879/000168316821006631/medman_ex0410.htm" TargetMode="External"/><Relationship Id="rId63" Type="http://schemas.openxmlformats.org/officeDocument/2006/relationships/hyperlink" Target="https://www.sec.gov/Archives/edgar/data/1622879/000168316821006631/medman_ex0411.htm" TargetMode="External"/><Relationship Id="rId64" Type="http://schemas.openxmlformats.org/officeDocument/2006/relationships/hyperlink" Target="https://www.sec.gov/Archives/edgar/data/1622879/000168316821006631/medman_ex0412.htm" TargetMode="External"/><Relationship Id="rId65" Type="http://schemas.openxmlformats.org/officeDocument/2006/relationships/hyperlink" Target="https://www.sec.gov/Archives/edgar/data/1622879/000168316821006631/medman_ex0413.htm" TargetMode="External"/><Relationship Id="rId66" Type="http://schemas.openxmlformats.org/officeDocument/2006/relationships/hyperlink" Target="https://www.sec.gov/Archives/edgar/data/1622879/000168316821000784/medman_ex1004.htm" TargetMode="External"/><Relationship Id="rId67" Type="http://schemas.openxmlformats.org/officeDocument/2006/relationships/hyperlink" Target="https://www.sec.gov/Archives/edgar/data/1622879/000168316821000784/medman_ex1005.htm" TargetMode="External"/><Relationship Id="rId68" Type="http://schemas.openxmlformats.org/officeDocument/2006/relationships/hyperlink" Target="https://www.sec.gov/Archives/edgar/data/1622879/000168316821000784/medman_ex1006.htm" TargetMode="External"/><Relationship Id="rId69" Type="http://schemas.openxmlformats.org/officeDocument/2006/relationships/hyperlink" Target="https://www.sec.gov/Archives/edgar/data/1622879/000168316821000784/medman_ex1007.htm" TargetMode="External"/><Relationship Id="rId70" Type="http://schemas.openxmlformats.org/officeDocument/2006/relationships/hyperlink" Target="https://www.sec.gov/Archives/edgar/data/1622879/000168316821003247/medman_ex1001.htm" TargetMode="External"/><Relationship Id="rId71" Type="http://schemas.openxmlformats.org/officeDocument/2006/relationships/hyperlink" Target="https://www.sec.gov/Archives/edgar/data/1622879/000168316822002216/medman_ex0433.htm" TargetMode="External"/><Relationship Id="rId72" Type="http://schemas.openxmlformats.org/officeDocument/2006/relationships/hyperlink" Target="https://www.sec.gov/Archives/edgar/data/1622879/000168316819001810/medman_8k-ex1001.htm" TargetMode="External"/><Relationship Id="rId73" Type="http://schemas.openxmlformats.org/officeDocument/2006/relationships/hyperlink" Target="https://www.sec.gov/Archives/edgar/data/1622879/000168316819002228/medman_ex1001.htm" TargetMode="External"/><Relationship Id="rId74" Type="http://schemas.openxmlformats.org/officeDocument/2006/relationships/hyperlink" Target="https://www.sec.gov/Archives/edgar/data/1622879/000168316820001721/medman_ex1001.htm" TargetMode="External"/><Relationship Id="rId75" Type="http://schemas.openxmlformats.org/officeDocument/2006/relationships/hyperlink" Target="https://www.sec.gov/Archives/edgar/data/1622879/000168316820001021/mdcl_ex1010.htm" TargetMode="External"/><Relationship Id="rId76" Type="http://schemas.openxmlformats.org/officeDocument/2006/relationships/hyperlink" Target="https://www.sec.gov/Archives/edgar/data/1622879/000168316820001021/mdcl_ex1011.htm" TargetMode="External"/><Relationship Id="rId77" Type="http://schemas.openxmlformats.org/officeDocument/2006/relationships/hyperlink" Target="https://www.sec.gov/Archives/edgar/data/1622879/000168316820001021/mdcl_ex1012.htm" TargetMode="External"/><Relationship Id="rId78" Type="http://schemas.openxmlformats.org/officeDocument/2006/relationships/hyperlink" Target="https://www.sec.gov/Archives/edgar/data/1622879/000168316820001021/mdcl_ex1014.htm" TargetMode="External"/><Relationship Id="rId79" Type="http://schemas.openxmlformats.org/officeDocument/2006/relationships/hyperlink" Target="https://www.sec.gov/Archives/edgar/data/1622879/000168316820003136/medman_ex1001.htm" TargetMode="External"/><Relationship Id="rId80" Type="http://schemas.openxmlformats.org/officeDocument/2006/relationships/hyperlink" Target="https://www.sec.gov/Archives/edgar/data/1622879/000168316820003969/medicineman_10q-ex1001.htm" TargetMode="External"/><Relationship Id="rId81" Type="http://schemas.openxmlformats.org/officeDocument/2006/relationships/hyperlink" Target="https://www.sec.gov/Archives/edgar/data/1622879/000168316820004429/medman_ex1002.htm" TargetMode="External"/><Relationship Id="rId82" Type="http://schemas.openxmlformats.org/officeDocument/2006/relationships/hyperlink" Target="https://www.sec.gov/Archives/edgar/data/1622879/000168316821000449/medman_ex1001.htm" TargetMode="External"/><Relationship Id="rId83" Type="http://schemas.openxmlformats.org/officeDocument/2006/relationships/hyperlink" Target="https://www.sec.gov/Archives/edgar/data/1622879/000168316821001161/medman_ex1025.htm" TargetMode="External"/><Relationship Id="rId84" Type="http://schemas.openxmlformats.org/officeDocument/2006/relationships/hyperlink" Target="https://www.sec.gov/Archives/edgar/data/1622879/000168316821001161/medman_ex1021.htm" TargetMode="External"/><Relationship Id="rId85" Type="http://schemas.openxmlformats.org/officeDocument/2006/relationships/hyperlink" Target="https://www.sec.gov/Archives/edgar/data/1622879/000168316820004429/medman_ex1004.htm" TargetMode="External"/><Relationship Id="rId86" Type="http://schemas.openxmlformats.org/officeDocument/2006/relationships/hyperlink" Target="https://www.sec.gov/Archives/edgar/data/1622879/000168316820004429/medman_ex1005.htm" TargetMode="External"/><Relationship Id="rId87" Type="http://schemas.openxmlformats.org/officeDocument/2006/relationships/hyperlink" Target="https://www.sec.gov/Archives/edgar/data/1622879/000168316821000784/medman_ex1001.htm" TargetMode="External"/><Relationship Id="rId88" Type="http://schemas.openxmlformats.org/officeDocument/2006/relationships/hyperlink" Target="https://www.sec.gov/Archives/edgar/data/1622879/000168316821001967/medman_10q-ex1003.htm" TargetMode="External"/><Relationship Id="rId89" Type="http://schemas.openxmlformats.org/officeDocument/2006/relationships/hyperlink" Target="https://www.sec.gov/Archives/edgar/data/1622879/000168316822002216/medman_ex1030.htm" TargetMode="External"/><Relationship Id="rId90" Type="http://schemas.openxmlformats.org/officeDocument/2006/relationships/hyperlink" Target="https://www.sec.gov/Archives/edgar/data/1622879/000168316821002641/medman_ex1002.htm" TargetMode="External"/><Relationship Id="rId91" Type="http://schemas.openxmlformats.org/officeDocument/2006/relationships/hyperlink" Target="https://www.sec.gov/Archives/edgar/data/1622879/000168316821002641/medman_ex1003.htm" TargetMode="External"/><Relationship Id="rId92" Type="http://schemas.openxmlformats.org/officeDocument/2006/relationships/hyperlink" Target="https://www.sec.gov/Archives/edgar/data/1622879/000110465922108853/tm2228265d1_ex10-1.htm" TargetMode="External"/><Relationship Id="rId93" Type="http://schemas.openxmlformats.org/officeDocument/2006/relationships/hyperlink" Target="https://www.sec.gov/Archives/edgar/data/1622879/000168316821002641/medman_ex1004.htm" TargetMode="External"/><Relationship Id="rId94" Type="http://schemas.openxmlformats.org/officeDocument/2006/relationships/hyperlink" Target="https://www.sec.gov/Archives/edgar/data/1622879/000168316821006203/medman_ex1001.htm" TargetMode="External"/><Relationship Id="rId95" Type="http://schemas.openxmlformats.org/officeDocument/2006/relationships/hyperlink" Target="https://www.sec.gov/Archives/edgar/data/1622879/000168316822002216/medman_ex1035.htm" TargetMode="External"/><Relationship Id="rId96" Type="http://schemas.openxmlformats.org/officeDocument/2006/relationships/hyperlink" Target="https://www.sec.gov/Archives/edgar/data/1622879/000168316817001546/medman_s8-0401.htm" TargetMode="External"/><Relationship Id="rId97" Type="http://schemas.openxmlformats.org/officeDocument/2006/relationships/hyperlink" Target="https://www.sec.gov/Archives/edgar/data/1622879/000168316819003992/medman_ex1001.htm" TargetMode="External"/><Relationship Id="rId98" Type="http://schemas.openxmlformats.org/officeDocument/2006/relationships/hyperlink" Target="https://www.sec.gov/Archives/edgar/data/1622879/000168316820004302/medicineman_ex1001.htm" TargetMode="External"/><Relationship Id="rId99" Type="http://schemas.openxmlformats.org/officeDocument/2006/relationships/hyperlink" Target="https://www.sec.gov/Archives/edgar/data/1622879/000110465923005073/tm233797d1_ex10-1.htm" TargetMode="External"/><Relationship Id="rId100" Type="http://schemas.openxmlformats.org/officeDocument/2006/relationships/hyperlink" Target="https://www.sec.gov/Archives/edgar/data/1622879/000155837022017270/tmb-20220930xex10d2.htm" TargetMode="External"/><Relationship Id="rId101" Type="http://schemas.openxmlformats.org/officeDocument/2006/relationships/hyperlink" Target="https://www.sec.gov/Archives/edgar/data/1622879/000155837022017270/tmb-20220930xex10d3.htm" TargetMode="External"/><Relationship Id="rId102" Type="http://schemas.openxmlformats.org/officeDocument/2006/relationships/hyperlink" Target="https://www.sec.gov/Archives/edgar/data/1622879/000155837022017270/tmb-20220930xex10d4.htm" TargetMode="External"/><Relationship Id="rId103" Type="http://schemas.openxmlformats.org/officeDocument/2006/relationships/hyperlink" Target="https://www.sec.gov/Archives/edgar/data/1622879/000155837022017270/tmb-20220930xex10d5.htm" TargetMode="External"/><Relationship Id="rId104" Type="http://schemas.openxmlformats.org/officeDocument/2006/relationships/hyperlink" Target="https://www.sec.gov/Archives/edgar/data/1622879/000155837022017270/tmb-20220930xex10d6.htm" TargetMode="External"/><Relationship Id="rId105" Type="http://schemas.openxmlformats.org/officeDocument/2006/relationships/hyperlink" Target="https://www.sec.gov/Archives/edgar/data/1622879/000155837022017270/tmb-20220930xex10d7.htm" TargetMode="External"/><Relationship Id="rId106" Type="http://schemas.openxmlformats.org/officeDocument/2006/relationships/hyperlink" Target="https://www.sec.gov/Archives/edgar/data/1622879/000155837022017270/tmb-20220930xex10d8.htm" TargetMode="External"/><Relationship Id="rId107" Type="http://schemas.openxmlformats.org/officeDocument/2006/relationships/hyperlink" Target="https://www.sec.gov/Archives/edgar/data/1622879/000155837022017270/tmb-20220930xex10d9.htm" TargetMode="External"/><Relationship Id="rId108" Type="http://schemas.openxmlformats.org/officeDocument/2006/relationships/hyperlink" Target="https://www.sec.gov/Archives/edgar/data/1622879/000155837022017270/tmb-20220930xex10d10.htm" TargetMode="External"/><Relationship Id="rId109" Type="http://schemas.openxmlformats.org/officeDocument/2006/relationships/hyperlink" Target="https://www.sec.gov/Archives/edgar/data/1622879/000155837022017270/tmb-20220930xex10d11.htm" TargetMode="External"/><Relationship Id="rId110" Type="http://schemas.openxmlformats.org/officeDocument/2006/relationships/fontTable" Target="fontTable.xml"/><Relationship Id="rId1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19</Pages>
  <Words>93195</Words>
  <CharactersWithSpaces>610595</CharactersWithSpaces>
  <Paragraphs>8343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